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74D" w:rsidRPr="007350E2" w:rsidRDefault="0051274D" w:rsidP="0051274D">
      <w:pPr>
        <w:jc w:val="center"/>
        <w:rPr>
          <w:bCs/>
          <w:sz w:val="28"/>
          <w:szCs w:val="28"/>
        </w:rPr>
      </w:pPr>
      <w:bookmarkStart w:id="0" w:name="_Hlk204243562"/>
      <w:bookmarkStart w:id="1" w:name="_Hlk226976276"/>
      <w:bookmarkStart w:id="2" w:name="_Hlk226997122"/>
      <w:r w:rsidRPr="007350E2">
        <w:rPr>
          <w:bCs/>
          <w:sz w:val="28"/>
          <w:szCs w:val="28"/>
        </w:rPr>
        <w:t xml:space="preserve">Сравнительная таблица </w:t>
      </w:r>
    </w:p>
    <w:p w:rsidR="0051274D" w:rsidRPr="007350E2" w:rsidRDefault="0051274D" w:rsidP="0051274D">
      <w:pPr>
        <w:jc w:val="center"/>
        <w:rPr>
          <w:bCs/>
          <w:sz w:val="28"/>
          <w:szCs w:val="28"/>
        </w:rPr>
      </w:pPr>
      <w:r w:rsidRPr="007350E2">
        <w:rPr>
          <w:bCs/>
          <w:sz w:val="28"/>
          <w:szCs w:val="28"/>
        </w:rPr>
        <w:t>к проекту закона Приднестровской Молдавской Республики</w:t>
      </w:r>
    </w:p>
    <w:p w:rsidR="0051274D" w:rsidRDefault="0051274D" w:rsidP="0051274D">
      <w:pPr>
        <w:ind w:firstLine="567"/>
        <w:jc w:val="center"/>
        <w:rPr>
          <w:bCs/>
          <w:sz w:val="28"/>
          <w:szCs w:val="28"/>
        </w:rPr>
      </w:pPr>
      <w:r w:rsidRPr="007350E2">
        <w:rPr>
          <w:bCs/>
          <w:sz w:val="28"/>
          <w:szCs w:val="28"/>
        </w:rPr>
        <w:t xml:space="preserve">«О внесении изменения и дополнения в Закон </w:t>
      </w:r>
    </w:p>
    <w:p w:rsidR="0051274D" w:rsidRDefault="0051274D" w:rsidP="0051274D">
      <w:pPr>
        <w:ind w:firstLine="567"/>
        <w:jc w:val="center"/>
        <w:rPr>
          <w:bCs/>
          <w:sz w:val="28"/>
          <w:szCs w:val="28"/>
        </w:rPr>
      </w:pPr>
      <w:r w:rsidRPr="007350E2">
        <w:rPr>
          <w:bCs/>
          <w:sz w:val="28"/>
          <w:szCs w:val="28"/>
        </w:rPr>
        <w:t xml:space="preserve">Приднестровской Молдавской Республики </w:t>
      </w:r>
    </w:p>
    <w:p w:rsidR="0051274D" w:rsidRPr="007350E2" w:rsidRDefault="0051274D" w:rsidP="0051274D">
      <w:pPr>
        <w:ind w:firstLine="567"/>
        <w:jc w:val="center"/>
        <w:rPr>
          <w:bCs/>
          <w:sz w:val="28"/>
          <w:szCs w:val="28"/>
        </w:rPr>
      </w:pPr>
      <w:r w:rsidRPr="007350E2">
        <w:rPr>
          <w:bCs/>
          <w:sz w:val="28"/>
          <w:szCs w:val="28"/>
        </w:rPr>
        <w:t>«О подоходном налоге с физических лиц»</w:t>
      </w:r>
    </w:p>
    <w:bookmarkEnd w:id="0"/>
    <w:p w:rsidR="0051274D" w:rsidRPr="007350E2" w:rsidRDefault="0051274D" w:rsidP="0051274D">
      <w:pPr>
        <w:rPr>
          <w:b/>
          <w:bCs/>
          <w:sz w:val="28"/>
          <w:szCs w:val="28"/>
        </w:rPr>
      </w:pPr>
    </w:p>
    <w:tbl>
      <w:tblPr>
        <w:tblW w:w="5157"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19"/>
      </w:tblGrid>
      <w:tr w:rsidR="0051274D" w:rsidRPr="007350E2" w:rsidTr="00853C12">
        <w:trPr>
          <w:tblHeader/>
          <w:jc w:val="right"/>
        </w:trPr>
        <w:tc>
          <w:tcPr>
            <w:tcW w:w="2500" w:type="pct"/>
            <w:shd w:val="clear" w:color="auto" w:fill="auto"/>
          </w:tcPr>
          <w:bookmarkEnd w:id="1"/>
          <w:p w:rsidR="0051274D" w:rsidRPr="007350E2" w:rsidRDefault="0051274D" w:rsidP="00853C12">
            <w:pPr>
              <w:autoSpaceDE w:val="0"/>
              <w:autoSpaceDN w:val="0"/>
              <w:adjustRightInd w:val="0"/>
              <w:ind w:firstLine="451"/>
              <w:jc w:val="center"/>
              <w:rPr>
                <w:bCs/>
                <w:sz w:val="28"/>
                <w:szCs w:val="28"/>
              </w:rPr>
            </w:pPr>
            <w:r w:rsidRPr="007350E2">
              <w:rPr>
                <w:sz w:val="28"/>
                <w:szCs w:val="28"/>
              </w:rPr>
              <w:t>Действующая редакция</w:t>
            </w:r>
          </w:p>
        </w:tc>
        <w:tc>
          <w:tcPr>
            <w:tcW w:w="2500" w:type="pct"/>
            <w:shd w:val="clear" w:color="auto" w:fill="auto"/>
          </w:tcPr>
          <w:p w:rsidR="0051274D" w:rsidRPr="007350E2" w:rsidRDefault="0051274D" w:rsidP="00853C12">
            <w:pPr>
              <w:autoSpaceDE w:val="0"/>
              <w:autoSpaceDN w:val="0"/>
              <w:adjustRightInd w:val="0"/>
              <w:ind w:firstLine="451"/>
              <w:jc w:val="center"/>
              <w:rPr>
                <w:bCs/>
                <w:sz w:val="28"/>
                <w:szCs w:val="28"/>
              </w:rPr>
            </w:pPr>
            <w:r w:rsidRPr="007350E2">
              <w:rPr>
                <w:sz w:val="28"/>
                <w:szCs w:val="28"/>
              </w:rPr>
              <w:t>Предлагаемая редакция</w:t>
            </w:r>
          </w:p>
        </w:tc>
      </w:tr>
      <w:bookmarkEnd w:id="2"/>
      <w:tr w:rsidR="0051274D" w:rsidRPr="007350E2" w:rsidTr="00853C12">
        <w:trPr>
          <w:jc w:val="right"/>
        </w:trPr>
        <w:tc>
          <w:tcPr>
            <w:tcW w:w="2500" w:type="pct"/>
          </w:tcPr>
          <w:p w:rsidR="0051274D" w:rsidRPr="00770EF8" w:rsidRDefault="0051274D" w:rsidP="00853C12">
            <w:pPr>
              <w:autoSpaceDE w:val="0"/>
              <w:autoSpaceDN w:val="0"/>
              <w:adjustRightInd w:val="0"/>
              <w:ind w:firstLine="451"/>
              <w:rPr>
                <w:sz w:val="28"/>
                <w:szCs w:val="28"/>
              </w:rPr>
            </w:pPr>
            <w:r w:rsidRPr="00770EF8">
              <w:rPr>
                <w:b/>
                <w:bCs/>
                <w:sz w:val="28"/>
                <w:szCs w:val="28"/>
              </w:rPr>
              <w:t>Статья 9.</w:t>
            </w:r>
            <w:r w:rsidRPr="00770EF8">
              <w:rPr>
                <w:sz w:val="28"/>
                <w:szCs w:val="28"/>
              </w:rPr>
              <w:t xml:space="preserve"> Стандартные налоговые вычеты</w:t>
            </w:r>
          </w:p>
          <w:p w:rsidR="0051274D" w:rsidRPr="00770EF8" w:rsidRDefault="0051274D" w:rsidP="00853C12">
            <w:pPr>
              <w:autoSpaceDE w:val="0"/>
              <w:autoSpaceDN w:val="0"/>
              <w:adjustRightInd w:val="0"/>
              <w:ind w:firstLine="451"/>
              <w:rPr>
                <w:sz w:val="28"/>
                <w:szCs w:val="28"/>
              </w:rPr>
            </w:pPr>
            <w:r w:rsidRPr="00770EF8">
              <w:rPr>
                <w:sz w:val="28"/>
                <w:szCs w:val="28"/>
              </w:rPr>
              <w:t>…</w:t>
            </w:r>
          </w:p>
          <w:p w:rsidR="0051274D" w:rsidRPr="00770EF8" w:rsidRDefault="0051274D" w:rsidP="00853C12">
            <w:pPr>
              <w:autoSpaceDE w:val="0"/>
              <w:autoSpaceDN w:val="0"/>
              <w:adjustRightInd w:val="0"/>
              <w:ind w:firstLine="451"/>
              <w:rPr>
                <w:b/>
                <w:bCs/>
                <w:sz w:val="28"/>
                <w:szCs w:val="28"/>
              </w:rPr>
            </w:pPr>
            <w:r w:rsidRPr="00770EF8">
              <w:rPr>
                <w:sz w:val="28"/>
                <w:szCs w:val="28"/>
              </w:rPr>
              <w:t>3.</w:t>
            </w:r>
            <w:r w:rsidRPr="00770EF8">
              <w:rPr>
                <w:b/>
                <w:bCs/>
                <w:sz w:val="28"/>
                <w:szCs w:val="28"/>
              </w:rPr>
              <w:t xml:space="preserve"> Физическое лицо, состоящее в браке, имеет право на дополнительный стандартный вычет при условии, что супруг (супруга), состоящий в трудовых отношениях с работодателем либо стоящий на учете в Центре занятости, не использует стандартный вычет. Дополнительный стандартный вычет предоставляется </w:t>
            </w:r>
            <w:bookmarkStart w:id="3" w:name="_Hlk204244528"/>
            <w:r w:rsidRPr="00770EF8">
              <w:rPr>
                <w:b/>
                <w:bCs/>
                <w:sz w:val="28"/>
                <w:szCs w:val="28"/>
              </w:rPr>
              <w:t xml:space="preserve">в размерах и порядке, указанных в подпунктах б) и в) </w:t>
            </w:r>
            <w:bookmarkEnd w:id="3"/>
            <w:r w:rsidRPr="00770EF8">
              <w:rPr>
                <w:b/>
                <w:bCs/>
                <w:sz w:val="28"/>
                <w:szCs w:val="28"/>
              </w:rPr>
              <w:t>пункта 1 настоящей статьи.</w:t>
            </w:r>
          </w:p>
          <w:p w:rsidR="0051274D" w:rsidRPr="00770EF8" w:rsidRDefault="0051274D" w:rsidP="00853C12">
            <w:pPr>
              <w:autoSpaceDE w:val="0"/>
              <w:autoSpaceDN w:val="0"/>
              <w:adjustRightInd w:val="0"/>
              <w:ind w:firstLine="451"/>
              <w:rPr>
                <w:b/>
                <w:bCs/>
                <w:sz w:val="28"/>
                <w:szCs w:val="28"/>
              </w:rPr>
            </w:pPr>
            <w:r w:rsidRPr="00770EF8">
              <w:rPr>
                <w:b/>
                <w:bCs/>
                <w:sz w:val="28"/>
                <w:szCs w:val="28"/>
              </w:rPr>
              <w:t>В аналогичном порядке дополнительный стандартный вычет предоставляется лицу, состоящему в браке, на период обучения неработающего супруга (супруги) независимо от формы обучения.</w:t>
            </w:r>
          </w:p>
          <w:p w:rsidR="0051274D" w:rsidRPr="00770EF8" w:rsidRDefault="0051274D" w:rsidP="00853C12">
            <w:pPr>
              <w:autoSpaceDE w:val="0"/>
              <w:autoSpaceDN w:val="0"/>
              <w:adjustRightInd w:val="0"/>
              <w:ind w:firstLine="451"/>
              <w:rPr>
                <w:bCs/>
                <w:sz w:val="28"/>
                <w:szCs w:val="28"/>
              </w:rPr>
            </w:pPr>
            <w:r w:rsidRPr="00770EF8">
              <w:rPr>
                <w:bCs/>
                <w:sz w:val="28"/>
                <w:szCs w:val="28"/>
              </w:rPr>
              <w:t>…</w:t>
            </w:r>
          </w:p>
          <w:p w:rsidR="0051274D" w:rsidRPr="00770EF8" w:rsidRDefault="0051274D" w:rsidP="00853C12">
            <w:pPr>
              <w:autoSpaceDE w:val="0"/>
              <w:autoSpaceDN w:val="0"/>
              <w:adjustRightInd w:val="0"/>
              <w:ind w:firstLine="451"/>
              <w:rPr>
                <w:b/>
                <w:bCs/>
                <w:sz w:val="28"/>
                <w:szCs w:val="28"/>
              </w:rPr>
            </w:pPr>
          </w:p>
        </w:tc>
        <w:tc>
          <w:tcPr>
            <w:tcW w:w="2500" w:type="pct"/>
          </w:tcPr>
          <w:p w:rsidR="0051274D" w:rsidRPr="007350E2" w:rsidRDefault="0051274D" w:rsidP="00853C12">
            <w:pPr>
              <w:autoSpaceDE w:val="0"/>
              <w:autoSpaceDN w:val="0"/>
              <w:adjustRightInd w:val="0"/>
              <w:ind w:firstLine="451"/>
              <w:rPr>
                <w:sz w:val="28"/>
                <w:szCs w:val="28"/>
              </w:rPr>
            </w:pPr>
            <w:r w:rsidRPr="007350E2">
              <w:rPr>
                <w:b/>
                <w:bCs/>
                <w:sz w:val="28"/>
                <w:szCs w:val="28"/>
              </w:rPr>
              <w:t>Статья 9.</w:t>
            </w:r>
            <w:r w:rsidRPr="007350E2">
              <w:rPr>
                <w:sz w:val="28"/>
                <w:szCs w:val="28"/>
              </w:rPr>
              <w:t xml:space="preserve"> Стандартные налоговые вычеты</w:t>
            </w:r>
          </w:p>
          <w:p w:rsidR="0051274D" w:rsidRPr="00770EF8" w:rsidRDefault="0051274D" w:rsidP="00853C12">
            <w:pPr>
              <w:autoSpaceDE w:val="0"/>
              <w:autoSpaceDN w:val="0"/>
              <w:adjustRightInd w:val="0"/>
              <w:ind w:firstLine="451"/>
              <w:rPr>
                <w:sz w:val="28"/>
                <w:szCs w:val="28"/>
              </w:rPr>
            </w:pPr>
            <w:r w:rsidRPr="00770EF8">
              <w:rPr>
                <w:sz w:val="28"/>
                <w:szCs w:val="28"/>
              </w:rPr>
              <w:t>…</w:t>
            </w:r>
          </w:p>
          <w:p w:rsidR="0051274D" w:rsidRPr="00770EF8" w:rsidRDefault="0051274D" w:rsidP="00853C12">
            <w:pPr>
              <w:autoSpaceDE w:val="0"/>
              <w:autoSpaceDN w:val="0"/>
              <w:adjustRightInd w:val="0"/>
              <w:ind w:firstLine="451"/>
              <w:rPr>
                <w:b/>
                <w:sz w:val="28"/>
                <w:szCs w:val="28"/>
              </w:rPr>
            </w:pPr>
            <w:r w:rsidRPr="00770EF8">
              <w:rPr>
                <w:sz w:val="28"/>
                <w:szCs w:val="28"/>
              </w:rPr>
              <w:t xml:space="preserve">3. </w:t>
            </w:r>
            <w:r w:rsidRPr="00770EF8">
              <w:rPr>
                <w:b/>
                <w:sz w:val="28"/>
                <w:szCs w:val="28"/>
              </w:rPr>
              <w:t>Исключить.</w:t>
            </w:r>
          </w:p>
          <w:p w:rsidR="0051274D" w:rsidRPr="00B939B3" w:rsidRDefault="0051274D" w:rsidP="00853C12">
            <w:pPr>
              <w:autoSpaceDE w:val="0"/>
              <w:autoSpaceDN w:val="0"/>
              <w:adjustRightInd w:val="0"/>
              <w:ind w:firstLine="451"/>
              <w:rPr>
                <w:bCs/>
                <w:sz w:val="28"/>
                <w:szCs w:val="28"/>
              </w:rPr>
            </w:pPr>
            <w:r w:rsidRPr="00770EF8">
              <w:rPr>
                <w:bCs/>
                <w:sz w:val="28"/>
                <w:szCs w:val="28"/>
              </w:rPr>
              <w:t>…</w:t>
            </w:r>
          </w:p>
          <w:p w:rsidR="0051274D" w:rsidRPr="007350E2" w:rsidRDefault="0051274D" w:rsidP="00853C12">
            <w:pPr>
              <w:autoSpaceDE w:val="0"/>
              <w:autoSpaceDN w:val="0"/>
              <w:adjustRightInd w:val="0"/>
              <w:ind w:firstLine="451"/>
              <w:rPr>
                <w:b/>
                <w:bCs/>
                <w:sz w:val="28"/>
                <w:szCs w:val="28"/>
              </w:rPr>
            </w:pPr>
          </w:p>
        </w:tc>
      </w:tr>
      <w:tr w:rsidR="0051274D" w:rsidRPr="007350E2" w:rsidTr="00853C12">
        <w:trPr>
          <w:jc w:val="right"/>
        </w:trPr>
        <w:tc>
          <w:tcPr>
            <w:tcW w:w="2500" w:type="pct"/>
          </w:tcPr>
          <w:p w:rsidR="0051274D" w:rsidRPr="00770EF8" w:rsidRDefault="0051274D" w:rsidP="00853C12">
            <w:pPr>
              <w:autoSpaceDE w:val="0"/>
              <w:autoSpaceDN w:val="0"/>
              <w:adjustRightInd w:val="0"/>
              <w:ind w:firstLine="451"/>
              <w:rPr>
                <w:sz w:val="28"/>
                <w:szCs w:val="28"/>
              </w:rPr>
            </w:pPr>
            <w:r w:rsidRPr="00770EF8">
              <w:rPr>
                <w:b/>
                <w:bCs/>
                <w:sz w:val="28"/>
                <w:szCs w:val="28"/>
              </w:rPr>
              <w:t xml:space="preserve">Статья 26-1. </w:t>
            </w:r>
            <w:r w:rsidRPr="00770EF8">
              <w:rPr>
                <w:sz w:val="28"/>
                <w:szCs w:val="28"/>
              </w:rPr>
              <w:t>Переходные положения</w:t>
            </w:r>
          </w:p>
          <w:p w:rsidR="0051274D" w:rsidRPr="00770EF8" w:rsidRDefault="0051274D" w:rsidP="00853C12">
            <w:pPr>
              <w:autoSpaceDE w:val="0"/>
              <w:autoSpaceDN w:val="0"/>
              <w:adjustRightInd w:val="0"/>
              <w:ind w:firstLine="451"/>
              <w:rPr>
                <w:sz w:val="28"/>
                <w:szCs w:val="28"/>
              </w:rPr>
            </w:pPr>
            <w:r w:rsidRPr="00770EF8">
              <w:rPr>
                <w:sz w:val="28"/>
                <w:szCs w:val="28"/>
              </w:rPr>
              <w:t>…</w:t>
            </w:r>
          </w:p>
          <w:p w:rsidR="0051274D" w:rsidRPr="00770EF8" w:rsidRDefault="0051274D" w:rsidP="00853C12">
            <w:pPr>
              <w:autoSpaceDE w:val="0"/>
              <w:autoSpaceDN w:val="0"/>
              <w:adjustRightInd w:val="0"/>
              <w:ind w:firstLine="451"/>
              <w:rPr>
                <w:b/>
                <w:bCs/>
                <w:sz w:val="28"/>
                <w:szCs w:val="28"/>
              </w:rPr>
            </w:pPr>
            <w:r w:rsidRPr="00770EF8">
              <w:rPr>
                <w:b/>
                <w:bCs/>
                <w:sz w:val="28"/>
                <w:szCs w:val="28"/>
              </w:rPr>
              <w:t>14. Отсутствует.</w:t>
            </w:r>
          </w:p>
        </w:tc>
        <w:tc>
          <w:tcPr>
            <w:tcW w:w="2500" w:type="pct"/>
          </w:tcPr>
          <w:p w:rsidR="0051274D" w:rsidRPr="007350E2" w:rsidRDefault="0051274D" w:rsidP="00853C12">
            <w:pPr>
              <w:autoSpaceDE w:val="0"/>
              <w:autoSpaceDN w:val="0"/>
              <w:adjustRightInd w:val="0"/>
              <w:ind w:firstLine="451"/>
              <w:rPr>
                <w:sz w:val="28"/>
                <w:szCs w:val="28"/>
              </w:rPr>
            </w:pPr>
            <w:r w:rsidRPr="007350E2">
              <w:rPr>
                <w:b/>
                <w:bCs/>
                <w:sz w:val="28"/>
                <w:szCs w:val="28"/>
              </w:rPr>
              <w:t xml:space="preserve">Статья 26-1. </w:t>
            </w:r>
            <w:r w:rsidRPr="007350E2">
              <w:rPr>
                <w:sz w:val="28"/>
                <w:szCs w:val="28"/>
              </w:rPr>
              <w:t>Переходные положения</w:t>
            </w:r>
          </w:p>
          <w:p w:rsidR="0051274D" w:rsidRPr="007350E2" w:rsidRDefault="0051274D" w:rsidP="00853C12">
            <w:pPr>
              <w:autoSpaceDE w:val="0"/>
              <w:autoSpaceDN w:val="0"/>
              <w:adjustRightInd w:val="0"/>
              <w:ind w:firstLine="451"/>
              <w:rPr>
                <w:sz w:val="28"/>
                <w:szCs w:val="28"/>
              </w:rPr>
            </w:pPr>
            <w:r w:rsidRPr="007350E2">
              <w:rPr>
                <w:sz w:val="28"/>
                <w:szCs w:val="28"/>
              </w:rPr>
              <w:t>…</w:t>
            </w:r>
          </w:p>
          <w:p w:rsidR="0051274D" w:rsidRPr="007350E2" w:rsidRDefault="0051274D" w:rsidP="00853C12">
            <w:pPr>
              <w:autoSpaceDE w:val="0"/>
              <w:autoSpaceDN w:val="0"/>
              <w:adjustRightInd w:val="0"/>
              <w:ind w:firstLine="451"/>
              <w:rPr>
                <w:b/>
                <w:bCs/>
                <w:sz w:val="28"/>
                <w:szCs w:val="28"/>
              </w:rPr>
            </w:pPr>
            <w:r w:rsidRPr="007350E2">
              <w:rPr>
                <w:b/>
                <w:bCs/>
                <w:sz w:val="28"/>
                <w:szCs w:val="28"/>
              </w:rPr>
              <w:t xml:space="preserve">14. </w:t>
            </w:r>
            <w:bookmarkStart w:id="4" w:name="_Hlk226994173"/>
            <w:r w:rsidRPr="007350E2">
              <w:rPr>
                <w:b/>
                <w:bCs/>
                <w:sz w:val="28"/>
                <w:szCs w:val="28"/>
              </w:rPr>
              <w:t xml:space="preserve">В целях применения подпунктов а) и б) пункта 1 и пункта 8 статьи 9 настоящего Закона с 1 июля 2026 года прожиточный минимум трудоспособного населения, рассчитанный за месяц, предшествующий месяцу, за который производится </w:t>
            </w:r>
            <w:r w:rsidRPr="007350E2">
              <w:rPr>
                <w:b/>
                <w:bCs/>
                <w:sz w:val="28"/>
                <w:szCs w:val="28"/>
              </w:rPr>
              <w:lastRenderedPageBreak/>
              <w:t xml:space="preserve">начисление заработной </w:t>
            </w:r>
            <w:r w:rsidRPr="00770EF8">
              <w:rPr>
                <w:b/>
                <w:bCs/>
                <w:sz w:val="28"/>
                <w:szCs w:val="28"/>
              </w:rPr>
              <w:t xml:space="preserve">платы, принимается в размере 2 600 </w:t>
            </w:r>
            <w:r w:rsidRPr="00770EF8">
              <w:rPr>
                <w:b/>
                <w:sz w:val="28"/>
                <w:szCs w:val="28"/>
              </w:rPr>
              <w:t>(двух тысяч шестисот)</w:t>
            </w:r>
            <w:r w:rsidRPr="00770EF8">
              <w:rPr>
                <w:sz w:val="28"/>
                <w:szCs w:val="28"/>
              </w:rPr>
              <w:t xml:space="preserve"> </w:t>
            </w:r>
            <w:r w:rsidRPr="00770EF8">
              <w:rPr>
                <w:b/>
                <w:bCs/>
                <w:sz w:val="28"/>
                <w:szCs w:val="28"/>
              </w:rPr>
              <w:t>рублей</w:t>
            </w:r>
            <w:bookmarkEnd w:id="4"/>
            <w:r w:rsidRPr="00770EF8">
              <w:rPr>
                <w:b/>
                <w:bCs/>
                <w:sz w:val="28"/>
                <w:szCs w:val="28"/>
              </w:rPr>
              <w:t xml:space="preserve"> Приднестровской Молдавской Республики.</w:t>
            </w:r>
          </w:p>
        </w:tc>
      </w:tr>
    </w:tbl>
    <w:p w:rsidR="00465FD2" w:rsidRPr="0051274D" w:rsidRDefault="00465FD2" w:rsidP="0051274D">
      <w:bookmarkStart w:id="5" w:name="_GoBack"/>
      <w:bookmarkEnd w:id="5"/>
    </w:p>
    <w:sectPr w:rsidR="00465FD2" w:rsidRPr="00512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0C6412"/>
    <w:rsid w:val="0010443E"/>
    <w:rsid w:val="00104F8C"/>
    <w:rsid w:val="00113964"/>
    <w:rsid w:val="00147B5A"/>
    <w:rsid w:val="001764E8"/>
    <w:rsid w:val="00234162"/>
    <w:rsid w:val="00276593"/>
    <w:rsid w:val="002A1DF8"/>
    <w:rsid w:val="00336B91"/>
    <w:rsid w:val="003C02A1"/>
    <w:rsid w:val="00401B73"/>
    <w:rsid w:val="0040279E"/>
    <w:rsid w:val="00402C3C"/>
    <w:rsid w:val="004204C5"/>
    <w:rsid w:val="00465FD2"/>
    <w:rsid w:val="0049279D"/>
    <w:rsid w:val="004F2BFD"/>
    <w:rsid w:val="0051274D"/>
    <w:rsid w:val="005669D6"/>
    <w:rsid w:val="005F0727"/>
    <w:rsid w:val="005F790B"/>
    <w:rsid w:val="0062219E"/>
    <w:rsid w:val="006354AC"/>
    <w:rsid w:val="00666CFF"/>
    <w:rsid w:val="00677842"/>
    <w:rsid w:val="00694279"/>
    <w:rsid w:val="006D0F80"/>
    <w:rsid w:val="006E4576"/>
    <w:rsid w:val="006F2894"/>
    <w:rsid w:val="007140FC"/>
    <w:rsid w:val="00725829"/>
    <w:rsid w:val="0072713F"/>
    <w:rsid w:val="00736078"/>
    <w:rsid w:val="00745731"/>
    <w:rsid w:val="00770CB3"/>
    <w:rsid w:val="007B3047"/>
    <w:rsid w:val="007C3B6C"/>
    <w:rsid w:val="00836AD0"/>
    <w:rsid w:val="00840B4D"/>
    <w:rsid w:val="00850477"/>
    <w:rsid w:val="00853717"/>
    <w:rsid w:val="008926AE"/>
    <w:rsid w:val="008B7DBE"/>
    <w:rsid w:val="008F70B4"/>
    <w:rsid w:val="0091069F"/>
    <w:rsid w:val="00922BB1"/>
    <w:rsid w:val="00945F4B"/>
    <w:rsid w:val="00947364"/>
    <w:rsid w:val="00996A81"/>
    <w:rsid w:val="009C0CBA"/>
    <w:rsid w:val="00A17291"/>
    <w:rsid w:val="00A32DA4"/>
    <w:rsid w:val="00A45323"/>
    <w:rsid w:val="00A500D1"/>
    <w:rsid w:val="00A92FB9"/>
    <w:rsid w:val="00B44CED"/>
    <w:rsid w:val="00B62C7E"/>
    <w:rsid w:val="00B90E5E"/>
    <w:rsid w:val="00BF25F5"/>
    <w:rsid w:val="00C30074"/>
    <w:rsid w:val="00C30585"/>
    <w:rsid w:val="00C54BC4"/>
    <w:rsid w:val="00CA0A80"/>
    <w:rsid w:val="00CA389A"/>
    <w:rsid w:val="00D45EF5"/>
    <w:rsid w:val="00DA4182"/>
    <w:rsid w:val="00DC2A0D"/>
    <w:rsid w:val="00E3012B"/>
    <w:rsid w:val="00E3031C"/>
    <w:rsid w:val="00E4664D"/>
    <w:rsid w:val="00E55D71"/>
    <w:rsid w:val="00E67E22"/>
    <w:rsid w:val="00EA2A76"/>
    <w:rsid w:val="00F10EE1"/>
    <w:rsid w:val="00F137A8"/>
    <w:rsid w:val="00F13D1A"/>
    <w:rsid w:val="00F14D1C"/>
    <w:rsid w:val="00F6164F"/>
    <w:rsid w:val="00F90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200</Words>
  <Characters>1141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91</cp:revision>
  <dcterms:created xsi:type="dcterms:W3CDTF">2026-03-30T13:53:00Z</dcterms:created>
  <dcterms:modified xsi:type="dcterms:W3CDTF">2026-05-20T08:52:00Z</dcterms:modified>
</cp:coreProperties>
</file>