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00" w:rsidRPr="007E5D61" w:rsidRDefault="00B02400" w:rsidP="00B02400">
      <w:pPr>
        <w:pStyle w:val="1"/>
        <w:jc w:val="center"/>
        <w:rPr>
          <w:b/>
          <w:sz w:val="28"/>
          <w:szCs w:val="28"/>
        </w:rPr>
      </w:pPr>
      <w:r w:rsidRPr="007E5D61">
        <w:rPr>
          <w:sz w:val="28"/>
          <w:szCs w:val="28"/>
        </w:rPr>
        <w:t>СРАВНИТЕЛЬНАЯ ТАБЛИЦА</w:t>
      </w:r>
    </w:p>
    <w:p w:rsidR="00B02400" w:rsidRPr="00156F8F" w:rsidRDefault="00B02400" w:rsidP="00B02400">
      <w:pPr>
        <w:jc w:val="center"/>
        <w:rPr>
          <w:sz w:val="28"/>
          <w:szCs w:val="28"/>
        </w:rPr>
      </w:pPr>
      <w:r w:rsidRPr="00156F8F">
        <w:rPr>
          <w:sz w:val="28"/>
          <w:szCs w:val="28"/>
        </w:rPr>
        <w:t xml:space="preserve">к проекту закона Приднестровской Молдавской Республики </w:t>
      </w:r>
    </w:p>
    <w:p w:rsidR="00B02400" w:rsidRPr="00F35725" w:rsidRDefault="00B02400" w:rsidP="00B02400">
      <w:pPr>
        <w:pStyle w:val="a8"/>
        <w:jc w:val="center"/>
        <w:rPr>
          <w:sz w:val="28"/>
          <w:szCs w:val="28"/>
        </w:rPr>
      </w:pPr>
      <w:r>
        <w:rPr>
          <w:sz w:val="28"/>
          <w:szCs w:val="28"/>
        </w:rPr>
        <w:t>«</w:t>
      </w:r>
      <w:r w:rsidRPr="00F35725">
        <w:rPr>
          <w:sz w:val="28"/>
          <w:szCs w:val="28"/>
        </w:rPr>
        <w:t xml:space="preserve">О внесении </w:t>
      </w:r>
      <w:r>
        <w:rPr>
          <w:sz w:val="28"/>
          <w:szCs w:val="28"/>
        </w:rPr>
        <w:t xml:space="preserve">изменения в Закон </w:t>
      </w:r>
      <w:r w:rsidRPr="00F35725">
        <w:rPr>
          <w:sz w:val="28"/>
          <w:szCs w:val="28"/>
        </w:rPr>
        <w:t xml:space="preserve">Приднестровской Молдавской Республики </w:t>
      </w:r>
    </w:p>
    <w:p w:rsidR="00B02400" w:rsidRDefault="00B02400" w:rsidP="00B02400">
      <w:pPr>
        <w:pStyle w:val="a8"/>
        <w:jc w:val="center"/>
        <w:rPr>
          <w:sz w:val="28"/>
          <w:szCs w:val="28"/>
        </w:rPr>
      </w:pPr>
      <w:r w:rsidRPr="00F35725">
        <w:rPr>
          <w:sz w:val="28"/>
          <w:szCs w:val="28"/>
        </w:rPr>
        <w:t>«О заработной пла</w:t>
      </w:r>
      <w:r>
        <w:rPr>
          <w:sz w:val="28"/>
          <w:szCs w:val="28"/>
        </w:rPr>
        <w:t xml:space="preserve">те работников бюджетной сферы, </w:t>
      </w:r>
    </w:p>
    <w:p w:rsidR="00B02400" w:rsidRDefault="00B02400" w:rsidP="00B02400">
      <w:pPr>
        <w:pStyle w:val="a8"/>
        <w:jc w:val="center"/>
        <w:rPr>
          <w:sz w:val="28"/>
          <w:szCs w:val="28"/>
        </w:rPr>
      </w:pPr>
      <w:r w:rsidRPr="00F35725">
        <w:rPr>
          <w:sz w:val="28"/>
          <w:szCs w:val="28"/>
        </w:rPr>
        <w:t>денежном дов</w:t>
      </w:r>
      <w:r>
        <w:rPr>
          <w:sz w:val="28"/>
          <w:szCs w:val="28"/>
        </w:rPr>
        <w:t xml:space="preserve">ольствии военнослужащих и лиц, </w:t>
      </w:r>
      <w:r w:rsidRPr="00F35725">
        <w:rPr>
          <w:sz w:val="28"/>
          <w:szCs w:val="28"/>
        </w:rPr>
        <w:t xml:space="preserve">приравненных к ним </w:t>
      </w:r>
    </w:p>
    <w:p w:rsidR="00B02400" w:rsidRPr="000D404F" w:rsidRDefault="00B02400" w:rsidP="00B02400">
      <w:pPr>
        <w:pStyle w:val="a8"/>
        <w:jc w:val="center"/>
        <w:rPr>
          <w:sz w:val="28"/>
          <w:szCs w:val="28"/>
        </w:rPr>
      </w:pPr>
      <w:r w:rsidRPr="00F35725">
        <w:rPr>
          <w:sz w:val="28"/>
          <w:szCs w:val="28"/>
        </w:rPr>
        <w:t>по условиям выплат денежного довольствия, денежном содержа</w:t>
      </w:r>
      <w:r>
        <w:rPr>
          <w:sz w:val="28"/>
          <w:szCs w:val="28"/>
        </w:rPr>
        <w:t xml:space="preserve">нии государственных гражданских </w:t>
      </w:r>
      <w:r w:rsidRPr="00F35725">
        <w:rPr>
          <w:sz w:val="28"/>
          <w:szCs w:val="28"/>
        </w:rPr>
        <w:t>служащих»</w:t>
      </w:r>
    </w:p>
    <w:p w:rsidR="00B02400" w:rsidRPr="00156F8F" w:rsidRDefault="00B02400" w:rsidP="00B02400">
      <w:pPr>
        <w:jc w:val="center"/>
        <w:rPr>
          <w:sz w:val="28"/>
          <w:szCs w:val="28"/>
        </w:rPr>
      </w:pPr>
    </w:p>
    <w:tbl>
      <w:tblPr>
        <w:tblStyle w:val="a3"/>
        <w:tblW w:w="9639" w:type="dxa"/>
        <w:tblInd w:w="-289" w:type="dxa"/>
        <w:tblLook w:val="04A0" w:firstRow="1" w:lastRow="0" w:firstColumn="1" w:lastColumn="0" w:noHBand="0" w:noVBand="1"/>
      </w:tblPr>
      <w:tblGrid>
        <w:gridCol w:w="4820"/>
        <w:gridCol w:w="4819"/>
      </w:tblGrid>
      <w:tr w:rsidR="00B02400" w:rsidTr="008A44D9">
        <w:tc>
          <w:tcPr>
            <w:tcW w:w="4820" w:type="dxa"/>
          </w:tcPr>
          <w:p w:rsidR="00B02400" w:rsidRPr="00125353" w:rsidRDefault="00B02400" w:rsidP="008A44D9">
            <w:pPr>
              <w:pStyle w:val="a4"/>
              <w:jc w:val="center"/>
              <w:outlineLvl w:val="0"/>
              <w:rPr>
                <w:rFonts w:ascii="Times New Roman" w:hAnsi="Times New Roman" w:cs="Times New Roman"/>
                <w:sz w:val="28"/>
                <w:szCs w:val="28"/>
              </w:rPr>
            </w:pPr>
            <w:r w:rsidRPr="00125353">
              <w:rPr>
                <w:rFonts w:ascii="Times New Roman" w:hAnsi="Times New Roman" w:cs="Times New Roman"/>
                <w:sz w:val="28"/>
                <w:szCs w:val="28"/>
              </w:rPr>
              <w:t>Действующая редакция</w:t>
            </w:r>
          </w:p>
        </w:tc>
        <w:tc>
          <w:tcPr>
            <w:tcW w:w="4819" w:type="dxa"/>
          </w:tcPr>
          <w:p w:rsidR="00B02400" w:rsidRPr="00125353" w:rsidRDefault="00B02400" w:rsidP="008A44D9">
            <w:pPr>
              <w:pStyle w:val="a4"/>
              <w:jc w:val="center"/>
              <w:outlineLvl w:val="0"/>
              <w:rPr>
                <w:rFonts w:ascii="Times New Roman" w:hAnsi="Times New Roman" w:cs="Times New Roman"/>
                <w:sz w:val="28"/>
                <w:szCs w:val="28"/>
              </w:rPr>
            </w:pPr>
            <w:r w:rsidRPr="00125353">
              <w:rPr>
                <w:rFonts w:ascii="Times New Roman" w:hAnsi="Times New Roman" w:cs="Times New Roman"/>
                <w:sz w:val="28"/>
                <w:szCs w:val="28"/>
              </w:rPr>
              <w:t>Предлагаемая редакция</w:t>
            </w:r>
          </w:p>
        </w:tc>
      </w:tr>
      <w:tr w:rsidR="00B02400" w:rsidTr="008A44D9">
        <w:tc>
          <w:tcPr>
            <w:tcW w:w="4820" w:type="dxa"/>
          </w:tcPr>
          <w:p w:rsidR="00B02400" w:rsidRPr="005201FA" w:rsidRDefault="00B02400" w:rsidP="008A44D9">
            <w:pPr>
              <w:jc w:val="both"/>
              <w:rPr>
                <w:rFonts w:cs="Courier New"/>
                <w:sz w:val="28"/>
                <w:szCs w:val="28"/>
              </w:rPr>
            </w:pPr>
            <w:r w:rsidRPr="005201FA">
              <w:rPr>
                <w:rFonts w:cs="Courier New"/>
                <w:b/>
                <w:sz w:val="28"/>
                <w:szCs w:val="28"/>
              </w:rPr>
              <w:t>Статья 10</w:t>
            </w:r>
            <w:r w:rsidRPr="005201FA">
              <w:rPr>
                <w:rFonts w:cs="Courier New"/>
                <w:sz w:val="28"/>
                <w:szCs w:val="28"/>
              </w:rPr>
              <w:t>. Условия установления размеров должностных окладов работников бюджетной сферы, оклада денежного содержания военнослужащих и лиц, приравненных к ним по условиям выплат денежного довольствия, оклада денежного содержания государственных гражданских служащих</w:t>
            </w:r>
          </w:p>
          <w:p w:rsidR="00B02400" w:rsidRDefault="00B02400" w:rsidP="008A44D9">
            <w:pPr>
              <w:jc w:val="both"/>
              <w:rPr>
                <w:rFonts w:eastAsia="Calibri"/>
                <w:sz w:val="28"/>
                <w:szCs w:val="28"/>
              </w:rPr>
            </w:pPr>
          </w:p>
          <w:p w:rsidR="00B02400" w:rsidRDefault="00B02400" w:rsidP="008A44D9">
            <w:pPr>
              <w:jc w:val="both"/>
              <w:rPr>
                <w:rFonts w:eastAsia="Calibri"/>
                <w:sz w:val="28"/>
                <w:szCs w:val="28"/>
              </w:rPr>
            </w:pPr>
            <w:r>
              <w:rPr>
                <w:rFonts w:eastAsia="Calibri"/>
                <w:sz w:val="28"/>
                <w:szCs w:val="28"/>
              </w:rPr>
              <w:t>…</w:t>
            </w:r>
          </w:p>
          <w:p w:rsidR="00B02400" w:rsidRPr="00B64ECF" w:rsidRDefault="00B02400" w:rsidP="008A44D9">
            <w:pPr>
              <w:pStyle w:val="a4"/>
              <w:ind w:firstLine="708"/>
              <w:jc w:val="both"/>
              <w:rPr>
                <w:rFonts w:ascii="Times New Roman" w:hAnsi="Times New Roman" w:cs="Times New Roman"/>
                <w:sz w:val="28"/>
                <w:szCs w:val="28"/>
              </w:rPr>
            </w:pPr>
            <w:r w:rsidRPr="00B64ECF">
              <w:rPr>
                <w:rFonts w:ascii="Times New Roman" w:hAnsi="Times New Roman" w:cs="Times New Roman"/>
                <w:sz w:val="28"/>
                <w:szCs w:val="28"/>
              </w:rPr>
              <w:t>Руководящим работникам организаций образования и иных организаций, обладающих правом осуществления образовательной деятельности, с разрешения учредителя (учредителей) указанных организаций помимо основной работы разрешается вести педагогическую работу или занятия в кружках на условиях совмещения с нагрузкой, не превышающей 1 (одной) ставки в течение учебного года.</w:t>
            </w:r>
          </w:p>
          <w:p w:rsidR="00B02400" w:rsidRPr="00156F8F" w:rsidRDefault="00B02400" w:rsidP="008A44D9">
            <w:pPr>
              <w:jc w:val="both"/>
              <w:rPr>
                <w:rFonts w:eastAsia="Calibri"/>
                <w:sz w:val="28"/>
                <w:szCs w:val="28"/>
              </w:rPr>
            </w:pPr>
          </w:p>
          <w:p w:rsidR="00B02400" w:rsidRDefault="00B02400" w:rsidP="008A44D9">
            <w:pPr>
              <w:ind w:firstLine="709"/>
              <w:jc w:val="both"/>
              <w:rPr>
                <w:sz w:val="28"/>
                <w:szCs w:val="28"/>
              </w:rPr>
            </w:pPr>
          </w:p>
        </w:tc>
        <w:tc>
          <w:tcPr>
            <w:tcW w:w="4819" w:type="dxa"/>
          </w:tcPr>
          <w:p w:rsidR="00B02400" w:rsidRPr="005201FA" w:rsidRDefault="00B02400" w:rsidP="008A44D9">
            <w:pPr>
              <w:jc w:val="both"/>
              <w:rPr>
                <w:rFonts w:cs="Courier New"/>
                <w:sz w:val="28"/>
                <w:szCs w:val="28"/>
              </w:rPr>
            </w:pPr>
            <w:r w:rsidRPr="005201FA">
              <w:rPr>
                <w:rFonts w:cs="Courier New"/>
                <w:b/>
                <w:sz w:val="28"/>
                <w:szCs w:val="28"/>
              </w:rPr>
              <w:t>Статья 10</w:t>
            </w:r>
            <w:r w:rsidRPr="005201FA">
              <w:rPr>
                <w:rFonts w:cs="Courier New"/>
                <w:sz w:val="28"/>
                <w:szCs w:val="28"/>
              </w:rPr>
              <w:t>. Условия установления размеров должностных окладов работников бюджетной сферы, оклада денежного содержания военнослужащих и лиц, приравненных к ним по условиям выплат денежного довольствия, оклада денежного содержания государственных гражданских служащих</w:t>
            </w:r>
          </w:p>
          <w:p w:rsidR="00B02400" w:rsidRDefault="00B02400" w:rsidP="008A44D9">
            <w:pPr>
              <w:jc w:val="both"/>
              <w:rPr>
                <w:rFonts w:eastAsia="Calibri"/>
                <w:sz w:val="28"/>
                <w:szCs w:val="28"/>
              </w:rPr>
            </w:pPr>
          </w:p>
          <w:p w:rsidR="00B02400" w:rsidRDefault="00B02400" w:rsidP="008A44D9">
            <w:pPr>
              <w:jc w:val="both"/>
              <w:rPr>
                <w:rFonts w:eastAsia="Calibri"/>
                <w:sz w:val="28"/>
                <w:szCs w:val="28"/>
              </w:rPr>
            </w:pPr>
            <w:r>
              <w:rPr>
                <w:rFonts w:eastAsia="Calibri"/>
                <w:sz w:val="28"/>
                <w:szCs w:val="28"/>
              </w:rPr>
              <w:t>…</w:t>
            </w:r>
          </w:p>
          <w:p w:rsidR="00B02400" w:rsidRDefault="00B02400" w:rsidP="008A44D9">
            <w:pPr>
              <w:jc w:val="both"/>
              <w:rPr>
                <w:sz w:val="28"/>
                <w:szCs w:val="28"/>
              </w:rPr>
            </w:pPr>
            <w:r w:rsidRPr="006928A5">
              <w:rPr>
                <w:sz w:val="28"/>
                <w:szCs w:val="28"/>
              </w:rPr>
              <w:t>Руководящим работникам организаций образования и иных организаций, обладающих правом осуществления образовательной деятельности, с разрешения учредителя (учредителей) указанных организаций помимо основной работы разрешается вести педагогическую работу или занятия в кружках на условиях совмещения</w:t>
            </w:r>
            <w:r>
              <w:rPr>
                <w:sz w:val="28"/>
                <w:szCs w:val="28"/>
              </w:rPr>
              <w:t xml:space="preserve"> с </w:t>
            </w:r>
            <w:r w:rsidRPr="005201FA">
              <w:rPr>
                <w:b/>
                <w:sz w:val="28"/>
                <w:szCs w:val="28"/>
              </w:rPr>
              <w:t>педагогической</w:t>
            </w:r>
            <w:r>
              <w:rPr>
                <w:sz w:val="28"/>
                <w:szCs w:val="28"/>
              </w:rPr>
              <w:t xml:space="preserve"> нагрузкой, не </w:t>
            </w:r>
            <w:r w:rsidRPr="006928A5">
              <w:rPr>
                <w:sz w:val="28"/>
                <w:szCs w:val="28"/>
              </w:rPr>
              <w:t xml:space="preserve">превышающей 1 (одной) ставки в течение учебного года. </w:t>
            </w:r>
            <w:r w:rsidRPr="005201FA">
              <w:rPr>
                <w:b/>
                <w:sz w:val="28"/>
                <w:szCs w:val="28"/>
              </w:rPr>
              <w:t>Доплата за педагогическую работу выплачивается пропорционально отработанному времени руководящим работникам организаций образования и иных организаций, обладающих правом осуществления образовательной деятельности, с сохранением в каникулярный период</w:t>
            </w:r>
            <w:r>
              <w:rPr>
                <w:b/>
                <w:sz w:val="28"/>
                <w:szCs w:val="28"/>
              </w:rPr>
              <w:t xml:space="preserve">, </w:t>
            </w:r>
            <w:r w:rsidRPr="00F97B2E">
              <w:rPr>
                <w:b/>
                <w:bCs/>
                <w:color w:val="000000"/>
                <w:sz w:val="28"/>
                <w:szCs w:val="28"/>
                <w:shd w:val="clear" w:color="auto" w:fill="FFFFFF"/>
              </w:rPr>
              <w:t xml:space="preserve">не совпадающий с ежегодным основным удлиненным </w:t>
            </w:r>
            <w:r w:rsidRPr="00F97B2E">
              <w:rPr>
                <w:b/>
                <w:bCs/>
                <w:color w:val="000000"/>
                <w:sz w:val="28"/>
                <w:szCs w:val="28"/>
                <w:shd w:val="clear" w:color="auto" w:fill="FFFFFF"/>
              </w:rPr>
              <w:lastRenderedPageBreak/>
              <w:t>оплачиваемым отпуском</w:t>
            </w:r>
            <w:r w:rsidRPr="005201FA">
              <w:rPr>
                <w:b/>
                <w:sz w:val="28"/>
                <w:szCs w:val="28"/>
              </w:rPr>
              <w:t xml:space="preserve">. За педагогическую работу руководящим работникам организаций образования и иных организаций, обладающих правом </w:t>
            </w:r>
            <w:r w:rsidRPr="00632A7F">
              <w:rPr>
                <w:b/>
                <w:sz w:val="28"/>
                <w:szCs w:val="28"/>
              </w:rPr>
              <w:t xml:space="preserve">осуществления образовательной деятельности, выплачивается материальная помощь </w:t>
            </w:r>
            <w:r w:rsidRPr="00632A7F">
              <w:rPr>
                <w:b/>
                <w:bCs/>
                <w:color w:val="000000"/>
                <w:sz w:val="28"/>
                <w:szCs w:val="28"/>
                <w:shd w:val="clear" w:color="auto" w:fill="FFFFFF"/>
              </w:rPr>
              <w:t>в размере 2 (двух) должностных окладов по совмещаемой</w:t>
            </w:r>
            <w:r w:rsidRPr="00F97B2E">
              <w:rPr>
                <w:b/>
                <w:bCs/>
                <w:color w:val="000000"/>
                <w:sz w:val="28"/>
                <w:szCs w:val="28"/>
                <w:shd w:val="clear" w:color="auto" w:fill="FFFFFF"/>
              </w:rPr>
              <w:t xml:space="preserve"> должности в год, пропорционально установленной педагогической нагрузке, с учетом норм пункта 4 статьи 5 настоящего Закона</w:t>
            </w:r>
            <w:r w:rsidRPr="005201FA">
              <w:rPr>
                <w:b/>
                <w:sz w:val="28"/>
                <w:szCs w:val="28"/>
              </w:rPr>
              <w:t>.</w:t>
            </w:r>
          </w:p>
        </w:tc>
      </w:tr>
    </w:tbl>
    <w:p w:rsidR="00465FD2" w:rsidRPr="00A52549" w:rsidRDefault="00465FD2" w:rsidP="00B02400">
      <w:pPr>
        <w:ind w:left="0"/>
      </w:pPr>
      <w:bookmarkStart w:id="0" w:name="_GoBack"/>
      <w:bookmarkEnd w:id="0"/>
    </w:p>
    <w:sectPr w:rsidR="00465FD2" w:rsidRPr="00A52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F682"/>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93</cp:revision>
  <dcterms:created xsi:type="dcterms:W3CDTF">2026-03-30T13:53:00Z</dcterms:created>
  <dcterms:modified xsi:type="dcterms:W3CDTF">2026-05-21T06:32:00Z</dcterms:modified>
</cp:coreProperties>
</file>