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716A6" w14:textId="462047CE" w:rsidR="003A0831" w:rsidRDefault="003A0831" w:rsidP="00A77EA3">
      <w:pPr>
        <w:rPr>
          <w:b w:val="0"/>
          <w:bCs w:val="0"/>
          <w:sz w:val="24"/>
          <w:szCs w:val="24"/>
        </w:rPr>
      </w:pPr>
      <w:bookmarkStart w:id="0" w:name="_GoBack"/>
      <w:bookmarkEnd w:id="0"/>
    </w:p>
    <w:p w14:paraId="0C45B3B6" w14:textId="77777777" w:rsidR="00B01009" w:rsidRDefault="00764338" w:rsidP="00F22020">
      <w:pPr>
        <w:tabs>
          <w:tab w:val="left" w:pos="1888"/>
        </w:tabs>
        <w:jc w:val="center"/>
        <w:rPr>
          <w:b w:val="0"/>
          <w:bCs w:val="0"/>
          <w:sz w:val="24"/>
          <w:szCs w:val="24"/>
        </w:rPr>
      </w:pPr>
      <w:r w:rsidRPr="00764338">
        <w:rPr>
          <w:b w:val="0"/>
          <w:bCs w:val="0"/>
          <w:sz w:val="24"/>
          <w:szCs w:val="24"/>
        </w:rPr>
        <w:t>Сравнительная таблица</w:t>
      </w:r>
      <w:r w:rsidR="00F22020">
        <w:rPr>
          <w:b w:val="0"/>
          <w:bCs w:val="0"/>
          <w:sz w:val="24"/>
          <w:szCs w:val="24"/>
        </w:rPr>
        <w:t xml:space="preserve"> </w:t>
      </w:r>
    </w:p>
    <w:p w14:paraId="0A94EF33" w14:textId="7A4D8DCC" w:rsidR="004443D2" w:rsidRPr="00F22020" w:rsidRDefault="004443D2" w:rsidP="00F22020">
      <w:pPr>
        <w:tabs>
          <w:tab w:val="left" w:pos="1888"/>
        </w:tabs>
        <w:jc w:val="center"/>
        <w:rPr>
          <w:b w:val="0"/>
          <w:bCs w:val="0"/>
          <w:sz w:val="24"/>
          <w:szCs w:val="24"/>
        </w:rPr>
      </w:pPr>
      <w:r w:rsidRPr="004443D2">
        <w:rPr>
          <w:b w:val="0"/>
          <w:color w:val="0D0D0D" w:themeColor="text1" w:themeTint="F2"/>
          <w:sz w:val="24"/>
          <w:szCs w:val="24"/>
        </w:rPr>
        <w:t>к проекту закона Приднестровской Молдавской Республики</w:t>
      </w:r>
    </w:p>
    <w:p w14:paraId="763B1527" w14:textId="77777777" w:rsidR="00CB090B" w:rsidRDefault="004443D2" w:rsidP="004443D2">
      <w:pPr>
        <w:contextualSpacing/>
        <w:jc w:val="center"/>
        <w:rPr>
          <w:b w:val="0"/>
          <w:bCs w:val="0"/>
          <w:color w:val="0D0D0D" w:themeColor="text1" w:themeTint="F2"/>
          <w:sz w:val="24"/>
          <w:szCs w:val="24"/>
        </w:rPr>
      </w:pPr>
      <w:r w:rsidRPr="004443D2">
        <w:rPr>
          <w:b w:val="0"/>
          <w:bCs w:val="0"/>
          <w:color w:val="0D0D0D" w:themeColor="text1" w:themeTint="F2"/>
          <w:sz w:val="24"/>
          <w:szCs w:val="24"/>
        </w:rPr>
        <w:t>«О внесении изменени</w:t>
      </w:r>
      <w:r w:rsidR="00291544">
        <w:rPr>
          <w:b w:val="0"/>
          <w:bCs w:val="0"/>
          <w:color w:val="0D0D0D" w:themeColor="text1" w:themeTint="F2"/>
          <w:sz w:val="24"/>
          <w:szCs w:val="24"/>
        </w:rPr>
        <w:t>я</w:t>
      </w:r>
      <w:r w:rsidRPr="004443D2">
        <w:rPr>
          <w:b w:val="0"/>
          <w:bCs w:val="0"/>
          <w:color w:val="0D0D0D" w:themeColor="text1" w:themeTint="F2"/>
          <w:sz w:val="24"/>
          <w:szCs w:val="24"/>
        </w:rPr>
        <w:t xml:space="preserve"> Закон Приднестровской Молдавской Республики </w:t>
      </w:r>
    </w:p>
    <w:p w14:paraId="0EA91C9F" w14:textId="10C87B9E" w:rsidR="004443D2" w:rsidRDefault="004443D2" w:rsidP="004443D2">
      <w:pPr>
        <w:contextualSpacing/>
        <w:jc w:val="center"/>
        <w:rPr>
          <w:b w:val="0"/>
          <w:bCs w:val="0"/>
          <w:color w:val="0D0D0D" w:themeColor="text1" w:themeTint="F2"/>
          <w:sz w:val="24"/>
          <w:szCs w:val="24"/>
        </w:rPr>
      </w:pPr>
      <w:r w:rsidRPr="004443D2">
        <w:rPr>
          <w:b w:val="0"/>
          <w:bCs w:val="0"/>
          <w:color w:val="0D0D0D" w:themeColor="text1" w:themeTint="F2"/>
          <w:sz w:val="24"/>
          <w:szCs w:val="24"/>
        </w:rPr>
        <w:t>«Об основах налоговой системы в Приднестровской Молдавской Республике»</w:t>
      </w:r>
    </w:p>
    <w:p w14:paraId="31A1A99B" w14:textId="77777777" w:rsidR="004443D2" w:rsidRPr="004443D2" w:rsidRDefault="004443D2" w:rsidP="004443D2">
      <w:pPr>
        <w:contextualSpacing/>
        <w:jc w:val="center"/>
        <w:rPr>
          <w:b w:val="0"/>
          <w:bCs w:val="0"/>
          <w:color w:val="0D0D0D" w:themeColor="text1" w:themeTint="F2"/>
          <w:sz w:val="24"/>
          <w:szCs w:val="24"/>
        </w:rPr>
      </w:pPr>
    </w:p>
    <w:tbl>
      <w:tblPr>
        <w:tblStyle w:val="af2"/>
        <w:tblW w:w="10207" w:type="dxa"/>
        <w:tblInd w:w="-431" w:type="dxa"/>
        <w:tblLook w:val="04A0" w:firstRow="1" w:lastRow="0" w:firstColumn="1" w:lastColumn="0" w:noHBand="0" w:noVBand="1"/>
      </w:tblPr>
      <w:tblGrid>
        <w:gridCol w:w="5104"/>
        <w:gridCol w:w="5103"/>
      </w:tblGrid>
      <w:tr w:rsidR="004443D2" w:rsidRPr="004443D2" w14:paraId="4DAAB3B0" w14:textId="77777777" w:rsidTr="005975C4">
        <w:tc>
          <w:tcPr>
            <w:tcW w:w="5104" w:type="dxa"/>
          </w:tcPr>
          <w:p w14:paraId="08BBAFDF" w14:textId="77777777" w:rsidR="004443D2" w:rsidRPr="00013B62" w:rsidRDefault="004443D2" w:rsidP="00F22020">
            <w:pPr>
              <w:ind w:firstLine="486"/>
              <w:contextualSpacing/>
              <w:jc w:val="center"/>
              <w:rPr>
                <w:color w:val="auto"/>
                <w:sz w:val="24"/>
                <w:szCs w:val="24"/>
              </w:rPr>
            </w:pPr>
            <w:r w:rsidRPr="00013B62">
              <w:rPr>
                <w:color w:val="auto"/>
                <w:sz w:val="24"/>
                <w:szCs w:val="24"/>
              </w:rPr>
              <w:t>Действующая редакция</w:t>
            </w:r>
          </w:p>
        </w:tc>
        <w:tc>
          <w:tcPr>
            <w:tcW w:w="5103" w:type="dxa"/>
          </w:tcPr>
          <w:p w14:paraId="2356A2A7" w14:textId="77777777" w:rsidR="004443D2" w:rsidRPr="00013B62" w:rsidRDefault="004443D2" w:rsidP="00F22020">
            <w:pPr>
              <w:ind w:firstLine="486"/>
              <w:contextualSpacing/>
              <w:jc w:val="center"/>
              <w:rPr>
                <w:color w:val="auto"/>
                <w:sz w:val="24"/>
                <w:szCs w:val="24"/>
              </w:rPr>
            </w:pPr>
            <w:r w:rsidRPr="00013B62">
              <w:rPr>
                <w:color w:val="auto"/>
                <w:sz w:val="24"/>
                <w:szCs w:val="24"/>
              </w:rPr>
              <w:t>Предлагаемая редакция</w:t>
            </w:r>
          </w:p>
        </w:tc>
      </w:tr>
      <w:tr w:rsidR="002B1405" w:rsidRPr="004443D2" w14:paraId="0510415D" w14:textId="77777777" w:rsidTr="005975C4">
        <w:tc>
          <w:tcPr>
            <w:tcW w:w="5104" w:type="dxa"/>
          </w:tcPr>
          <w:p w14:paraId="5ADC6C8D" w14:textId="553D5615" w:rsidR="005975C4" w:rsidRPr="00B01009" w:rsidRDefault="005975C4" w:rsidP="005975C4">
            <w:pPr>
              <w:pStyle w:val="ab"/>
              <w:ind w:firstLine="486"/>
              <w:jc w:val="both"/>
              <w:rPr>
                <w:rFonts w:ascii="Times New Roman" w:hAnsi="Times New Roman" w:cs="Times New Roman"/>
                <w:bCs/>
                <w:sz w:val="24"/>
                <w:szCs w:val="24"/>
              </w:rPr>
            </w:pPr>
            <w:r w:rsidRPr="00B01009">
              <w:rPr>
                <w:rFonts w:ascii="Times New Roman" w:hAnsi="Times New Roman" w:cs="Times New Roman"/>
                <w:bCs/>
                <w:sz w:val="24"/>
                <w:szCs w:val="24"/>
              </w:rPr>
              <w:t>Статья 16. Местные (городские, районные) налоги</w:t>
            </w:r>
          </w:p>
          <w:p w14:paraId="1EC17B3C" w14:textId="77777777" w:rsidR="005975C4" w:rsidRPr="00B01009" w:rsidRDefault="005975C4" w:rsidP="005975C4">
            <w:pPr>
              <w:pStyle w:val="ab"/>
              <w:ind w:firstLine="486"/>
              <w:jc w:val="both"/>
              <w:rPr>
                <w:rFonts w:ascii="Times New Roman" w:hAnsi="Times New Roman" w:cs="Times New Roman"/>
                <w:bCs/>
                <w:sz w:val="24"/>
                <w:szCs w:val="24"/>
              </w:rPr>
            </w:pPr>
          </w:p>
          <w:p w14:paraId="778A1EA1" w14:textId="0DF3BE69" w:rsidR="005975C4" w:rsidRPr="00B01009" w:rsidRDefault="005975C4" w:rsidP="005975C4">
            <w:pPr>
              <w:pStyle w:val="ab"/>
              <w:ind w:firstLine="486"/>
              <w:jc w:val="both"/>
              <w:rPr>
                <w:rFonts w:ascii="Times New Roman" w:hAnsi="Times New Roman" w:cs="Times New Roman"/>
                <w:bCs/>
                <w:sz w:val="24"/>
                <w:szCs w:val="24"/>
              </w:rPr>
            </w:pPr>
            <w:r w:rsidRPr="00B01009">
              <w:rPr>
                <w:rFonts w:ascii="Times New Roman" w:hAnsi="Times New Roman" w:cs="Times New Roman"/>
                <w:bCs/>
                <w:sz w:val="24"/>
                <w:szCs w:val="24"/>
              </w:rPr>
              <w:t>1. Система местных налогов включает:</w:t>
            </w:r>
          </w:p>
          <w:p w14:paraId="6FB11546" w14:textId="629739C2" w:rsidR="005975C4" w:rsidRPr="00B01009" w:rsidRDefault="005975C4" w:rsidP="005975C4">
            <w:pPr>
              <w:ind w:firstLine="486"/>
              <w:contextualSpacing/>
              <w:jc w:val="both"/>
              <w:rPr>
                <w:b w:val="0"/>
                <w:color w:val="auto"/>
                <w:sz w:val="24"/>
                <w:szCs w:val="24"/>
              </w:rPr>
            </w:pPr>
            <w:r w:rsidRPr="00B01009">
              <w:rPr>
                <w:b w:val="0"/>
                <w:color w:val="auto"/>
                <w:sz w:val="24"/>
                <w:szCs w:val="24"/>
              </w:rPr>
              <w:t>…</w:t>
            </w:r>
          </w:p>
          <w:p w14:paraId="00B7BE33" w14:textId="4EC827F1"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о) сбор за приобретение недвижимого имущества. Сбор уплачивают лица (покупатели и (или) принимающие в дар), не являющиеся резидентами Приднестровской Молдавской Республики, при государственной регистрации права собственности на недвижимое имущество в размере 10 процентов от суммы договора купли-продажи (дарения) недвижимого имущества, но не ниже суммы, рассчитанной по следующим ставкам:</w:t>
            </w:r>
          </w:p>
          <w:p w14:paraId="240865F3"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1) в отношении объектов недвижимости, зарегистрированных в установленном порядке с указанием площади объекта недвижимости:</w:t>
            </w:r>
          </w:p>
          <w:p w14:paraId="713BD053"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а) 2 (два) РУ МЗП за каждый квадратный метр общей площади приобретаемого объекта недвижимого имущества, расположенного в городском населенном пункте;</w:t>
            </w:r>
          </w:p>
          <w:p w14:paraId="7C2EBE65" w14:textId="77777777" w:rsidR="00F22020" w:rsidRPr="00B01009" w:rsidRDefault="00F22020" w:rsidP="00F22020">
            <w:pPr>
              <w:ind w:firstLine="486"/>
              <w:contextualSpacing/>
              <w:jc w:val="both"/>
              <w:rPr>
                <w:b w:val="0"/>
                <w:bCs w:val="0"/>
                <w:color w:val="auto"/>
                <w:sz w:val="24"/>
                <w:szCs w:val="24"/>
              </w:rPr>
            </w:pPr>
          </w:p>
          <w:p w14:paraId="1EB3FC93"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б) 0,5 РУ МЗП за каждый квадратный метр общей площади приобретаемого объекта недвижимого имущества, расположенного в сельском населенном пункте или за пределами границ населенных пунктов;</w:t>
            </w:r>
          </w:p>
          <w:p w14:paraId="79ED4B5F"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2) в отношении объектов недвижимости, зарегистрированных в установленном порядке с указанием объема объекта:</w:t>
            </w:r>
          </w:p>
          <w:p w14:paraId="1F716FA7"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а) 0,9 РУ МЗП за каждый кубический метр общего объема приобретаемого объекта недвижимого имущества, расположенного в городском населенном пункте;</w:t>
            </w:r>
          </w:p>
          <w:p w14:paraId="5982544A" w14:textId="77777777" w:rsidR="002B1405" w:rsidRPr="00B01009" w:rsidRDefault="00291544" w:rsidP="00F22020">
            <w:pPr>
              <w:ind w:firstLine="486"/>
              <w:contextualSpacing/>
              <w:jc w:val="both"/>
              <w:rPr>
                <w:b w:val="0"/>
                <w:bCs w:val="0"/>
                <w:color w:val="auto"/>
                <w:sz w:val="24"/>
                <w:szCs w:val="24"/>
              </w:rPr>
            </w:pPr>
            <w:r w:rsidRPr="00B01009">
              <w:rPr>
                <w:b w:val="0"/>
                <w:bCs w:val="0"/>
                <w:color w:val="auto"/>
                <w:sz w:val="24"/>
                <w:szCs w:val="24"/>
              </w:rPr>
              <w:t>б) 0,3 РУ МЗП за каждый кубический метр общего объема приобретаемого объекта недвижимого имущества, расположенного в сельском населенном пункте или за пределами границ населенных пунктов.</w:t>
            </w:r>
          </w:p>
          <w:p w14:paraId="587A04CF" w14:textId="308F9FF0" w:rsidR="004D6EAE" w:rsidRPr="00B01009" w:rsidRDefault="004D6EAE" w:rsidP="00F22020">
            <w:pPr>
              <w:ind w:firstLine="486"/>
              <w:contextualSpacing/>
              <w:jc w:val="both"/>
              <w:rPr>
                <w:color w:val="auto"/>
                <w:sz w:val="24"/>
                <w:szCs w:val="24"/>
              </w:rPr>
            </w:pPr>
            <w:r w:rsidRPr="00B01009">
              <w:rPr>
                <w:color w:val="auto"/>
                <w:sz w:val="24"/>
                <w:szCs w:val="24"/>
              </w:rPr>
              <w:t>…</w:t>
            </w:r>
          </w:p>
        </w:tc>
        <w:tc>
          <w:tcPr>
            <w:tcW w:w="5103" w:type="dxa"/>
          </w:tcPr>
          <w:p w14:paraId="77E1878D" w14:textId="77777777" w:rsidR="005975C4" w:rsidRPr="00B01009" w:rsidRDefault="005975C4" w:rsidP="005975C4">
            <w:pPr>
              <w:pStyle w:val="ab"/>
              <w:ind w:firstLine="486"/>
              <w:jc w:val="both"/>
              <w:rPr>
                <w:rFonts w:ascii="Times New Roman" w:hAnsi="Times New Roman" w:cs="Times New Roman"/>
                <w:bCs/>
                <w:sz w:val="24"/>
                <w:szCs w:val="24"/>
              </w:rPr>
            </w:pPr>
            <w:r w:rsidRPr="00B01009">
              <w:rPr>
                <w:rFonts w:ascii="Times New Roman" w:hAnsi="Times New Roman" w:cs="Times New Roman"/>
                <w:bCs/>
                <w:sz w:val="24"/>
                <w:szCs w:val="24"/>
              </w:rPr>
              <w:t>Статья 16. Местные (городские, районные) налоги</w:t>
            </w:r>
          </w:p>
          <w:p w14:paraId="221A3199" w14:textId="77777777" w:rsidR="005975C4" w:rsidRPr="00B01009" w:rsidRDefault="005975C4" w:rsidP="005975C4">
            <w:pPr>
              <w:pStyle w:val="ab"/>
              <w:ind w:firstLine="486"/>
              <w:jc w:val="both"/>
              <w:rPr>
                <w:rFonts w:ascii="Times New Roman" w:hAnsi="Times New Roman" w:cs="Times New Roman"/>
                <w:bCs/>
                <w:sz w:val="24"/>
                <w:szCs w:val="24"/>
              </w:rPr>
            </w:pPr>
          </w:p>
          <w:p w14:paraId="61ED7A58" w14:textId="77777777" w:rsidR="005975C4" w:rsidRPr="00B01009" w:rsidRDefault="005975C4" w:rsidP="005975C4">
            <w:pPr>
              <w:pStyle w:val="ab"/>
              <w:ind w:firstLine="486"/>
              <w:jc w:val="both"/>
              <w:rPr>
                <w:rFonts w:ascii="Times New Roman" w:hAnsi="Times New Roman" w:cs="Times New Roman"/>
                <w:bCs/>
                <w:sz w:val="24"/>
                <w:szCs w:val="24"/>
              </w:rPr>
            </w:pPr>
            <w:r w:rsidRPr="00B01009">
              <w:rPr>
                <w:rFonts w:ascii="Times New Roman" w:hAnsi="Times New Roman" w:cs="Times New Roman"/>
                <w:bCs/>
                <w:sz w:val="24"/>
                <w:szCs w:val="24"/>
              </w:rPr>
              <w:t>1. Система местных налогов включает:</w:t>
            </w:r>
          </w:p>
          <w:p w14:paraId="6E7B71E9" w14:textId="77777777" w:rsidR="005975C4" w:rsidRPr="00B01009" w:rsidRDefault="005975C4" w:rsidP="005975C4">
            <w:pPr>
              <w:ind w:firstLine="486"/>
              <w:contextualSpacing/>
              <w:jc w:val="both"/>
              <w:rPr>
                <w:b w:val="0"/>
                <w:color w:val="auto"/>
                <w:sz w:val="24"/>
                <w:szCs w:val="24"/>
              </w:rPr>
            </w:pPr>
            <w:r w:rsidRPr="00B01009">
              <w:rPr>
                <w:b w:val="0"/>
                <w:color w:val="auto"/>
                <w:sz w:val="24"/>
                <w:szCs w:val="24"/>
              </w:rPr>
              <w:t>…</w:t>
            </w:r>
          </w:p>
          <w:p w14:paraId="607D85B8" w14:textId="779A342B"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 xml:space="preserve">о) сбор за приобретение недвижимого имущества. Сбор уплачивают лица (покупатели и (или) принимающие в дар), не являющиеся резидентами Приднестровской Молдавской Республики, при государственной регистрации права собственности на недвижимое имущество в размере 10 </w:t>
            </w:r>
            <w:r w:rsidR="006538DC" w:rsidRPr="00B01009">
              <w:rPr>
                <w:bCs w:val="0"/>
                <w:color w:val="auto"/>
                <w:sz w:val="24"/>
                <w:szCs w:val="24"/>
              </w:rPr>
              <w:t>(десять)</w:t>
            </w:r>
            <w:r w:rsidR="006538DC" w:rsidRPr="00B01009">
              <w:rPr>
                <w:b w:val="0"/>
                <w:bCs w:val="0"/>
                <w:color w:val="auto"/>
                <w:sz w:val="24"/>
                <w:szCs w:val="24"/>
              </w:rPr>
              <w:t xml:space="preserve"> </w:t>
            </w:r>
            <w:r w:rsidRPr="00B01009">
              <w:rPr>
                <w:b w:val="0"/>
                <w:bCs w:val="0"/>
                <w:color w:val="auto"/>
                <w:sz w:val="24"/>
                <w:szCs w:val="24"/>
              </w:rPr>
              <w:t>процентов от суммы договора купли-продажи (дарения) недвижимого имущества, но не ниже суммы, рассчитанной по следующим ставкам:</w:t>
            </w:r>
          </w:p>
          <w:p w14:paraId="4A7FD655"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1) в отношении объектов недвижимости, зарегистрированных в установленном порядке с указанием площади объекта недвижимости:</w:t>
            </w:r>
          </w:p>
          <w:p w14:paraId="254E69B3" w14:textId="4C976E62"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 xml:space="preserve">а) </w:t>
            </w:r>
            <w:r w:rsidR="00D745B6" w:rsidRPr="00B01009">
              <w:rPr>
                <w:bCs w:val="0"/>
                <w:color w:val="auto"/>
                <w:sz w:val="24"/>
                <w:szCs w:val="24"/>
              </w:rPr>
              <w:t>10</w:t>
            </w:r>
            <w:r w:rsidRPr="00B01009">
              <w:rPr>
                <w:bCs w:val="0"/>
                <w:color w:val="auto"/>
                <w:sz w:val="24"/>
                <w:szCs w:val="24"/>
              </w:rPr>
              <w:t xml:space="preserve"> (</w:t>
            </w:r>
            <w:r w:rsidR="00D745B6" w:rsidRPr="00B01009">
              <w:rPr>
                <w:bCs w:val="0"/>
                <w:color w:val="auto"/>
                <w:sz w:val="24"/>
                <w:szCs w:val="24"/>
              </w:rPr>
              <w:t>десять</w:t>
            </w:r>
            <w:r w:rsidRPr="00B01009">
              <w:rPr>
                <w:bCs w:val="0"/>
                <w:color w:val="auto"/>
                <w:sz w:val="24"/>
                <w:szCs w:val="24"/>
              </w:rPr>
              <w:t>)</w:t>
            </w:r>
            <w:r w:rsidRPr="00B01009">
              <w:rPr>
                <w:b w:val="0"/>
                <w:bCs w:val="0"/>
                <w:color w:val="auto"/>
                <w:sz w:val="24"/>
                <w:szCs w:val="24"/>
              </w:rPr>
              <w:t xml:space="preserve"> РУ МЗП за каждый квадратный метр общей площади приобретаемого объекта недвижимого имущества, расположенного в городском населенном пункте;</w:t>
            </w:r>
          </w:p>
          <w:p w14:paraId="4C39C44E" w14:textId="3A453B29"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 xml:space="preserve">б) </w:t>
            </w:r>
            <w:r w:rsidR="00D745B6" w:rsidRPr="00B01009">
              <w:rPr>
                <w:bCs w:val="0"/>
                <w:color w:val="auto"/>
                <w:sz w:val="24"/>
                <w:szCs w:val="24"/>
              </w:rPr>
              <w:t>3,</w:t>
            </w:r>
            <w:r w:rsidR="00D057E6" w:rsidRPr="00B01009">
              <w:rPr>
                <w:bCs w:val="0"/>
                <w:color w:val="auto"/>
                <w:sz w:val="24"/>
                <w:szCs w:val="24"/>
              </w:rPr>
              <w:t>3</w:t>
            </w:r>
            <w:r w:rsidRPr="00B01009">
              <w:rPr>
                <w:b w:val="0"/>
                <w:bCs w:val="0"/>
                <w:color w:val="auto"/>
                <w:sz w:val="24"/>
                <w:szCs w:val="24"/>
              </w:rPr>
              <w:t xml:space="preserve"> РУ МЗП за каждый квадратный метр общей площади приобретаемого объекта недвижимого имущества, расположенного в сельском населенном пункте или за пределами границ населенных пунктов;</w:t>
            </w:r>
          </w:p>
          <w:p w14:paraId="5F2CBABA" w14:textId="77777777"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2) в отношении объектов недвижимости, зарегистрированных в установленном порядке с указанием объема объекта:</w:t>
            </w:r>
          </w:p>
          <w:p w14:paraId="52045BF8" w14:textId="1ADAC016" w:rsidR="00291544" w:rsidRPr="00B01009" w:rsidRDefault="00291544" w:rsidP="00F22020">
            <w:pPr>
              <w:ind w:firstLine="486"/>
              <w:contextualSpacing/>
              <w:jc w:val="both"/>
              <w:rPr>
                <w:b w:val="0"/>
                <w:bCs w:val="0"/>
                <w:color w:val="auto"/>
                <w:sz w:val="24"/>
                <w:szCs w:val="24"/>
              </w:rPr>
            </w:pPr>
            <w:r w:rsidRPr="00B01009">
              <w:rPr>
                <w:b w:val="0"/>
                <w:bCs w:val="0"/>
                <w:color w:val="auto"/>
                <w:sz w:val="24"/>
                <w:szCs w:val="24"/>
              </w:rPr>
              <w:t xml:space="preserve">а) </w:t>
            </w:r>
            <w:r w:rsidR="0021078E" w:rsidRPr="00B01009">
              <w:rPr>
                <w:bCs w:val="0"/>
                <w:color w:val="auto"/>
                <w:sz w:val="24"/>
                <w:szCs w:val="24"/>
              </w:rPr>
              <w:t>4,5</w:t>
            </w:r>
            <w:r w:rsidRPr="00B01009">
              <w:rPr>
                <w:bCs w:val="0"/>
                <w:color w:val="auto"/>
                <w:sz w:val="24"/>
                <w:szCs w:val="24"/>
              </w:rPr>
              <w:t xml:space="preserve"> РУ МЗП</w:t>
            </w:r>
            <w:r w:rsidRPr="00B01009">
              <w:rPr>
                <w:b w:val="0"/>
                <w:bCs w:val="0"/>
                <w:color w:val="auto"/>
                <w:sz w:val="24"/>
                <w:szCs w:val="24"/>
              </w:rPr>
              <w:t xml:space="preserve"> за каждый кубический метр общего объема приобретаемого объекта недвижимого имущества, расположенного в городском населенном пункте;</w:t>
            </w:r>
          </w:p>
          <w:p w14:paraId="4AD9A743" w14:textId="77777777" w:rsidR="002B1405" w:rsidRPr="00B01009" w:rsidRDefault="00291544" w:rsidP="005975C4">
            <w:pPr>
              <w:ind w:firstLine="486"/>
              <w:jc w:val="both"/>
              <w:rPr>
                <w:b w:val="0"/>
                <w:bCs w:val="0"/>
                <w:color w:val="auto"/>
                <w:sz w:val="24"/>
                <w:szCs w:val="24"/>
              </w:rPr>
            </w:pPr>
            <w:r w:rsidRPr="00B01009">
              <w:rPr>
                <w:b w:val="0"/>
                <w:bCs w:val="0"/>
                <w:color w:val="auto"/>
                <w:sz w:val="24"/>
                <w:szCs w:val="24"/>
              </w:rPr>
              <w:t xml:space="preserve">б) </w:t>
            </w:r>
            <w:r w:rsidR="0021078E" w:rsidRPr="00B01009">
              <w:rPr>
                <w:bCs w:val="0"/>
                <w:color w:val="auto"/>
                <w:sz w:val="24"/>
                <w:szCs w:val="24"/>
              </w:rPr>
              <w:t>1,5</w:t>
            </w:r>
            <w:r w:rsidRPr="00B01009">
              <w:rPr>
                <w:bCs w:val="0"/>
                <w:color w:val="auto"/>
                <w:sz w:val="24"/>
                <w:szCs w:val="24"/>
              </w:rPr>
              <w:t xml:space="preserve"> РУ МЗП</w:t>
            </w:r>
            <w:r w:rsidRPr="00B01009">
              <w:rPr>
                <w:b w:val="0"/>
                <w:bCs w:val="0"/>
                <w:color w:val="auto"/>
                <w:sz w:val="24"/>
                <w:szCs w:val="24"/>
              </w:rPr>
              <w:t xml:space="preserve"> за каждый кубический метр общего объема приобретаемого объекта недвижимого имущества, расположенного сельском населенном пункте или за пределами границ населенных пунктов.</w:t>
            </w:r>
          </w:p>
          <w:p w14:paraId="5C174DCB" w14:textId="5091911A" w:rsidR="004D6EAE" w:rsidRPr="00B01009" w:rsidRDefault="004D6EAE" w:rsidP="005975C4">
            <w:pPr>
              <w:ind w:firstLine="486"/>
              <w:jc w:val="both"/>
              <w:rPr>
                <w:rFonts w:eastAsiaTheme="minorHAnsi"/>
                <w:b w:val="0"/>
                <w:color w:val="auto"/>
                <w:sz w:val="24"/>
                <w:szCs w:val="24"/>
                <w:lang w:eastAsia="en-US"/>
              </w:rPr>
            </w:pPr>
            <w:r w:rsidRPr="00B01009">
              <w:rPr>
                <w:rFonts w:eastAsiaTheme="minorHAnsi"/>
                <w:b w:val="0"/>
                <w:color w:val="auto"/>
                <w:sz w:val="24"/>
                <w:szCs w:val="24"/>
                <w:lang w:eastAsia="en-US"/>
              </w:rPr>
              <w:t>…</w:t>
            </w:r>
          </w:p>
        </w:tc>
      </w:tr>
    </w:tbl>
    <w:p w14:paraId="57D31389" w14:textId="77777777" w:rsidR="009B3B12" w:rsidRDefault="009B3B12" w:rsidP="00A77EA3">
      <w:pPr>
        <w:jc w:val="both"/>
        <w:rPr>
          <w:b w:val="0"/>
          <w:sz w:val="24"/>
          <w:szCs w:val="24"/>
        </w:rPr>
      </w:pPr>
    </w:p>
    <w:sectPr w:rsidR="009B3B12" w:rsidSect="00F2202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017B9"/>
    <w:multiLevelType w:val="hybridMultilevel"/>
    <w:tmpl w:val="011C026C"/>
    <w:lvl w:ilvl="0" w:tplc="8A5A4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F9"/>
    <w:rsid w:val="00003DD3"/>
    <w:rsid w:val="000101A9"/>
    <w:rsid w:val="00013B62"/>
    <w:rsid w:val="0001687A"/>
    <w:rsid w:val="00031B37"/>
    <w:rsid w:val="00032A1D"/>
    <w:rsid w:val="00050F59"/>
    <w:rsid w:val="00060979"/>
    <w:rsid w:val="00063D01"/>
    <w:rsid w:val="00064A36"/>
    <w:rsid w:val="00070ECE"/>
    <w:rsid w:val="00072B5D"/>
    <w:rsid w:val="00072D82"/>
    <w:rsid w:val="00073659"/>
    <w:rsid w:val="0007544B"/>
    <w:rsid w:val="00081F44"/>
    <w:rsid w:val="00086215"/>
    <w:rsid w:val="0008759B"/>
    <w:rsid w:val="000A7A7C"/>
    <w:rsid w:val="000B56B5"/>
    <w:rsid w:val="000C296B"/>
    <w:rsid w:val="000D0281"/>
    <w:rsid w:val="000D3BD3"/>
    <w:rsid w:val="000E4D1B"/>
    <w:rsid w:val="000F72EC"/>
    <w:rsid w:val="0010397E"/>
    <w:rsid w:val="0010533C"/>
    <w:rsid w:val="001057E6"/>
    <w:rsid w:val="001170E3"/>
    <w:rsid w:val="00122B8F"/>
    <w:rsid w:val="00130064"/>
    <w:rsid w:val="00152B3B"/>
    <w:rsid w:val="001535E2"/>
    <w:rsid w:val="00155E30"/>
    <w:rsid w:val="00156165"/>
    <w:rsid w:val="00164AB8"/>
    <w:rsid w:val="0016768A"/>
    <w:rsid w:val="001710AF"/>
    <w:rsid w:val="0018068D"/>
    <w:rsid w:val="001915E3"/>
    <w:rsid w:val="001A3BD3"/>
    <w:rsid w:val="001A3CC9"/>
    <w:rsid w:val="001B0675"/>
    <w:rsid w:val="001B0A54"/>
    <w:rsid w:val="001B0EEB"/>
    <w:rsid w:val="001B1041"/>
    <w:rsid w:val="001C2C62"/>
    <w:rsid w:val="001D050F"/>
    <w:rsid w:val="001E1ECE"/>
    <w:rsid w:val="001F2D9E"/>
    <w:rsid w:val="00204F1B"/>
    <w:rsid w:val="002059D4"/>
    <w:rsid w:val="0021078E"/>
    <w:rsid w:val="00215F60"/>
    <w:rsid w:val="00217278"/>
    <w:rsid w:val="00225C78"/>
    <w:rsid w:val="00226AA9"/>
    <w:rsid w:val="002275D0"/>
    <w:rsid w:val="00230C81"/>
    <w:rsid w:val="00236D61"/>
    <w:rsid w:val="00255244"/>
    <w:rsid w:val="00262315"/>
    <w:rsid w:val="00263375"/>
    <w:rsid w:val="00265066"/>
    <w:rsid w:val="00266015"/>
    <w:rsid w:val="0027568B"/>
    <w:rsid w:val="00285DEE"/>
    <w:rsid w:val="002913FA"/>
    <w:rsid w:val="00291544"/>
    <w:rsid w:val="00292C90"/>
    <w:rsid w:val="00297E95"/>
    <w:rsid w:val="002A4A9B"/>
    <w:rsid w:val="002A663C"/>
    <w:rsid w:val="002A7B60"/>
    <w:rsid w:val="002B0370"/>
    <w:rsid w:val="002B1405"/>
    <w:rsid w:val="002B67BE"/>
    <w:rsid w:val="003100B7"/>
    <w:rsid w:val="00313319"/>
    <w:rsid w:val="00324E27"/>
    <w:rsid w:val="00326807"/>
    <w:rsid w:val="003270EC"/>
    <w:rsid w:val="0034003D"/>
    <w:rsid w:val="003403F9"/>
    <w:rsid w:val="0034130F"/>
    <w:rsid w:val="00346C3B"/>
    <w:rsid w:val="003501E8"/>
    <w:rsid w:val="0035174F"/>
    <w:rsid w:val="0036345E"/>
    <w:rsid w:val="00365DFD"/>
    <w:rsid w:val="0037576B"/>
    <w:rsid w:val="00384956"/>
    <w:rsid w:val="003859FB"/>
    <w:rsid w:val="0038698F"/>
    <w:rsid w:val="00395E20"/>
    <w:rsid w:val="003965F5"/>
    <w:rsid w:val="00397EAB"/>
    <w:rsid w:val="003A0831"/>
    <w:rsid w:val="003A1EDE"/>
    <w:rsid w:val="003A2F0C"/>
    <w:rsid w:val="003A71CA"/>
    <w:rsid w:val="003B241D"/>
    <w:rsid w:val="003B5056"/>
    <w:rsid w:val="003B6627"/>
    <w:rsid w:val="003C20BB"/>
    <w:rsid w:val="003C6919"/>
    <w:rsid w:val="003D1221"/>
    <w:rsid w:val="003D7A88"/>
    <w:rsid w:val="003E55BC"/>
    <w:rsid w:val="003E64BF"/>
    <w:rsid w:val="003E6F43"/>
    <w:rsid w:val="00401131"/>
    <w:rsid w:val="00402F99"/>
    <w:rsid w:val="00405EDF"/>
    <w:rsid w:val="00407C14"/>
    <w:rsid w:val="00412B8E"/>
    <w:rsid w:val="00414413"/>
    <w:rsid w:val="00423482"/>
    <w:rsid w:val="00426C99"/>
    <w:rsid w:val="00427EF0"/>
    <w:rsid w:val="00432BB8"/>
    <w:rsid w:val="004338CE"/>
    <w:rsid w:val="0044061D"/>
    <w:rsid w:val="00443AE7"/>
    <w:rsid w:val="004443D2"/>
    <w:rsid w:val="00444863"/>
    <w:rsid w:val="00447382"/>
    <w:rsid w:val="00460565"/>
    <w:rsid w:val="0046495A"/>
    <w:rsid w:val="00470627"/>
    <w:rsid w:val="00480E30"/>
    <w:rsid w:val="00491933"/>
    <w:rsid w:val="00495E18"/>
    <w:rsid w:val="00497585"/>
    <w:rsid w:val="004A1A98"/>
    <w:rsid w:val="004A2AE8"/>
    <w:rsid w:val="004A48A6"/>
    <w:rsid w:val="004A6BE9"/>
    <w:rsid w:val="004B2947"/>
    <w:rsid w:val="004B666B"/>
    <w:rsid w:val="004C246D"/>
    <w:rsid w:val="004C7446"/>
    <w:rsid w:val="004D37A1"/>
    <w:rsid w:val="004D6EAE"/>
    <w:rsid w:val="004E2B30"/>
    <w:rsid w:val="004E2B52"/>
    <w:rsid w:val="004E4871"/>
    <w:rsid w:val="004E48E7"/>
    <w:rsid w:val="004E4D86"/>
    <w:rsid w:val="004E5805"/>
    <w:rsid w:val="004F5E73"/>
    <w:rsid w:val="004F6ACB"/>
    <w:rsid w:val="005002D0"/>
    <w:rsid w:val="005018F1"/>
    <w:rsid w:val="00506EDA"/>
    <w:rsid w:val="00514C11"/>
    <w:rsid w:val="00515571"/>
    <w:rsid w:val="00515946"/>
    <w:rsid w:val="00516348"/>
    <w:rsid w:val="00532ABA"/>
    <w:rsid w:val="00535EAA"/>
    <w:rsid w:val="00540148"/>
    <w:rsid w:val="00540965"/>
    <w:rsid w:val="005415D3"/>
    <w:rsid w:val="00544895"/>
    <w:rsid w:val="00545A05"/>
    <w:rsid w:val="00552C36"/>
    <w:rsid w:val="00562B2F"/>
    <w:rsid w:val="0056301A"/>
    <w:rsid w:val="00564C8C"/>
    <w:rsid w:val="00565375"/>
    <w:rsid w:val="00565DA3"/>
    <w:rsid w:val="00572F28"/>
    <w:rsid w:val="00583056"/>
    <w:rsid w:val="005844EA"/>
    <w:rsid w:val="005944B1"/>
    <w:rsid w:val="00595882"/>
    <w:rsid w:val="005975C4"/>
    <w:rsid w:val="005A41D4"/>
    <w:rsid w:val="005A43C4"/>
    <w:rsid w:val="005A67E4"/>
    <w:rsid w:val="005B35C4"/>
    <w:rsid w:val="005B4677"/>
    <w:rsid w:val="005C7176"/>
    <w:rsid w:val="005E4873"/>
    <w:rsid w:val="005E6AA2"/>
    <w:rsid w:val="005E76A3"/>
    <w:rsid w:val="005F29EE"/>
    <w:rsid w:val="005F58E2"/>
    <w:rsid w:val="00606587"/>
    <w:rsid w:val="00606ECB"/>
    <w:rsid w:val="006076F8"/>
    <w:rsid w:val="00610D71"/>
    <w:rsid w:val="00611819"/>
    <w:rsid w:val="00625109"/>
    <w:rsid w:val="00645369"/>
    <w:rsid w:val="006538DC"/>
    <w:rsid w:val="006552A0"/>
    <w:rsid w:val="006630CA"/>
    <w:rsid w:val="00665AB0"/>
    <w:rsid w:val="00665D11"/>
    <w:rsid w:val="00673429"/>
    <w:rsid w:val="00673EEE"/>
    <w:rsid w:val="00682827"/>
    <w:rsid w:val="006872BA"/>
    <w:rsid w:val="0069041A"/>
    <w:rsid w:val="006905E0"/>
    <w:rsid w:val="00694DE0"/>
    <w:rsid w:val="006A2DDB"/>
    <w:rsid w:val="006C0912"/>
    <w:rsid w:val="006D181E"/>
    <w:rsid w:val="006E4774"/>
    <w:rsid w:val="006E5A15"/>
    <w:rsid w:val="006E5C86"/>
    <w:rsid w:val="006F0919"/>
    <w:rsid w:val="006F1F45"/>
    <w:rsid w:val="006F5717"/>
    <w:rsid w:val="006F6289"/>
    <w:rsid w:val="00702D0D"/>
    <w:rsid w:val="00702FB7"/>
    <w:rsid w:val="00705942"/>
    <w:rsid w:val="00713032"/>
    <w:rsid w:val="007212DF"/>
    <w:rsid w:val="00730307"/>
    <w:rsid w:val="00735B0F"/>
    <w:rsid w:val="00737663"/>
    <w:rsid w:val="007464DC"/>
    <w:rsid w:val="00763696"/>
    <w:rsid w:val="00764338"/>
    <w:rsid w:val="00773F9D"/>
    <w:rsid w:val="00774404"/>
    <w:rsid w:val="00774FE8"/>
    <w:rsid w:val="007824C7"/>
    <w:rsid w:val="00785CF2"/>
    <w:rsid w:val="007878BC"/>
    <w:rsid w:val="0079410F"/>
    <w:rsid w:val="007A454C"/>
    <w:rsid w:val="007B02BC"/>
    <w:rsid w:val="007B27EC"/>
    <w:rsid w:val="007B3E35"/>
    <w:rsid w:val="007B6E36"/>
    <w:rsid w:val="007B70A6"/>
    <w:rsid w:val="007C0697"/>
    <w:rsid w:val="007C1B0E"/>
    <w:rsid w:val="007C5A7E"/>
    <w:rsid w:val="007C5C4A"/>
    <w:rsid w:val="007D19A7"/>
    <w:rsid w:val="007D2EDD"/>
    <w:rsid w:val="007D3C79"/>
    <w:rsid w:val="007E5774"/>
    <w:rsid w:val="007F3F53"/>
    <w:rsid w:val="007F3F6A"/>
    <w:rsid w:val="0080153E"/>
    <w:rsid w:val="00811B86"/>
    <w:rsid w:val="00812A8D"/>
    <w:rsid w:val="00824060"/>
    <w:rsid w:val="00824837"/>
    <w:rsid w:val="008277FF"/>
    <w:rsid w:val="00833F1A"/>
    <w:rsid w:val="00840863"/>
    <w:rsid w:val="00843972"/>
    <w:rsid w:val="00845128"/>
    <w:rsid w:val="0084659B"/>
    <w:rsid w:val="008479A4"/>
    <w:rsid w:val="00847DF4"/>
    <w:rsid w:val="00851498"/>
    <w:rsid w:val="00852501"/>
    <w:rsid w:val="00855918"/>
    <w:rsid w:val="00865CA9"/>
    <w:rsid w:val="00874A0B"/>
    <w:rsid w:val="0087633E"/>
    <w:rsid w:val="00880775"/>
    <w:rsid w:val="00885783"/>
    <w:rsid w:val="008944AB"/>
    <w:rsid w:val="008B21C8"/>
    <w:rsid w:val="008B2218"/>
    <w:rsid w:val="008B61B5"/>
    <w:rsid w:val="008C27AC"/>
    <w:rsid w:val="008D3FEB"/>
    <w:rsid w:val="008D67E9"/>
    <w:rsid w:val="008E0D72"/>
    <w:rsid w:val="008F51E3"/>
    <w:rsid w:val="008F7DAD"/>
    <w:rsid w:val="00901591"/>
    <w:rsid w:val="00904DC3"/>
    <w:rsid w:val="0091026B"/>
    <w:rsid w:val="009119DD"/>
    <w:rsid w:val="00911EE2"/>
    <w:rsid w:val="00916BE6"/>
    <w:rsid w:val="00921619"/>
    <w:rsid w:val="00930569"/>
    <w:rsid w:val="00934F8D"/>
    <w:rsid w:val="00941794"/>
    <w:rsid w:val="00944ED2"/>
    <w:rsid w:val="00951369"/>
    <w:rsid w:val="0095285A"/>
    <w:rsid w:val="009574C1"/>
    <w:rsid w:val="009575E4"/>
    <w:rsid w:val="0095796F"/>
    <w:rsid w:val="00965065"/>
    <w:rsid w:val="00966CBE"/>
    <w:rsid w:val="00973292"/>
    <w:rsid w:val="0097615B"/>
    <w:rsid w:val="00977C2A"/>
    <w:rsid w:val="00983ACB"/>
    <w:rsid w:val="00985FB9"/>
    <w:rsid w:val="00990BEB"/>
    <w:rsid w:val="009933D9"/>
    <w:rsid w:val="009A1B46"/>
    <w:rsid w:val="009A1C29"/>
    <w:rsid w:val="009A353E"/>
    <w:rsid w:val="009A537A"/>
    <w:rsid w:val="009A5821"/>
    <w:rsid w:val="009B031C"/>
    <w:rsid w:val="009B3B12"/>
    <w:rsid w:val="009B4C05"/>
    <w:rsid w:val="009B7489"/>
    <w:rsid w:val="009C08C2"/>
    <w:rsid w:val="009C35CE"/>
    <w:rsid w:val="009C39E9"/>
    <w:rsid w:val="009C749D"/>
    <w:rsid w:val="009D61AB"/>
    <w:rsid w:val="009E50AE"/>
    <w:rsid w:val="009E73AC"/>
    <w:rsid w:val="009F0135"/>
    <w:rsid w:val="009F10DE"/>
    <w:rsid w:val="009F3C3C"/>
    <w:rsid w:val="009F5900"/>
    <w:rsid w:val="009F7116"/>
    <w:rsid w:val="009F7C44"/>
    <w:rsid w:val="00A00B59"/>
    <w:rsid w:val="00A00C0F"/>
    <w:rsid w:val="00A04A0D"/>
    <w:rsid w:val="00A12E26"/>
    <w:rsid w:val="00A13E5E"/>
    <w:rsid w:val="00A155D0"/>
    <w:rsid w:val="00A200C0"/>
    <w:rsid w:val="00A211D9"/>
    <w:rsid w:val="00A2227E"/>
    <w:rsid w:val="00A225A7"/>
    <w:rsid w:val="00A24570"/>
    <w:rsid w:val="00A46C1D"/>
    <w:rsid w:val="00A5357A"/>
    <w:rsid w:val="00A5358A"/>
    <w:rsid w:val="00A543D9"/>
    <w:rsid w:val="00A5678C"/>
    <w:rsid w:val="00A571E8"/>
    <w:rsid w:val="00A666DF"/>
    <w:rsid w:val="00A742FB"/>
    <w:rsid w:val="00A76AFE"/>
    <w:rsid w:val="00A77EA3"/>
    <w:rsid w:val="00A81F80"/>
    <w:rsid w:val="00A83B8F"/>
    <w:rsid w:val="00A85EB6"/>
    <w:rsid w:val="00A94C5B"/>
    <w:rsid w:val="00A96781"/>
    <w:rsid w:val="00A97300"/>
    <w:rsid w:val="00AA4E8B"/>
    <w:rsid w:val="00AA7BA1"/>
    <w:rsid w:val="00AB3A29"/>
    <w:rsid w:val="00AB5C9F"/>
    <w:rsid w:val="00AB74A0"/>
    <w:rsid w:val="00AC427B"/>
    <w:rsid w:val="00AD1A39"/>
    <w:rsid w:val="00AD1FD6"/>
    <w:rsid w:val="00AD2393"/>
    <w:rsid w:val="00AD5F63"/>
    <w:rsid w:val="00AE46C6"/>
    <w:rsid w:val="00AF2FD4"/>
    <w:rsid w:val="00B0051D"/>
    <w:rsid w:val="00B01009"/>
    <w:rsid w:val="00B041F1"/>
    <w:rsid w:val="00B135A0"/>
    <w:rsid w:val="00B14FFC"/>
    <w:rsid w:val="00B1618B"/>
    <w:rsid w:val="00B17994"/>
    <w:rsid w:val="00B22781"/>
    <w:rsid w:val="00B23F9D"/>
    <w:rsid w:val="00B42F6E"/>
    <w:rsid w:val="00B4409E"/>
    <w:rsid w:val="00B4477A"/>
    <w:rsid w:val="00B448A8"/>
    <w:rsid w:val="00B5181A"/>
    <w:rsid w:val="00B70AB0"/>
    <w:rsid w:val="00B72DF5"/>
    <w:rsid w:val="00B80659"/>
    <w:rsid w:val="00B85846"/>
    <w:rsid w:val="00B95D73"/>
    <w:rsid w:val="00BC36B1"/>
    <w:rsid w:val="00BC6D55"/>
    <w:rsid w:val="00BD38A5"/>
    <w:rsid w:val="00BE6D53"/>
    <w:rsid w:val="00BF71EC"/>
    <w:rsid w:val="00C04345"/>
    <w:rsid w:val="00C04A06"/>
    <w:rsid w:val="00C05E7B"/>
    <w:rsid w:val="00C1511F"/>
    <w:rsid w:val="00C17863"/>
    <w:rsid w:val="00C26E78"/>
    <w:rsid w:val="00C27F0B"/>
    <w:rsid w:val="00C3238F"/>
    <w:rsid w:val="00C33957"/>
    <w:rsid w:val="00C53FAB"/>
    <w:rsid w:val="00C62335"/>
    <w:rsid w:val="00C631FE"/>
    <w:rsid w:val="00C644E8"/>
    <w:rsid w:val="00C64E65"/>
    <w:rsid w:val="00C83546"/>
    <w:rsid w:val="00C90718"/>
    <w:rsid w:val="00CA1545"/>
    <w:rsid w:val="00CA370D"/>
    <w:rsid w:val="00CA3D94"/>
    <w:rsid w:val="00CA73B3"/>
    <w:rsid w:val="00CB073D"/>
    <w:rsid w:val="00CB090B"/>
    <w:rsid w:val="00CB0F7E"/>
    <w:rsid w:val="00CB1944"/>
    <w:rsid w:val="00CB2506"/>
    <w:rsid w:val="00CB5E15"/>
    <w:rsid w:val="00CB6951"/>
    <w:rsid w:val="00CC1A3D"/>
    <w:rsid w:val="00CC4B11"/>
    <w:rsid w:val="00CD29C0"/>
    <w:rsid w:val="00CD2B99"/>
    <w:rsid w:val="00CD45DA"/>
    <w:rsid w:val="00CD5883"/>
    <w:rsid w:val="00CD6A2A"/>
    <w:rsid w:val="00CE5FE3"/>
    <w:rsid w:val="00CF2A93"/>
    <w:rsid w:val="00D00D01"/>
    <w:rsid w:val="00D03625"/>
    <w:rsid w:val="00D053E2"/>
    <w:rsid w:val="00D057E6"/>
    <w:rsid w:val="00D203DD"/>
    <w:rsid w:val="00D261CC"/>
    <w:rsid w:val="00D32BFF"/>
    <w:rsid w:val="00D3697B"/>
    <w:rsid w:val="00D40908"/>
    <w:rsid w:val="00D42922"/>
    <w:rsid w:val="00D479C3"/>
    <w:rsid w:val="00D517CD"/>
    <w:rsid w:val="00D52F81"/>
    <w:rsid w:val="00D536EC"/>
    <w:rsid w:val="00D66B8A"/>
    <w:rsid w:val="00D66BF4"/>
    <w:rsid w:val="00D745B6"/>
    <w:rsid w:val="00D813B8"/>
    <w:rsid w:val="00D877F5"/>
    <w:rsid w:val="00D9265C"/>
    <w:rsid w:val="00DA1A57"/>
    <w:rsid w:val="00DA3A92"/>
    <w:rsid w:val="00DA7A4A"/>
    <w:rsid w:val="00DB0397"/>
    <w:rsid w:val="00DB09EC"/>
    <w:rsid w:val="00DD0983"/>
    <w:rsid w:val="00DD60E8"/>
    <w:rsid w:val="00DE00AF"/>
    <w:rsid w:val="00DE5F69"/>
    <w:rsid w:val="00DF0C6C"/>
    <w:rsid w:val="00DF7328"/>
    <w:rsid w:val="00E11226"/>
    <w:rsid w:val="00E359DF"/>
    <w:rsid w:val="00E5205B"/>
    <w:rsid w:val="00E54921"/>
    <w:rsid w:val="00E554DE"/>
    <w:rsid w:val="00E62065"/>
    <w:rsid w:val="00E649AB"/>
    <w:rsid w:val="00E650B5"/>
    <w:rsid w:val="00E7458B"/>
    <w:rsid w:val="00E773AD"/>
    <w:rsid w:val="00E803D6"/>
    <w:rsid w:val="00E96CB6"/>
    <w:rsid w:val="00EA31B1"/>
    <w:rsid w:val="00EA55D4"/>
    <w:rsid w:val="00EA784E"/>
    <w:rsid w:val="00EB54DE"/>
    <w:rsid w:val="00EB60E9"/>
    <w:rsid w:val="00EB6B37"/>
    <w:rsid w:val="00EC02E1"/>
    <w:rsid w:val="00EC73E1"/>
    <w:rsid w:val="00ED1BD3"/>
    <w:rsid w:val="00ED6F55"/>
    <w:rsid w:val="00EE2409"/>
    <w:rsid w:val="00EE429A"/>
    <w:rsid w:val="00EE4C67"/>
    <w:rsid w:val="00EF11C6"/>
    <w:rsid w:val="00EF4BC1"/>
    <w:rsid w:val="00EF4C56"/>
    <w:rsid w:val="00F0274C"/>
    <w:rsid w:val="00F040D5"/>
    <w:rsid w:val="00F17E57"/>
    <w:rsid w:val="00F22020"/>
    <w:rsid w:val="00F23E51"/>
    <w:rsid w:val="00F25C3A"/>
    <w:rsid w:val="00F25F5E"/>
    <w:rsid w:val="00F26EEB"/>
    <w:rsid w:val="00F41287"/>
    <w:rsid w:val="00F451CE"/>
    <w:rsid w:val="00F51553"/>
    <w:rsid w:val="00F52F03"/>
    <w:rsid w:val="00F542E8"/>
    <w:rsid w:val="00F6002F"/>
    <w:rsid w:val="00F60FC5"/>
    <w:rsid w:val="00F61E25"/>
    <w:rsid w:val="00F670EC"/>
    <w:rsid w:val="00F81466"/>
    <w:rsid w:val="00F8242C"/>
    <w:rsid w:val="00F93699"/>
    <w:rsid w:val="00F95452"/>
    <w:rsid w:val="00FC6B29"/>
    <w:rsid w:val="00FD2BED"/>
    <w:rsid w:val="00FE6B22"/>
    <w:rsid w:val="00FE7FED"/>
    <w:rsid w:val="00FF1999"/>
    <w:rsid w:val="00FF2A03"/>
    <w:rsid w:val="00FF447B"/>
    <w:rsid w:val="00FF4A29"/>
    <w:rsid w:val="00FF588B"/>
    <w:rsid w:val="00FF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73AE"/>
  <w15:docId w15:val="{DF081DB6-FBF5-4078-815E-ED73A51B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544"/>
    <w:pPr>
      <w:spacing w:after="0" w:line="240" w:lineRule="auto"/>
    </w:pPr>
    <w:rPr>
      <w:rFonts w:ascii="Times New Roman" w:eastAsia="Times New Roman" w:hAnsi="Times New Roman" w:cs="Times New Roman"/>
      <w:b/>
      <w:bCs/>
      <w:color w:val="000000"/>
      <w:sz w:val="20"/>
      <w:szCs w:val="20"/>
      <w:lang w:eastAsia="ru-RU"/>
    </w:rPr>
  </w:style>
  <w:style w:type="paragraph" w:styleId="3">
    <w:name w:val="heading 3"/>
    <w:basedOn w:val="a"/>
    <w:next w:val="a"/>
    <w:link w:val="30"/>
    <w:uiPriority w:val="9"/>
    <w:unhideWhenUsed/>
    <w:qFormat/>
    <w:rsid w:val="00E773A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944"/>
    <w:pPr>
      <w:ind w:left="720"/>
      <w:contextualSpacing/>
    </w:pPr>
  </w:style>
  <w:style w:type="paragraph" w:styleId="a4">
    <w:name w:val="Balloon Text"/>
    <w:basedOn w:val="a"/>
    <w:link w:val="a5"/>
    <w:uiPriority w:val="99"/>
    <w:semiHidden/>
    <w:unhideWhenUsed/>
    <w:rsid w:val="00B70AB0"/>
    <w:rPr>
      <w:rFonts w:ascii="Segoe UI" w:hAnsi="Segoe UI" w:cs="Segoe UI"/>
      <w:sz w:val="18"/>
      <w:szCs w:val="18"/>
    </w:rPr>
  </w:style>
  <w:style w:type="character" w:customStyle="1" w:styleId="a5">
    <w:name w:val="Текст выноски Знак"/>
    <w:basedOn w:val="a0"/>
    <w:link w:val="a4"/>
    <w:uiPriority w:val="99"/>
    <w:semiHidden/>
    <w:rsid w:val="00B70AB0"/>
    <w:rPr>
      <w:rFonts w:ascii="Segoe UI" w:eastAsia="Times New Roman" w:hAnsi="Segoe UI" w:cs="Segoe UI"/>
      <w:b/>
      <w:bCs/>
      <w:color w:val="000000"/>
      <w:sz w:val="18"/>
      <w:szCs w:val="18"/>
      <w:lang w:eastAsia="ru-RU"/>
    </w:rPr>
  </w:style>
  <w:style w:type="character" w:styleId="a6">
    <w:name w:val="annotation reference"/>
    <w:basedOn w:val="a0"/>
    <w:uiPriority w:val="99"/>
    <w:semiHidden/>
    <w:unhideWhenUsed/>
    <w:rsid w:val="00B70AB0"/>
    <w:rPr>
      <w:sz w:val="16"/>
      <w:szCs w:val="16"/>
    </w:rPr>
  </w:style>
  <w:style w:type="paragraph" w:styleId="a7">
    <w:name w:val="annotation text"/>
    <w:basedOn w:val="a"/>
    <w:link w:val="a8"/>
    <w:uiPriority w:val="99"/>
    <w:semiHidden/>
    <w:unhideWhenUsed/>
    <w:rsid w:val="00B70AB0"/>
  </w:style>
  <w:style w:type="character" w:customStyle="1" w:styleId="a8">
    <w:name w:val="Текст примечания Знак"/>
    <w:basedOn w:val="a0"/>
    <w:link w:val="a7"/>
    <w:uiPriority w:val="99"/>
    <w:semiHidden/>
    <w:rsid w:val="00B70AB0"/>
    <w:rPr>
      <w:rFonts w:ascii="Times New Roman" w:eastAsia="Times New Roman" w:hAnsi="Times New Roman" w:cs="Times New Roman"/>
      <w:b/>
      <w:bCs/>
      <w:color w:val="000000"/>
      <w:sz w:val="20"/>
      <w:szCs w:val="20"/>
      <w:lang w:eastAsia="ru-RU"/>
    </w:rPr>
  </w:style>
  <w:style w:type="paragraph" w:styleId="a9">
    <w:name w:val="annotation subject"/>
    <w:basedOn w:val="a7"/>
    <w:next w:val="a7"/>
    <w:link w:val="aa"/>
    <w:uiPriority w:val="99"/>
    <w:semiHidden/>
    <w:unhideWhenUsed/>
    <w:rsid w:val="00B70AB0"/>
  </w:style>
  <w:style w:type="character" w:customStyle="1" w:styleId="aa">
    <w:name w:val="Тема примечания Знак"/>
    <w:basedOn w:val="a8"/>
    <w:link w:val="a9"/>
    <w:uiPriority w:val="99"/>
    <w:semiHidden/>
    <w:rsid w:val="00B70AB0"/>
    <w:rPr>
      <w:rFonts w:ascii="Times New Roman" w:eastAsia="Times New Roman" w:hAnsi="Times New Roman" w:cs="Times New Roman"/>
      <w:b/>
      <w:bCs/>
      <w:color w:val="000000"/>
      <w:sz w:val="20"/>
      <w:szCs w:val="20"/>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 Знак Знак Знак,Знак Знак Знак Знак Знак Знак Знак Знак Знак Знак,Знак Знак,Знак3 Знак,Текст Знак2 Знак Знак,Текст Знак1 Знак1 Знак Знак,Зн Знак"/>
    <w:link w:val="ab"/>
    <w:locked/>
    <w:rsid w:val="006630CA"/>
    <w:rPr>
      <w:rFonts w:ascii="Courier New" w:hAnsi="Courier New" w:cs="Courier New"/>
    </w:rPr>
  </w:style>
  <w:style w:type="paragraph" w:styleId="ab">
    <w:name w:val="Plain Text"/>
    <w:aliases w:val="Текст Знак1 Знак,Текст Знак Знак Знак,Знак Знак Знак Знак,Знак Знак Знак Знак Знак Знак,Знак Знак Знак Знак Знак Знак Знак Знак Знак,Знак,Знак3,Текст Знак2 Знак,Текст Знак1 Знак1 Знак,Текст Знак2,Зн,Текст Знак Знак, Знак Знак Знак, Знак Знак, Знак"/>
    <w:basedOn w:val="a"/>
    <w:link w:val="1"/>
    <w:unhideWhenUsed/>
    <w:rsid w:val="006630CA"/>
    <w:rPr>
      <w:rFonts w:ascii="Courier New" w:eastAsiaTheme="minorHAnsi" w:hAnsi="Courier New" w:cs="Courier New"/>
      <w:b w:val="0"/>
      <w:bCs w:val="0"/>
      <w:color w:val="auto"/>
      <w:sz w:val="22"/>
      <w:szCs w:val="22"/>
      <w:lang w:eastAsia="en-US"/>
    </w:rPr>
  </w:style>
  <w:style w:type="character" w:customStyle="1" w:styleId="ac">
    <w:name w:val="Текст Знак"/>
    <w:basedOn w:val="a0"/>
    <w:uiPriority w:val="99"/>
    <w:semiHidden/>
    <w:rsid w:val="006630CA"/>
    <w:rPr>
      <w:rFonts w:ascii="Consolas" w:eastAsia="Times New Roman" w:hAnsi="Consolas" w:cs="Times New Roman"/>
      <w:b/>
      <w:bCs/>
      <w:color w:val="000000"/>
      <w:sz w:val="21"/>
      <w:szCs w:val="21"/>
      <w:lang w:eastAsia="ru-RU"/>
    </w:rPr>
  </w:style>
  <w:style w:type="character" w:customStyle="1" w:styleId="30">
    <w:name w:val="Заголовок 3 Знак"/>
    <w:basedOn w:val="a0"/>
    <w:link w:val="3"/>
    <w:uiPriority w:val="9"/>
    <w:rsid w:val="00E773AD"/>
    <w:rPr>
      <w:rFonts w:asciiTheme="majorHAnsi" w:eastAsiaTheme="majorEastAsia" w:hAnsiTheme="majorHAnsi" w:cstheme="majorBidi"/>
      <w:b/>
      <w:bCs/>
      <w:color w:val="1F3763" w:themeColor="accent1" w:themeShade="7F"/>
      <w:sz w:val="24"/>
      <w:szCs w:val="24"/>
      <w:lang w:eastAsia="ru-RU"/>
    </w:r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qFormat/>
    <w:rsid w:val="00764338"/>
    <w:pPr>
      <w:spacing w:before="100" w:beforeAutospacing="1" w:after="100" w:afterAutospacing="1"/>
    </w:pPr>
    <w:rPr>
      <w:b w:val="0"/>
      <w:bCs w:val="0"/>
      <w:color w:val="auto"/>
      <w:sz w:val="24"/>
      <w:szCs w:val="24"/>
    </w:rPr>
  </w:style>
  <w:style w:type="character" w:styleId="af">
    <w:name w:val="Hyperlink"/>
    <w:basedOn w:val="a0"/>
    <w:uiPriority w:val="99"/>
    <w:unhideWhenUsed/>
    <w:rsid w:val="00764338"/>
    <w:rPr>
      <w:color w:val="0000FF"/>
      <w:u w:val="single"/>
    </w:rPr>
  </w:style>
  <w:style w:type="paragraph" w:styleId="af0">
    <w:name w:val="Body Text"/>
    <w:basedOn w:val="a"/>
    <w:link w:val="af1"/>
    <w:uiPriority w:val="99"/>
    <w:semiHidden/>
    <w:unhideWhenUsed/>
    <w:rsid w:val="00764338"/>
    <w:pPr>
      <w:spacing w:after="120"/>
    </w:pPr>
    <w:rPr>
      <w:rFonts w:eastAsia="Calibri"/>
      <w:b w:val="0"/>
      <w:bCs w:val="0"/>
      <w:color w:val="auto"/>
      <w:sz w:val="24"/>
      <w:szCs w:val="24"/>
    </w:rPr>
  </w:style>
  <w:style w:type="character" w:customStyle="1" w:styleId="af1">
    <w:name w:val="Основной текст Знак"/>
    <w:basedOn w:val="a0"/>
    <w:link w:val="af0"/>
    <w:uiPriority w:val="99"/>
    <w:semiHidden/>
    <w:rsid w:val="00764338"/>
    <w:rPr>
      <w:rFonts w:ascii="Times New Roman" w:eastAsia="Calibri" w:hAnsi="Times New Roman" w:cs="Times New Roman"/>
      <w:sz w:val="24"/>
      <w:szCs w:val="24"/>
      <w:lang w:eastAsia="ru-RU"/>
    </w:rPr>
  </w:style>
  <w:style w:type="table" w:styleId="af2">
    <w:name w:val="Table Grid"/>
    <w:basedOn w:val="a1"/>
    <w:uiPriority w:val="39"/>
    <w:rsid w:val="00764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4443D2"/>
    <w:rPr>
      <w:rFonts w:ascii="Times New Roman" w:eastAsia="Times New Roman" w:hAnsi="Times New Roman" w:cs="Times New Roman"/>
      <w:sz w:val="24"/>
      <w:szCs w:val="24"/>
      <w:lang w:eastAsia="ru-RU"/>
    </w:rPr>
  </w:style>
  <w:style w:type="table" w:customStyle="1" w:styleId="10">
    <w:name w:val="Сетка таблицы1"/>
    <w:basedOn w:val="a1"/>
    <w:next w:val="af2"/>
    <w:uiPriority w:val="99"/>
    <w:rsid w:val="00D877F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2"/>
    <w:uiPriority w:val="99"/>
    <w:rsid w:val="00B0051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645369"/>
    <w:rPr>
      <w:b/>
      <w:bCs/>
    </w:rPr>
  </w:style>
  <w:style w:type="character" w:customStyle="1" w:styleId="31">
    <w:name w:val="Текст Знак3"/>
    <w:aliases w:val="Текст Знак1 Знак Знак1,Текст Знак Знак Знак Знак1, Знак Знак Знак Знак Знак,Текст Знак1 Знак1, Знак Знак Знак Знак1,Знак Знак Знак Знак Знак1,Знак Знак2,Текст Знак2 Знак1,Текст Знак1 Знак Знак Знак1,Знак Знак Знак1"/>
    <w:rsid w:val="005975C4"/>
    <w:rPr>
      <w:rFonts w:ascii="Courier New"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887">
      <w:bodyDiv w:val="1"/>
      <w:marLeft w:val="0"/>
      <w:marRight w:val="0"/>
      <w:marTop w:val="0"/>
      <w:marBottom w:val="0"/>
      <w:divBdr>
        <w:top w:val="none" w:sz="0" w:space="0" w:color="auto"/>
        <w:left w:val="none" w:sz="0" w:space="0" w:color="auto"/>
        <w:bottom w:val="none" w:sz="0" w:space="0" w:color="auto"/>
        <w:right w:val="none" w:sz="0" w:space="0" w:color="auto"/>
      </w:divBdr>
    </w:div>
    <w:div w:id="172650551">
      <w:bodyDiv w:val="1"/>
      <w:marLeft w:val="0"/>
      <w:marRight w:val="0"/>
      <w:marTop w:val="0"/>
      <w:marBottom w:val="0"/>
      <w:divBdr>
        <w:top w:val="none" w:sz="0" w:space="0" w:color="auto"/>
        <w:left w:val="none" w:sz="0" w:space="0" w:color="auto"/>
        <w:bottom w:val="none" w:sz="0" w:space="0" w:color="auto"/>
        <w:right w:val="none" w:sz="0" w:space="0" w:color="auto"/>
      </w:divBdr>
    </w:div>
    <w:div w:id="239757225">
      <w:bodyDiv w:val="1"/>
      <w:marLeft w:val="0"/>
      <w:marRight w:val="0"/>
      <w:marTop w:val="0"/>
      <w:marBottom w:val="0"/>
      <w:divBdr>
        <w:top w:val="none" w:sz="0" w:space="0" w:color="auto"/>
        <w:left w:val="none" w:sz="0" w:space="0" w:color="auto"/>
        <w:bottom w:val="none" w:sz="0" w:space="0" w:color="auto"/>
        <w:right w:val="none" w:sz="0" w:space="0" w:color="auto"/>
      </w:divBdr>
    </w:div>
    <w:div w:id="260140701">
      <w:bodyDiv w:val="1"/>
      <w:marLeft w:val="0"/>
      <w:marRight w:val="0"/>
      <w:marTop w:val="0"/>
      <w:marBottom w:val="0"/>
      <w:divBdr>
        <w:top w:val="none" w:sz="0" w:space="0" w:color="auto"/>
        <w:left w:val="none" w:sz="0" w:space="0" w:color="auto"/>
        <w:bottom w:val="none" w:sz="0" w:space="0" w:color="auto"/>
        <w:right w:val="none" w:sz="0" w:space="0" w:color="auto"/>
      </w:divBdr>
    </w:div>
    <w:div w:id="375471693">
      <w:bodyDiv w:val="1"/>
      <w:marLeft w:val="0"/>
      <w:marRight w:val="0"/>
      <w:marTop w:val="0"/>
      <w:marBottom w:val="0"/>
      <w:divBdr>
        <w:top w:val="none" w:sz="0" w:space="0" w:color="auto"/>
        <w:left w:val="none" w:sz="0" w:space="0" w:color="auto"/>
        <w:bottom w:val="none" w:sz="0" w:space="0" w:color="auto"/>
        <w:right w:val="none" w:sz="0" w:space="0" w:color="auto"/>
      </w:divBdr>
    </w:div>
    <w:div w:id="547912208">
      <w:bodyDiv w:val="1"/>
      <w:marLeft w:val="0"/>
      <w:marRight w:val="0"/>
      <w:marTop w:val="0"/>
      <w:marBottom w:val="0"/>
      <w:divBdr>
        <w:top w:val="none" w:sz="0" w:space="0" w:color="auto"/>
        <w:left w:val="none" w:sz="0" w:space="0" w:color="auto"/>
        <w:bottom w:val="none" w:sz="0" w:space="0" w:color="auto"/>
        <w:right w:val="none" w:sz="0" w:space="0" w:color="auto"/>
      </w:divBdr>
    </w:div>
    <w:div w:id="619918758">
      <w:bodyDiv w:val="1"/>
      <w:marLeft w:val="0"/>
      <w:marRight w:val="0"/>
      <w:marTop w:val="0"/>
      <w:marBottom w:val="0"/>
      <w:divBdr>
        <w:top w:val="none" w:sz="0" w:space="0" w:color="auto"/>
        <w:left w:val="none" w:sz="0" w:space="0" w:color="auto"/>
        <w:bottom w:val="none" w:sz="0" w:space="0" w:color="auto"/>
        <w:right w:val="none" w:sz="0" w:space="0" w:color="auto"/>
      </w:divBdr>
      <w:divsChild>
        <w:div w:id="167601645">
          <w:marLeft w:val="0"/>
          <w:marRight w:val="0"/>
          <w:marTop w:val="0"/>
          <w:marBottom w:val="0"/>
          <w:divBdr>
            <w:top w:val="none" w:sz="0" w:space="0" w:color="auto"/>
            <w:left w:val="none" w:sz="0" w:space="0" w:color="auto"/>
            <w:bottom w:val="none" w:sz="0" w:space="0" w:color="auto"/>
            <w:right w:val="none" w:sz="0" w:space="0" w:color="auto"/>
          </w:divBdr>
        </w:div>
        <w:div w:id="1513690737">
          <w:marLeft w:val="0"/>
          <w:marRight w:val="0"/>
          <w:marTop w:val="0"/>
          <w:marBottom w:val="0"/>
          <w:divBdr>
            <w:top w:val="none" w:sz="0" w:space="0" w:color="auto"/>
            <w:left w:val="none" w:sz="0" w:space="0" w:color="auto"/>
            <w:bottom w:val="none" w:sz="0" w:space="0" w:color="auto"/>
            <w:right w:val="none" w:sz="0" w:space="0" w:color="auto"/>
          </w:divBdr>
        </w:div>
        <w:div w:id="1929920677">
          <w:marLeft w:val="0"/>
          <w:marRight w:val="0"/>
          <w:marTop w:val="0"/>
          <w:marBottom w:val="0"/>
          <w:divBdr>
            <w:top w:val="none" w:sz="0" w:space="0" w:color="auto"/>
            <w:left w:val="none" w:sz="0" w:space="0" w:color="auto"/>
            <w:bottom w:val="none" w:sz="0" w:space="0" w:color="auto"/>
            <w:right w:val="none" w:sz="0" w:space="0" w:color="auto"/>
          </w:divBdr>
        </w:div>
      </w:divsChild>
    </w:div>
    <w:div w:id="660815166">
      <w:bodyDiv w:val="1"/>
      <w:marLeft w:val="0"/>
      <w:marRight w:val="0"/>
      <w:marTop w:val="0"/>
      <w:marBottom w:val="0"/>
      <w:divBdr>
        <w:top w:val="none" w:sz="0" w:space="0" w:color="auto"/>
        <w:left w:val="none" w:sz="0" w:space="0" w:color="auto"/>
        <w:bottom w:val="none" w:sz="0" w:space="0" w:color="auto"/>
        <w:right w:val="none" w:sz="0" w:space="0" w:color="auto"/>
      </w:divBdr>
    </w:div>
    <w:div w:id="773591536">
      <w:bodyDiv w:val="1"/>
      <w:marLeft w:val="0"/>
      <w:marRight w:val="0"/>
      <w:marTop w:val="0"/>
      <w:marBottom w:val="0"/>
      <w:divBdr>
        <w:top w:val="none" w:sz="0" w:space="0" w:color="auto"/>
        <w:left w:val="none" w:sz="0" w:space="0" w:color="auto"/>
        <w:bottom w:val="none" w:sz="0" w:space="0" w:color="auto"/>
        <w:right w:val="none" w:sz="0" w:space="0" w:color="auto"/>
      </w:divBdr>
    </w:div>
    <w:div w:id="1675917046">
      <w:bodyDiv w:val="1"/>
      <w:marLeft w:val="0"/>
      <w:marRight w:val="0"/>
      <w:marTop w:val="0"/>
      <w:marBottom w:val="0"/>
      <w:divBdr>
        <w:top w:val="none" w:sz="0" w:space="0" w:color="auto"/>
        <w:left w:val="none" w:sz="0" w:space="0" w:color="auto"/>
        <w:bottom w:val="none" w:sz="0" w:space="0" w:color="auto"/>
        <w:right w:val="none" w:sz="0" w:space="0" w:color="auto"/>
      </w:divBdr>
    </w:div>
    <w:div w:id="1753702614">
      <w:bodyDiv w:val="1"/>
      <w:marLeft w:val="0"/>
      <w:marRight w:val="0"/>
      <w:marTop w:val="0"/>
      <w:marBottom w:val="0"/>
      <w:divBdr>
        <w:top w:val="none" w:sz="0" w:space="0" w:color="auto"/>
        <w:left w:val="none" w:sz="0" w:space="0" w:color="auto"/>
        <w:bottom w:val="none" w:sz="0" w:space="0" w:color="auto"/>
        <w:right w:val="none" w:sz="0" w:space="0" w:color="auto"/>
      </w:divBdr>
    </w:div>
    <w:div w:id="198142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CDC7F-D59E-470B-A257-E5679FE5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Ковальчук Валерия Валерьевна</dc:creator>
  <cp:keywords/>
  <dc:description/>
  <cp:lastModifiedBy>Дротенко Оксана Александровна</cp:lastModifiedBy>
  <cp:revision>2</cp:revision>
  <cp:lastPrinted>2026-05-19T07:30:00Z</cp:lastPrinted>
  <dcterms:created xsi:type="dcterms:W3CDTF">2026-05-28T06:25:00Z</dcterms:created>
  <dcterms:modified xsi:type="dcterms:W3CDTF">2026-05-28T06:25:00Z</dcterms:modified>
</cp:coreProperties>
</file>