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2D" w:rsidRPr="00A87F2D" w:rsidRDefault="00A87F2D" w:rsidP="00A87F2D">
      <w:pPr>
        <w:autoSpaceDE w:val="0"/>
        <w:autoSpaceDN w:val="0"/>
        <w:adjustRightInd w:val="0"/>
        <w:ind w:left="0"/>
        <w:jc w:val="center"/>
      </w:pPr>
      <w:r w:rsidRPr="00A87F2D">
        <w:t>СРАВНИТЕЛЬНАЯ ТАБЛИЦА</w:t>
      </w:r>
    </w:p>
    <w:p w:rsidR="00A87F2D" w:rsidRPr="00A87F2D" w:rsidRDefault="00A87F2D" w:rsidP="00A87F2D">
      <w:pPr>
        <w:autoSpaceDE w:val="0"/>
        <w:autoSpaceDN w:val="0"/>
        <w:adjustRightInd w:val="0"/>
        <w:ind w:left="0"/>
        <w:jc w:val="center"/>
      </w:pPr>
      <w:r w:rsidRPr="00A87F2D">
        <w:t>к проекту закона Приднестровской Молдавской Республики</w:t>
      </w:r>
    </w:p>
    <w:p w:rsidR="00A87F2D" w:rsidRPr="00A87F2D" w:rsidRDefault="00A87F2D" w:rsidP="00A87F2D">
      <w:pPr>
        <w:shd w:val="clear" w:color="auto" w:fill="FFFFFF"/>
        <w:ind w:left="0"/>
        <w:jc w:val="center"/>
      </w:pPr>
      <w:r w:rsidRPr="00A87F2D">
        <w:t>«О внесении изменений в Закон Приднестровской Молдавской Республики</w:t>
      </w:r>
    </w:p>
    <w:p w:rsidR="00A87F2D" w:rsidRPr="00A87F2D" w:rsidRDefault="00A87F2D" w:rsidP="00A87F2D">
      <w:pPr>
        <w:shd w:val="clear" w:color="auto" w:fill="FFFFFF"/>
        <w:ind w:left="0"/>
        <w:jc w:val="center"/>
      </w:pPr>
      <w:r w:rsidRPr="00A87F2D">
        <w:t xml:space="preserve">«О бюджете Единого государственного фонда социального страхования </w:t>
      </w:r>
    </w:p>
    <w:p w:rsidR="00A87F2D" w:rsidRPr="00A87F2D" w:rsidRDefault="00A87F2D" w:rsidP="00A87F2D">
      <w:pPr>
        <w:shd w:val="clear" w:color="auto" w:fill="FFFFFF"/>
        <w:ind w:left="0"/>
        <w:jc w:val="center"/>
      </w:pPr>
      <w:r w:rsidRPr="00A87F2D">
        <w:t>Приднестровской Молдавской Республики на 2026 год»</w:t>
      </w:r>
    </w:p>
    <w:p w:rsidR="00A87F2D" w:rsidRPr="00A87F2D" w:rsidRDefault="00A87F2D" w:rsidP="00A87F2D">
      <w:pPr>
        <w:shd w:val="clear" w:color="auto" w:fill="FFFFFF"/>
        <w:ind w:left="0"/>
        <w:rPr>
          <w:spacing w:val="-8"/>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245"/>
      </w:tblGrid>
      <w:tr w:rsidR="00A87F2D" w:rsidRPr="00A87F2D" w:rsidTr="00107E2A">
        <w:trPr>
          <w:trHeight w:val="471"/>
        </w:trPr>
        <w:tc>
          <w:tcPr>
            <w:tcW w:w="5245" w:type="dxa"/>
            <w:tcBorders>
              <w:top w:val="single" w:sz="4" w:space="0" w:color="000000"/>
              <w:left w:val="single" w:sz="4" w:space="0" w:color="auto"/>
              <w:bottom w:val="single" w:sz="4" w:space="0" w:color="000000"/>
              <w:right w:val="single" w:sz="4" w:space="0" w:color="000000"/>
            </w:tcBorders>
            <w:vAlign w:val="center"/>
            <w:hideMark/>
          </w:tcPr>
          <w:p w:rsidR="00A87F2D" w:rsidRPr="00A87F2D" w:rsidRDefault="00A87F2D" w:rsidP="00A87F2D">
            <w:pPr>
              <w:ind w:left="0" w:firstLine="434"/>
              <w:jc w:val="center"/>
              <w:rPr>
                <w:b/>
                <w:spacing w:val="-8"/>
                <w:lang w:eastAsia="en-US"/>
              </w:rPr>
            </w:pPr>
            <w:r w:rsidRPr="00A87F2D">
              <w:rPr>
                <w:b/>
                <w:spacing w:val="-8"/>
                <w:lang w:eastAsia="en-US"/>
              </w:rPr>
              <w:t>Действующая редакция</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A87F2D" w:rsidRPr="00A87F2D" w:rsidRDefault="00A87F2D" w:rsidP="00A87F2D">
            <w:pPr>
              <w:ind w:left="0" w:firstLine="434"/>
              <w:jc w:val="center"/>
              <w:rPr>
                <w:b/>
                <w:spacing w:val="-8"/>
                <w:lang w:eastAsia="en-US"/>
              </w:rPr>
            </w:pPr>
            <w:r w:rsidRPr="00A87F2D">
              <w:rPr>
                <w:b/>
                <w:spacing w:val="-8"/>
                <w:lang w:eastAsia="en-US"/>
              </w:rPr>
              <w:t>Предлагаемая редакция</w:t>
            </w:r>
          </w:p>
        </w:tc>
      </w:tr>
      <w:tr w:rsidR="00A87F2D" w:rsidRPr="00A87F2D" w:rsidTr="00107E2A">
        <w:trPr>
          <w:trHeight w:val="512"/>
        </w:trPr>
        <w:tc>
          <w:tcPr>
            <w:tcW w:w="5245" w:type="dxa"/>
            <w:tcBorders>
              <w:top w:val="single" w:sz="4" w:space="0" w:color="000000"/>
              <w:left w:val="single" w:sz="4" w:space="0" w:color="auto"/>
              <w:bottom w:val="single" w:sz="4" w:space="0" w:color="000000"/>
              <w:right w:val="single" w:sz="4" w:space="0" w:color="000000"/>
            </w:tcBorders>
            <w:hideMark/>
          </w:tcPr>
          <w:p w:rsidR="00A87F2D" w:rsidRPr="00A87F2D" w:rsidRDefault="00A87F2D" w:rsidP="00A87F2D">
            <w:pPr>
              <w:ind w:left="0" w:firstLine="434"/>
              <w:rPr>
                <w:b/>
                <w:lang w:eastAsia="en-US"/>
              </w:rPr>
            </w:pPr>
            <w:r w:rsidRPr="00A87F2D">
              <w:rPr>
                <w:b/>
                <w:lang w:eastAsia="en-US"/>
              </w:rPr>
              <w:t>Статья 1.</w:t>
            </w:r>
          </w:p>
          <w:p w:rsidR="00A87F2D" w:rsidRPr="00A87F2D" w:rsidRDefault="00A87F2D" w:rsidP="00A87F2D">
            <w:pPr>
              <w:shd w:val="clear" w:color="auto" w:fill="FFFFFF"/>
              <w:ind w:left="0" w:firstLine="434"/>
              <w:rPr>
                <w:lang w:eastAsia="en-US"/>
              </w:rPr>
            </w:pPr>
            <w:r w:rsidRPr="00A87F2D">
              <w:rPr>
                <w:lang w:eastAsia="en-US"/>
              </w:rPr>
              <w:t>1. Основные характеристики бюджета Единого государственного фонда социального страхования Приднестровской Молдавской Республики (далее – Фонд) на 2026 год:</w:t>
            </w:r>
          </w:p>
          <w:p w:rsidR="00A87F2D" w:rsidRPr="00A87F2D" w:rsidRDefault="00A87F2D" w:rsidP="00A87F2D">
            <w:pPr>
              <w:shd w:val="clear" w:color="auto" w:fill="FFFFFF"/>
              <w:ind w:left="0" w:firstLine="434"/>
              <w:rPr>
                <w:lang w:eastAsia="en-US"/>
              </w:rPr>
            </w:pPr>
            <w:r w:rsidRPr="00A87F2D">
              <w:rPr>
                <w:lang w:eastAsia="en-US"/>
              </w:rPr>
              <w:t xml:space="preserve">а) доходы бюджета Фонда в сумме </w:t>
            </w:r>
            <w:r w:rsidRPr="00A87F2D">
              <w:rPr>
                <w:b/>
                <w:lang w:eastAsia="en-US"/>
              </w:rPr>
              <w:t>2 252 599 834</w:t>
            </w:r>
            <w:r w:rsidRPr="00A87F2D">
              <w:rPr>
                <w:lang w:eastAsia="en-US"/>
              </w:rPr>
              <w:t xml:space="preserve"> </w:t>
            </w:r>
            <w:r w:rsidRPr="00A87F2D">
              <w:rPr>
                <w:b/>
                <w:lang w:eastAsia="en-US"/>
              </w:rPr>
              <w:t>рубля</w:t>
            </w:r>
            <w:r w:rsidRPr="00A87F2D">
              <w:rPr>
                <w:lang w:eastAsia="en-US"/>
              </w:rPr>
              <w:t xml:space="preserve"> Приднестровской Молдавской Республики (далее – рубль) согласно Приложению № 1 к настоящему Закону;</w:t>
            </w:r>
          </w:p>
          <w:p w:rsidR="00A87F2D" w:rsidRPr="00A87F2D" w:rsidRDefault="00A87F2D" w:rsidP="00A87F2D">
            <w:pPr>
              <w:shd w:val="clear" w:color="auto" w:fill="FFFFFF"/>
              <w:ind w:left="0" w:firstLine="434"/>
              <w:rPr>
                <w:lang w:eastAsia="en-US"/>
              </w:rPr>
            </w:pPr>
            <w:r w:rsidRPr="00A87F2D">
              <w:rPr>
                <w:lang w:eastAsia="en-US"/>
              </w:rPr>
              <w:t xml:space="preserve">б) расходы бюджета Фонда в сумме </w:t>
            </w:r>
            <w:r w:rsidRPr="00A87F2D">
              <w:rPr>
                <w:b/>
                <w:lang w:eastAsia="en-US"/>
              </w:rPr>
              <w:t>2 534 611 996</w:t>
            </w:r>
            <w:r w:rsidRPr="00A87F2D">
              <w:rPr>
                <w:lang w:eastAsia="en-US"/>
              </w:rPr>
              <w:t xml:space="preserve"> </w:t>
            </w:r>
            <w:r w:rsidRPr="00A87F2D">
              <w:rPr>
                <w:b/>
                <w:lang w:eastAsia="en-US"/>
              </w:rPr>
              <w:t xml:space="preserve">рублей </w:t>
            </w:r>
            <w:r w:rsidRPr="00A87F2D">
              <w:rPr>
                <w:lang w:eastAsia="en-US"/>
              </w:rPr>
              <w:t>согласно Приложению № 2 к настоящему Закону;</w:t>
            </w:r>
          </w:p>
          <w:p w:rsidR="00A87F2D" w:rsidRPr="00A87F2D" w:rsidRDefault="00A87F2D" w:rsidP="00A87F2D">
            <w:pPr>
              <w:shd w:val="clear" w:color="auto" w:fill="FFFFFF"/>
              <w:ind w:left="0" w:firstLine="434"/>
              <w:rPr>
                <w:lang w:eastAsia="en-US"/>
              </w:rPr>
            </w:pPr>
            <w:r w:rsidRPr="00A87F2D">
              <w:rPr>
                <w:lang w:eastAsia="en-US"/>
              </w:rPr>
              <w:t xml:space="preserve">в) дефицит бюджета Фонда в сумме </w:t>
            </w:r>
            <w:r w:rsidRPr="00A87F2D">
              <w:rPr>
                <w:b/>
                <w:lang w:eastAsia="en-US"/>
              </w:rPr>
              <w:t>282 012 162</w:t>
            </w:r>
            <w:r w:rsidRPr="00A87F2D">
              <w:rPr>
                <w:lang w:eastAsia="en-US"/>
              </w:rPr>
              <w:t xml:space="preserve"> </w:t>
            </w:r>
            <w:r w:rsidRPr="00A87F2D">
              <w:rPr>
                <w:b/>
                <w:lang w:eastAsia="en-US"/>
              </w:rPr>
              <w:t>рубля.</w:t>
            </w:r>
          </w:p>
          <w:p w:rsidR="00A87F2D" w:rsidRPr="00A87F2D" w:rsidRDefault="00A87F2D" w:rsidP="00A87F2D">
            <w:pPr>
              <w:shd w:val="clear" w:color="auto" w:fill="FFFFFF"/>
              <w:ind w:left="0" w:firstLine="434"/>
              <w:rPr>
                <w:lang w:eastAsia="en-US"/>
              </w:rPr>
            </w:pPr>
            <w:r w:rsidRPr="00A87F2D">
              <w:rPr>
                <w:lang w:eastAsia="en-US"/>
              </w:rPr>
              <w:t>2. Источниками покрытия дефицита бюджета Фонда являются средства, предусмотренные настоящим Законом, в том числе:</w:t>
            </w:r>
          </w:p>
          <w:p w:rsidR="00A87F2D" w:rsidRPr="00A87F2D" w:rsidRDefault="00A87F2D" w:rsidP="00A87F2D">
            <w:pPr>
              <w:shd w:val="clear" w:color="auto" w:fill="FFFFFF"/>
              <w:ind w:left="0" w:firstLine="434"/>
              <w:rPr>
                <w:lang w:eastAsia="en-US"/>
              </w:rPr>
            </w:pPr>
            <w:r w:rsidRPr="00A87F2D">
              <w:rPr>
                <w:lang w:eastAsia="en-US"/>
              </w:rPr>
              <w:t>а) остатки средств по состоянию на 1 января 2026 года в сумме 18 091 987 рублей, в том числе 365 748 рублей за счет средств республиканского бюджета;</w:t>
            </w:r>
          </w:p>
          <w:p w:rsidR="00A87F2D" w:rsidRPr="00A87F2D" w:rsidRDefault="00A87F2D" w:rsidP="00A87F2D">
            <w:pPr>
              <w:shd w:val="clear" w:color="auto" w:fill="FFFFFF"/>
              <w:ind w:left="0" w:firstLine="434"/>
              <w:rPr>
                <w:b/>
                <w:lang w:eastAsia="en-US"/>
              </w:rPr>
            </w:pPr>
            <w:r w:rsidRPr="00A87F2D">
              <w:rPr>
                <w:lang w:eastAsia="en-US"/>
              </w:rPr>
              <w:t xml:space="preserve">б) беспроцентные займы из республиканского бюджета в размере </w:t>
            </w:r>
            <w:r w:rsidRPr="00A87F2D">
              <w:rPr>
                <w:b/>
                <w:lang w:eastAsia="en-US"/>
              </w:rPr>
              <w:t>263 920 175</w:t>
            </w:r>
            <w:r w:rsidRPr="00A87F2D">
              <w:rPr>
                <w:lang w:eastAsia="en-US"/>
              </w:rPr>
              <w:t xml:space="preserve"> </w:t>
            </w:r>
            <w:r w:rsidRPr="00A87F2D">
              <w:rPr>
                <w:b/>
                <w:lang w:eastAsia="en-US"/>
              </w:rPr>
              <w:t>рублей.</w:t>
            </w:r>
          </w:p>
          <w:p w:rsidR="00A87F2D" w:rsidRPr="00A87F2D" w:rsidRDefault="00A87F2D" w:rsidP="00A87F2D">
            <w:pPr>
              <w:shd w:val="clear" w:color="auto" w:fill="FFFFFF"/>
              <w:ind w:left="0" w:firstLine="434"/>
              <w:rPr>
                <w:lang w:eastAsia="en-US"/>
              </w:rPr>
            </w:pPr>
            <w:r w:rsidRPr="00A87F2D">
              <w:rPr>
                <w:b/>
                <w:lang w:eastAsia="en-US"/>
              </w:rPr>
              <w:t>3.</w:t>
            </w:r>
            <w:r w:rsidRPr="00A87F2D">
              <w:rPr>
                <w:lang w:eastAsia="en-US"/>
              </w:rPr>
              <w:t xml:space="preserve"> Предоставить право Фонду получать беспроцентные займы из республиканского бюджета на покрытие дефицита, возникающего при исполнении бюджета Фонда.</w:t>
            </w:r>
          </w:p>
          <w:p w:rsidR="00A87F2D" w:rsidRPr="00A87F2D" w:rsidRDefault="00A87F2D" w:rsidP="00A87F2D">
            <w:pPr>
              <w:shd w:val="clear" w:color="auto" w:fill="FFFFFF"/>
              <w:ind w:left="0" w:firstLine="434"/>
              <w:rPr>
                <w:lang w:eastAsia="en-US"/>
              </w:rPr>
            </w:pPr>
            <w:r w:rsidRPr="00A87F2D">
              <w:rPr>
                <w:b/>
                <w:lang w:eastAsia="en-US"/>
              </w:rPr>
              <w:t>4.</w:t>
            </w:r>
            <w:r w:rsidRPr="00A87F2D">
              <w:rPr>
                <w:lang w:eastAsia="en-US"/>
              </w:rPr>
              <w:t xml:space="preserve"> В случае недостаточности денежных средств, направляемых на покрытие дефицита бюджета, Фонд вправе получать беспроцентные займы в закрытом акционерном обществе «Приднестровский Сберегательный банк» на покрытие кассовых разрывов (временное отсутствие доходов в объемах, необходимых для финансирования наступивших очередных расходов по бюджету) сроком погашения не более 20 (двадцати) дней в сумме не более 20 000 000 рублей каждый. </w:t>
            </w:r>
          </w:p>
        </w:tc>
        <w:tc>
          <w:tcPr>
            <w:tcW w:w="5245" w:type="dxa"/>
            <w:tcBorders>
              <w:top w:val="single" w:sz="4" w:space="0" w:color="000000"/>
              <w:left w:val="single" w:sz="4" w:space="0" w:color="000000"/>
              <w:bottom w:val="single" w:sz="4" w:space="0" w:color="000000"/>
              <w:right w:val="single" w:sz="4" w:space="0" w:color="000000"/>
            </w:tcBorders>
            <w:hideMark/>
          </w:tcPr>
          <w:p w:rsidR="00A87F2D" w:rsidRPr="00A87F2D" w:rsidRDefault="00A87F2D" w:rsidP="00A87F2D">
            <w:pPr>
              <w:ind w:left="0" w:firstLine="434"/>
              <w:rPr>
                <w:b/>
                <w:lang w:eastAsia="en-US"/>
              </w:rPr>
            </w:pPr>
            <w:r w:rsidRPr="00A87F2D">
              <w:rPr>
                <w:b/>
                <w:lang w:eastAsia="en-US"/>
              </w:rPr>
              <w:t>Статья 1.</w:t>
            </w:r>
          </w:p>
          <w:p w:rsidR="00A87F2D" w:rsidRPr="00A87F2D" w:rsidRDefault="00A87F2D" w:rsidP="00A87F2D">
            <w:pPr>
              <w:shd w:val="clear" w:color="auto" w:fill="FFFFFF"/>
              <w:ind w:left="0" w:firstLine="434"/>
              <w:rPr>
                <w:lang w:eastAsia="en-US"/>
              </w:rPr>
            </w:pPr>
            <w:r w:rsidRPr="00A87F2D">
              <w:rPr>
                <w:lang w:eastAsia="en-US"/>
              </w:rPr>
              <w:t>1. Основные характеристики бюджета Единого государственного фонда социального страхования Приднестровской Молдавской Республики (далее – Фонд) на 2026 год:</w:t>
            </w:r>
          </w:p>
          <w:p w:rsidR="00A87F2D" w:rsidRPr="00A87F2D" w:rsidRDefault="00A87F2D" w:rsidP="00A87F2D">
            <w:pPr>
              <w:shd w:val="clear" w:color="auto" w:fill="FFFFFF"/>
              <w:ind w:left="0" w:firstLine="434"/>
              <w:rPr>
                <w:lang w:eastAsia="en-US"/>
              </w:rPr>
            </w:pPr>
            <w:r w:rsidRPr="00A87F2D">
              <w:rPr>
                <w:lang w:eastAsia="en-US"/>
              </w:rPr>
              <w:t xml:space="preserve">а) доходы бюджета Фонда в сумме </w:t>
            </w:r>
            <w:r w:rsidRPr="00A87F2D">
              <w:rPr>
                <w:b/>
              </w:rPr>
              <w:t>2 280 578 405</w:t>
            </w:r>
            <w:r w:rsidRPr="00A87F2D">
              <w:t xml:space="preserve"> </w:t>
            </w:r>
            <w:r w:rsidRPr="00A87F2D">
              <w:rPr>
                <w:b/>
                <w:lang w:eastAsia="en-US"/>
              </w:rPr>
              <w:t>рублей</w:t>
            </w:r>
            <w:r w:rsidRPr="00A87F2D">
              <w:rPr>
                <w:lang w:eastAsia="en-US"/>
              </w:rPr>
              <w:t xml:space="preserve"> Приднестровской Молдавской Республики (далее – рубль) согласно Приложению № 1 к настоящему Закону;</w:t>
            </w:r>
          </w:p>
          <w:p w:rsidR="00A87F2D" w:rsidRPr="00A87F2D" w:rsidRDefault="00A87F2D" w:rsidP="00A87F2D">
            <w:pPr>
              <w:shd w:val="clear" w:color="auto" w:fill="FFFFFF"/>
              <w:ind w:left="0" w:firstLine="434"/>
              <w:rPr>
                <w:lang w:eastAsia="en-US"/>
              </w:rPr>
            </w:pPr>
            <w:r w:rsidRPr="00A87F2D">
              <w:rPr>
                <w:lang w:eastAsia="en-US"/>
              </w:rPr>
              <w:t xml:space="preserve">б) расходы бюджета Фонда в сумме </w:t>
            </w:r>
            <w:r w:rsidRPr="00A87F2D">
              <w:rPr>
                <w:b/>
              </w:rPr>
              <w:t>2 552 881 558 рублей</w:t>
            </w:r>
            <w:r w:rsidRPr="00A87F2D">
              <w:t xml:space="preserve"> </w:t>
            </w:r>
            <w:r w:rsidRPr="00A87F2D">
              <w:rPr>
                <w:lang w:eastAsia="en-US"/>
              </w:rPr>
              <w:t>согласно Приложению № 2 к настоящему Закону;</w:t>
            </w:r>
          </w:p>
          <w:p w:rsidR="00A87F2D" w:rsidRPr="00A87F2D" w:rsidRDefault="00A87F2D" w:rsidP="00A87F2D">
            <w:pPr>
              <w:shd w:val="clear" w:color="auto" w:fill="FFFFFF"/>
              <w:ind w:left="0" w:firstLine="434"/>
              <w:rPr>
                <w:lang w:eastAsia="en-US"/>
              </w:rPr>
            </w:pPr>
            <w:r w:rsidRPr="00A87F2D">
              <w:rPr>
                <w:lang w:eastAsia="en-US"/>
              </w:rPr>
              <w:t xml:space="preserve">в) дефицит бюджета Фонда в сумме </w:t>
            </w:r>
            <w:r w:rsidRPr="00A87F2D">
              <w:rPr>
                <w:b/>
              </w:rPr>
              <w:t>272 303 153 рубля</w:t>
            </w:r>
            <w:r w:rsidRPr="00A87F2D">
              <w:rPr>
                <w:lang w:eastAsia="en-US"/>
              </w:rPr>
              <w:t>.</w:t>
            </w:r>
          </w:p>
          <w:p w:rsidR="00A87F2D" w:rsidRPr="00A87F2D" w:rsidRDefault="00A87F2D" w:rsidP="00A87F2D">
            <w:pPr>
              <w:shd w:val="clear" w:color="auto" w:fill="FFFFFF"/>
              <w:ind w:left="0" w:firstLine="434"/>
              <w:rPr>
                <w:lang w:eastAsia="en-US"/>
              </w:rPr>
            </w:pPr>
            <w:r w:rsidRPr="00A87F2D">
              <w:rPr>
                <w:lang w:eastAsia="en-US"/>
              </w:rPr>
              <w:t>2. Источниками покрытия дефицита бюджета Фонда являются средства, предусмотренные настоящим Законом, в том числе:</w:t>
            </w:r>
          </w:p>
          <w:p w:rsidR="00A87F2D" w:rsidRPr="00A87F2D" w:rsidRDefault="00A87F2D" w:rsidP="00A87F2D">
            <w:pPr>
              <w:shd w:val="clear" w:color="auto" w:fill="FFFFFF"/>
              <w:ind w:left="0" w:firstLine="434"/>
              <w:rPr>
                <w:lang w:eastAsia="en-US"/>
              </w:rPr>
            </w:pPr>
            <w:r w:rsidRPr="00A87F2D">
              <w:rPr>
                <w:lang w:eastAsia="en-US"/>
              </w:rPr>
              <w:t>а) остатки средств по состоянию на 1 января 2026 года в сумме 18 091 987 рублей, в том числе 365 748 рублей за счет средств республиканского бюджета;</w:t>
            </w:r>
          </w:p>
          <w:p w:rsidR="00A87F2D" w:rsidRPr="00A87F2D" w:rsidRDefault="00A87F2D" w:rsidP="00A87F2D">
            <w:pPr>
              <w:shd w:val="clear" w:color="auto" w:fill="FFFFFF"/>
              <w:ind w:left="0" w:firstLine="434"/>
              <w:rPr>
                <w:lang w:eastAsia="en-US"/>
              </w:rPr>
            </w:pPr>
            <w:r w:rsidRPr="00A87F2D">
              <w:rPr>
                <w:lang w:eastAsia="en-US"/>
              </w:rPr>
              <w:t xml:space="preserve">б) беспроцентные займы из республиканского бюджета в размере </w:t>
            </w:r>
            <w:r w:rsidRPr="00A87F2D">
              <w:rPr>
                <w:b/>
              </w:rPr>
              <w:t>254 211 166 рублей.</w:t>
            </w:r>
          </w:p>
          <w:p w:rsidR="00A87F2D" w:rsidRPr="00A87F2D" w:rsidRDefault="00A87F2D" w:rsidP="00A87F2D">
            <w:pPr>
              <w:shd w:val="clear" w:color="auto" w:fill="FFFFFF"/>
              <w:ind w:left="0" w:firstLine="434"/>
              <w:rPr>
                <w:lang w:eastAsia="en-US"/>
              </w:rPr>
            </w:pPr>
            <w:r w:rsidRPr="00A87F2D">
              <w:rPr>
                <w:b/>
                <w:lang w:eastAsia="en-US"/>
              </w:rPr>
              <w:t>3.</w:t>
            </w:r>
            <w:r w:rsidRPr="00A87F2D">
              <w:rPr>
                <w:lang w:eastAsia="en-US"/>
              </w:rPr>
              <w:t xml:space="preserve"> Предоставить право Фонду получать беспроцентные займы из республиканского бюджета на покрытие дефицита, возникающего при исполнении бюджета Фонда.</w:t>
            </w:r>
          </w:p>
          <w:p w:rsidR="00A87F2D" w:rsidRPr="00A87F2D" w:rsidRDefault="00A87F2D" w:rsidP="00A87F2D">
            <w:pPr>
              <w:shd w:val="clear" w:color="auto" w:fill="FFFFFF"/>
              <w:ind w:left="0" w:firstLine="434"/>
              <w:rPr>
                <w:lang w:eastAsia="en-US"/>
              </w:rPr>
            </w:pPr>
            <w:r w:rsidRPr="00A87F2D">
              <w:rPr>
                <w:b/>
                <w:lang w:eastAsia="en-US"/>
              </w:rPr>
              <w:t>4.</w:t>
            </w:r>
            <w:r w:rsidRPr="00A87F2D">
              <w:rPr>
                <w:lang w:eastAsia="en-US"/>
              </w:rPr>
              <w:t xml:space="preserve"> В случае недостаточности денежных средств, направляемых на покрытие дефицита бюджета, Фонд вправе получать беспроцентные займы в закрытом акционерном обществе «Приднестровский Сберегательный банк» на покрытие кассовых разрывов (временное отсутствие доходов в объемах, необходимых для финансирования наступивших очередных расходов по бюджету) сроком погашения не более 20 (двадцати) дней в сумме не более 20 000 000 рублей каждый. </w:t>
            </w:r>
          </w:p>
        </w:tc>
      </w:tr>
    </w:tbl>
    <w:p w:rsidR="00465FD2" w:rsidRPr="00B232F6" w:rsidRDefault="00465FD2" w:rsidP="00A87F2D">
      <w:pPr>
        <w:ind w:left="0"/>
      </w:pPr>
      <w:bookmarkStart w:id="0" w:name="_GoBack"/>
      <w:bookmarkEnd w:id="0"/>
    </w:p>
    <w:sectPr w:rsidR="00465FD2" w:rsidRPr="00B232F6" w:rsidSect="00C13E62">
      <w:pgSz w:w="11906" w:h="16838" w:code="9"/>
      <w:pgMar w:top="851" w:right="851" w:bottom="851" w:left="1418"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712"/>
    <w:rsid w:val="006F2894"/>
    <w:rsid w:val="007140FC"/>
    <w:rsid w:val="00725829"/>
    <w:rsid w:val="0072713F"/>
    <w:rsid w:val="00736078"/>
    <w:rsid w:val="00745731"/>
    <w:rsid w:val="00746728"/>
    <w:rsid w:val="00770CB3"/>
    <w:rsid w:val="0077290A"/>
    <w:rsid w:val="00772AB0"/>
    <w:rsid w:val="007B3047"/>
    <w:rsid w:val="007C3B6C"/>
    <w:rsid w:val="007F3FF0"/>
    <w:rsid w:val="00836AD0"/>
    <w:rsid w:val="00840B4D"/>
    <w:rsid w:val="00850477"/>
    <w:rsid w:val="00853717"/>
    <w:rsid w:val="008926AE"/>
    <w:rsid w:val="008B7DBE"/>
    <w:rsid w:val="008D7455"/>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C528"/>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117</cp:revision>
  <dcterms:created xsi:type="dcterms:W3CDTF">2026-03-30T13:53:00Z</dcterms:created>
  <dcterms:modified xsi:type="dcterms:W3CDTF">2026-06-02T11:54:00Z</dcterms:modified>
</cp:coreProperties>
</file>