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069" w:rsidRPr="00527DE5" w:rsidRDefault="004E2069" w:rsidP="00527DE5">
      <w:pPr>
        <w:ind w:left="3544" w:right="-1"/>
        <w:jc w:val="right"/>
        <w:outlineLvl w:val="0"/>
        <w:rPr>
          <w:bCs/>
          <w:sz w:val="28"/>
          <w:szCs w:val="28"/>
        </w:rPr>
      </w:pPr>
      <w:r w:rsidRPr="00527DE5">
        <w:rPr>
          <w:bCs/>
          <w:sz w:val="28"/>
          <w:szCs w:val="28"/>
        </w:rPr>
        <w:t xml:space="preserve">Приложение </w:t>
      </w:r>
    </w:p>
    <w:p w:rsidR="004E2069" w:rsidRPr="00527DE5" w:rsidRDefault="004E2069" w:rsidP="00527DE5">
      <w:pPr>
        <w:ind w:left="3544" w:right="-1"/>
        <w:jc w:val="right"/>
        <w:outlineLvl w:val="0"/>
        <w:rPr>
          <w:bCs/>
          <w:sz w:val="28"/>
          <w:szCs w:val="28"/>
        </w:rPr>
      </w:pPr>
      <w:r w:rsidRPr="00527DE5">
        <w:rPr>
          <w:bCs/>
          <w:sz w:val="28"/>
          <w:szCs w:val="28"/>
        </w:rPr>
        <w:t>к Постановлению Верховного Совета</w:t>
      </w:r>
    </w:p>
    <w:p w:rsidR="004E2069" w:rsidRPr="00527DE5" w:rsidRDefault="004E2069" w:rsidP="00527DE5">
      <w:pPr>
        <w:ind w:left="3544" w:right="-1"/>
        <w:jc w:val="right"/>
        <w:outlineLvl w:val="0"/>
        <w:rPr>
          <w:bCs/>
          <w:sz w:val="28"/>
          <w:szCs w:val="28"/>
        </w:rPr>
      </w:pPr>
      <w:r w:rsidRPr="00527DE5">
        <w:rPr>
          <w:bCs/>
          <w:sz w:val="28"/>
          <w:szCs w:val="28"/>
        </w:rPr>
        <w:t>Приднестровской Молдавской Республики</w:t>
      </w:r>
    </w:p>
    <w:p w:rsidR="004E2069" w:rsidRPr="00527DE5" w:rsidRDefault="004E2069" w:rsidP="00527DE5">
      <w:pPr>
        <w:pStyle w:val="BodyText"/>
        <w:spacing w:before="0" w:after="0"/>
        <w:ind w:left="3544"/>
        <w:jc w:val="right"/>
        <w:rPr>
          <w:rFonts w:ascii="Times New Roman" w:hAnsi="Times New Roman" w:cs="Times New Roman"/>
          <w:bCs/>
          <w:sz w:val="28"/>
          <w:szCs w:val="28"/>
        </w:rPr>
      </w:pPr>
      <w:r w:rsidRPr="00527DE5">
        <w:rPr>
          <w:rFonts w:ascii="Times New Roman" w:hAnsi="Times New Roman" w:cs="Times New Roman"/>
          <w:bCs/>
          <w:sz w:val="28"/>
          <w:szCs w:val="28"/>
        </w:rPr>
        <w:t xml:space="preserve">от </w:t>
      </w:r>
      <w:r>
        <w:rPr>
          <w:rFonts w:ascii="Times New Roman" w:hAnsi="Times New Roman" w:cs="Times New Roman"/>
          <w:bCs/>
          <w:sz w:val="28"/>
          <w:szCs w:val="28"/>
        </w:rPr>
        <w:t>20</w:t>
      </w:r>
      <w:r w:rsidRPr="00527DE5">
        <w:rPr>
          <w:rFonts w:ascii="Times New Roman" w:hAnsi="Times New Roman" w:cs="Times New Roman"/>
          <w:bCs/>
          <w:sz w:val="28"/>
          <w:szCs w:val="28"/>
        </w:rPr>
        <w:t xml:space="preserve"> </w:t>
      </w:r>
      <w:r>
        <w:rPr>
          <w:rFonts w:ascii="Times New Roman" w:hAnsi="Times New Roman" w:cs="Times New Roman"/>
          <w:bCs/>
          <w:sz w:val="28"/>
          <w:szCs w:val="28"/>
        </w:rPr>
        <w:t>июня</w:t>
      </w:r>
      <w:r w:rsidRPr="00527DE5">
        <w:rPr>
          <w:rFonts w:ascii="Times New Roman" w:hAnsi="Times New Roman" w:cs="Times New Roman"/>
          <w:bCs/>
          <w:sz w:val="28"/>
          <w:szCs w:val="28"/>
        </w:rPr>
        <w:t xml:space="preserve"> 2018 года № </w:t>
      </w:r>
      <w:r>
        <w:rPr>
          <w:rFonts w:ascii="Times New Roman" w:hAnsi="Times New Roman" w:cs="Times New Roman"/>
          <w:bCs/>
          <w:sz w:val="28"/>
          <w:szCs w:val="28"/>
        </w:rPr>
        <w:t>2224</w:t>
      </w:r>
    </w:p>
    <w:p w:rsidR="004E2069" w:rsidRDefault="004E2069" w:rsidP="00527DE5">
      <w:pPr>
        <w:autoSpaceDE w:val="0"/>
        <w:autoSpaceDN w:val="0"/>
        <w:adjustRightInd w:val="0"/>
        <w:ind w:firstLine="540"/>
        <w:jc w:val="right"/>
        <w:outlineLvl w:val="0"/>
        <w:rPr>
          <w:sz w:val="28"/>
          <w:szCs w:val="28"/>
        </w:rPr>
      </w:pPr>
      <w:r w:rsidRPr="00527DE5">
        <w:rPr>
          <w:bCs/>
          <w:sz w:val="28"/>
          <w:szCs w:val="28"/>
        </w:rPr>
        <w:t>«</w:t>
      </w:r>
      <w:r w:rsidRPr="00527DE5">
        <w:rPr>
          <w:sz w:val="28"/>
          <w:szCs w:val="28"/>
        </w:rPr>
        <w:t xml:space="preserve">Об </w:t>
      </w:r>
      <w:r>
        <w:rPr>
          <w:sz w:val="28"/>
          <w:szCs w:val="28"/>
        </w:rPr>
        <w:t>утверждении отчета Приднестровского</w:t>
      </w:r>
    </w:p>
    <w:p w:rsidR="004E2069" w:rsidRPr="00527DE5" w:rsidRDefault="004E2069" w:rsidP="00527DE5">
      <w:pPr>
        <w:autoSpaceDE w:val="0"/>
        <w:autoSpaceDN w:val="0"/>
        <w:adjustRightInd w:val="0"/>
        <w:ind w:firstLine="540"/>
        <w:jc w:val="right"/>
        <w:outlineLvl w:val="0"/>
        <w:rPr>
          <w:sz w:val="22"/>
          <w:szCs w:val="22"/>
        </w:rPr>
      </w:pPr>
      <w:r>
        <w:rPr>
          <w:sz w:val="28"/>
          <w:szCs w:val="28"/>
        </w:rPr>
        <w:t>республиканского банка за 2017 год</w:t>
      </w:r>
      <w:r w:rsidRPr="00527DE5">
        <w:rPr>
          <w:bCs/>
          <w:sz w:val="28"/>
          <w:szCs w:val="28"/>
        </w:rPr>
        <w:t>»</w:t>
      </w:r>
    </w:p>
    <w:p w:rsidR="004E2069" w:rsidRPr="003D73E2" w:rsidRDefault="004E2069" w:rsidP="008512DA">
      <w:pPr>
        <w:widowControl w:val="0"/>
      </w:pPr>
    </w:p>
    <w:p w:rsidR="004E2069" w:rsidRPr="003D73E2" w:rsidRDefault="004E2069" w:rsidP="008512DA">
      <w:pPr>
        <w:widowControl w:val="0"/>
      </w:pPr>
    </w:p>
    <w:p w:rsidR="004E2069" w:rsidRPr="003D73E2" w:rsidRDefault="004E2069" w:rsidP="008512DA">
      <w:pPr>
        <w:widowControl w:val="0"/>
      </w:pPr>
    </w:p>
    <w:p w:rsidR="004E2069" w:rsidRPr="003D73E2" w:rsidRDefault="004E2069" w:rsidP="008512DA">
      <w:pPr>
        <w:widowControl w:val="0"/>
      </w:pPr>
    </w:p>
    <w:p w:rsidR="004E2069" w:rsidRPr="003D73E2" w:rsidRDefault="004E2069" w:rsidP="008512DA">
      <w:pPr>
        <w:widowControl w:val="0"/>
      </w:pPr>
    </w:p>
    <w:p w:rsidR="004E2069" w:rsidRPr="003D73E2" w:rsidRDefault="004E2069" w:rsidP="008512DA">
      <w:pPr>
        <w:widowControl w:val="0"/>
      </w:pPr>
    </w:p>
    <w:p w:rsidR="004E2069" w:rsidRPr="003D73E2" w:rsidRDefault="004E2069" w:rsidP="008512DA">
      <w:pPr>
        <w:widowControl w:val="0"/>
      </w:pPr>
    </w:p>
    <w:p w:rsidR="004E2069" w:rsidRPr="003D73E2" w:rsidRDefault="004E2069" w:rsidP="008512DA">
      <w:pPr>
        <w:widowControl w:val="0"/>
      </w:pPr>
    </w:p>
    <w:p w:rsidR="004E2069" w:rsidRPr="003D73E2" w:rsidRDefault="004E2069" w:rsidP="008512DA">
      <w:pPr>
        <w:widowControl w:val="0"/>
      </w:pPr>
    </w:p>
    <w:p w:rsidR="004E2069" w:rsidRPr="003D73E2" w:rsidRDefault="004E2069" w:rsidP="008512DA">
      <w:pPr>
        <w:widowControl w:val="0"/>
      </w:pPr>
    </w:p>
    <w:p w:rsidR="004E2069" w:rsidRPr="003D73E2" w:rsidRDefault="004E2069" w:rsidP="008512DA">
      <w:pPr>
        <w:widowControl w:val="0"/>
      </w:pPr>
    </w:p>
    <w:p w:rsidR="004E2069" w:rsidRPr="003D73E2" w:rsidRDefault="004E2069" w:rsidP="008512DA">
      <w:pPr>
        <w:widowControl w:val="0"/>
      </w:pPr>
    </w:p>
    <w:p w:rsidR="004E2069" w:rsidRPr="003D73E2" w:rsidRDefault="004E2069" w:rsidP="008512DA">
      <w:pPr>
        <w:widowControl w:val="0"/>
      </w:pPr>
    </w:p>
    <w:p w:rsidR="004E2069" w:rsidRPr="003D73E2" w:rsidRDefault="004E2069" w:rsidP="008512DA">
      <w:pPr>
        <w:widowControl w:val="0"/>
      </w:pPr>
    </w:p>
    <w:p w:rsidR="004E2069" w:rsidRPr="003D73E2" w:rsidRDefault="004E2069" w:rsidP="008512DA">
      <w:pPr>
        <w:widowControl w:val="0"/>
      </w:pPr>
    </w:p>
    <w:p w:rsidR="004E2069" w:rsidRPr="003D73E2" w:rsidRDefault="004E2069" w:rsidP="008512DA">
      <w:pPr>
        <w:widowControl w:val="0"/>
      </w:pPr>
    </w:p>
    <w:p w:rsidR="004E2069" w:rsidRPr="00E85DD7" w:rsidRDefault="004E2069" w:rsidP="008512DA">
      <w:pPr>
        <w:pStyle w:val="Heading1"/>
        <w:widowControl w:val="0"/>
        <w:jc w:val="center"/>
        <w:rPr>
          <w:b/>
          <w:bCs/>
          <w:shadow/>
          <w:sz w:val="72"/>
          <w:szCs w:val="72"/>
        </w:rPr>
      </w:pPr>
      <w:r w:rsidRPr="00E85DD7">
        <w:rPr>
          <w:b/>
          <w:bCs/>
          <w:shadow/>
          <w:sz w:val="72"/>
          <w:szCs w:val="72"/>
        </w:rPr>
        <w:t>ОТЧЁТ</w:t>
      </w:r>
    </w:p>
    <w:p w:rsidR="004E2069" w:rsidRPr="00E85DD7" w:rsidRDefault="004E2069" w:rsidP="008512DA">
      <w:pPr>
        <w:widowControl w:val="0"/>
      </w:pPr>
    </w:p>
    <w:p w:rsidR="004E2069" w:rsidRPr="00E85DD7" w:rsidRDefault="004E2069" w:rsidP="008512DA">
      <w:pPr>
        <w:widowControl w:val="0"/>
      </w:pPr>
    </w:p>
    <w:p w:rsidR="004E2069" w:rsidRPr="00E85DD7" w:rsidRDefault="004E2069" w:rsidP="008512DA">
      <w:pPr>
        <w:widowControl w:val="0"/>
      </w:pPr>
    </w:p>
    <w:p w:rsidR="004E2069" w:rsidRPr="00E85DD7" w:rsidRDefault="004E2069" w:rsidP="008512DA">
      <w:pPr>
        <w:widowControl w:val="0"/>
      </w:pPr>
    </w:p>
    <w:p w:rsidR="004E2069" w:rsidRPr="00E85DD7" w:rsidRDefault="004E2069" w:rsidP="008512DA">
      <w:pPr>
        <w:widowControl w:val="0"/>
      </w:pPr>
    </w:p>
    <w:p w:rsidR="004E2069" w:rsidRPr="00E85DD7" w:rsidRDefault="004E2069" w:rsidP="008512DA">
      <w:pPr>
        <w:pStyle w:val="BodyText"/>
        <w:widowControl w:val="0"/>
        <w:jc w:val="center"/>
        <w:rPr>
          <w:rFonts w:ascii="Times New Roman" w:hAnsi="Times New Roman" w:cs="Times New Roman"/>
          <w:b/>
          <w:bCs/>
          <w:shadow/>
          <w:sz w:val="60"/>
          <w:szCs w:val="60"/>
        </w:rPr>
      </w:pPr>
      <w:r w:rsidRPr="00E85DD7">
        <w:rPr>
          <w:rFonts w:ascii="Times New Roman" w:hAnsi="Times New Roman" w:cs="Times New Roman"/>
          <w:b/>
          <w:bCs/>
          <w:shadow/>
          <w:sz w:val="60"/>
          <w:szCs w:val="60"/>
        </w:rPr>
        <w:t>ПРИДНЕСТРОВСКОГО РЕСПУБЛИКАНСКОГО БАНКА</w:t>
      </w:r>
    </w:p>
    <w:p w:rsidR="004E2069" w:rsidRPr="00E85DD7" w:rsidRDefault="004E2069" w:rsidP="008512DA">
      <w:pPr>
        <w:pStyle w:val="Heading2"/>
        <w:widowControl w:val="0"/>
        <w:ind w:firstLine="0"/>
        <w:rPr>
          <w:rFonts w:ascii="Times New Roman" w:hAnsi="Times New Roman" w:cs="Times New Roman"/>
          <w:shadow/>
          <w:sz w:val="60"/>
          <w:szCs w:val="60"/>
          <w:vertAlign w:val="superscript"/>
        </w:rPr>
      </w:pPr>
      <w:r w:rsidRPr="00E85DD7">
        <w:rPr>
          <w:rFonts w:ascii="Times New Roman" w:hAnsi="Times New Roman" w:cs="Times New Roman"/>
          <w:shadow/>
          <w:sz w:val="60"/>
          <w:szCs w:val="60"/>
        </w:rPr>
        <w:t>ЗА 201</w:t>
      </w:r>
      <w:r>
        <w:rPr>
          <w:rFonts w:ascii="Times New Roman" w:hAnsi="Times New Roman" w:cs="Times New Roman"/>
          <w:shadow/>
          <w:sz w:val="60"/>
          <w:szCs w:val="60"/>
        </w:rPr>
        <w:t>7</w:t>
      </w:r>
      <w:r w:rsidRPr="00E85DD7">
        <w:rPr>
          <w:rFonts w:ascii="Times New Roman" w:hAnsi="Times New Roman" w:cs="Times New Roman"/>
          <w:shadow/>
          <w:sz w:val="60"/>
          <w:szCs w:val="60"/>
        </w:rPr>
        <w:t xml:space="preserve"> ГОД</w:t>
      </w:r>
    </w:p>
    <w:p w:rsidR="004E2069" w:rsidRPr="00E85DD7" w:rsidRDefault="004E2069" w:rsidP="008512DA">
      <w:pPr>
        <w:widowControl w:val="0"/>
      </w:pPr>
    </w:p>
    <w:p w:rsidR="004E2069" w:rsidRPr="00E85DD7" w:rsidRDefault="004E2069" w:rsidP="008512DA">
      <w:pPr>
        <w:widowControl w:val="0"/>
      </w:pPr>
    </w:p>
    <w:p w:rsidR="004E2069" w:rsidRPr="00E85DD7" w:rsidRDefault="004E2069" w:rsidP="008512DA">
      <w:pPr>
        <w:pStyle w:val="BodyTextIndent2"/>
        <w:widowControl w:val="0"/>
        <w:tabs>
          <w:tab w:val="left" w:pos="0"/>
        </w:tabs>
        <w:spacing w:after="0" w:line="240" w:lineRule="auto"/>
        <w:ind w:left="0"/>
        <w:jc w:val="center"/>
        <w:rPr>
          <w:b/>
          <w:bCs/>
        </w:rPr>
      </w:pPr>
    </w:p>
    <w:p w:rsidR="004E2069" w:rsidRPr="00E85DD7" w:rsidRDefault="004E2069" w:rsidP="008512DA">
      <w:pPr>
        <w:pStyle w:val="BodyTextIndent2"/>
        <w:widowControl w:val="0"/>
        <w:tabs>
          <w:tab w:val="left" w:pos="0"/>
        </w:tabs>
        <w:spacing w:after="0" w:line="240" w:lineRule="auto"/>
        <w:ind w:left="0"/>
        <w:jc w:val="center"/>
        <w:rPr>
          <w:b/>
          <w:bCs/>
        </w:rPr>
      </w:pPr>
    </w:p>
    <w:p w:rsidR="004E2069" w:rsidRPr="00E85DD7" w:rsidRDefault="004E2069" w:rsidP="008512DA">
      <w:pPr>
        <w:pStyle w:val="BodyTextIndent2"/>
        <w:widowControl w:val="0"/>
        <w:tabs>
          <w:tab w:val="left" w:pos="0"/>
        </w:tabs>
        <w:spacing w:after="0" w:line="240" w:lineRule="auto"/>
        <w:ind w:left="0"/>
        <w:jc w:val="center"/>
        <w:rPr>
          <w:b/>
          <w:bCs/>
        </w:rPr>
      </w:pPr>
    </w:p>
    <w:p w:rsidR="004E2069" w:rsidRPr="00E85DD7" w:rsidRDefault="004E2069" w:rsidP="008512DA">
      <w:pPr>
        <w:pStyle w:val="BodyTextIndent2"/>
        <w:widowControl w:val="0"/>
        <w:tabs>
          <w:tab w:val="left" w:pos="0"/>
        </w:tabs>
        <w:spacing w:after="0" w:line="240" w:lineRule="auto"/>
        <w:ind w:left="0"/>
        <w:jc w:val="center"/>
        <w:rPr>
          <w:b/>
          <w:bCs/>
        </w:rPr>
      </w:pPr>
    </w:p>
    <w:p w:rsidR="004E2069" w:rsidRPr="00E85DD7" w:rsidRDefault="004E2069" w:rsidP="008512DA">
      <w:pPr>
        <w:pStyle w:val="BodyTextIndent2"/>
        <w:widowControl w:val="0"/>
        <w:tabs>
          <w:tab w:val="left" w:pos="0"/>
        </w:tabs>
        <w:spacing w:after="0" w:line="240" w:lineRule="auto"/>
        <w:ind w:left="0"/>
        <w:jc w:val="center"/>
        <w:rPr>
          <w:b/>
          <w:bCs/>
        </w:rPr>
      </w:pPr>
    </w:p>
    <w:p w:rsidR="004E2069" w:rsidRPr="00E85DD7" w:rsidRDefault="004E2069" w:rsidP="008512DA">
      <w:pPr>
        <w:pStyle w:val="BodyTextIndent2"/>
        <w:widowControl w:val="0"/>
        <w:tabs>
          <w:tab w:val="left" w:pos="0"/>
        </w:tabs>
        <w:spacing w:after="0" w:line="240" w:lineRule="auto"/>
        <w:ind w:left="0"/>
        <w:jc w:val="center"/>
        <w:rPr>
          <w:b/>
          <w:bCs/>
        </w:rPr>
      </w:pPr>
    </w:p>
    <w:p w:rsidR="004E2069" w:rsidRPr="00E85DD7" w:rsidRDefault="004E2069" w:rsidP="008512DA">
      <w:pPr>
        <w:pStyle w:val="BodyTextIndent2"/>
        <w:widowControl w:val="0"/>
        <w:tabs>
          <w:tab w:val="left" w:pos="0"/>
        </w:tabs>
        <w:spacing w:after="0" w:line="240" w:lineRule="auto"/>
        <w:ind w:left="0"/>
        <w:rPr>
          <w:b/>
          <w:bCs/>
        </w:rPr>
      </w:pPr>
    </w:p>
    <w:p w:rsidR="004E2069" w:rsidRPr="00E85DD7" w:rsidRDefault="004E2069" w:rsidP="00533389">
      <w:pPr>
        <w:pStyle w:val="BodyTextIndent2"/>
        <w:tabs>
          <w:tab w:val="left" w:pos="0"/>
        </w:tabs>
        <w:spacing w:after="0" w:line="240" w:lineRule="auto"/>
        <w:ind w:left="0"/>
        <w:jc w:val="both"/>
        <w:rPr>
          <w:b/>
          <w:bCs/>
          <w:sz w:val="22"/>
          <w:szCs w:val="22"/>
        </w:rPr>
        <w:sectPr w:rsidR="004E2069" w:rsidRPr="00E85DD7" w:rsidSect="00533389">
          <w:headerReference w:type="default" r:id="rId7"/>
          <w:footerReference w:type="default" r:id="rId8"/>
          <w:pgSz w:w="11906" w:h="16838" w:code="9"/>
          <w:pgMar w:top="1418" w:right="849" w:bottom="1418" w:left="1134" w:header="992" w:footer="873"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2"/>
          <w:cols w:space="720"/>
          <w:titlePg/>
        </w:sectPr>
      </w:pPr>
    </w:p>
    <w:tbl>
      <w:tblPr>
        <w:tblpPr w:leftFromText="180" w:rightFromText="180" w:vertAnchor="page" w:horzAnchor="margin" w:tblpX="108" w:tblpY="1445"/>
        <w:tblW w:w="9606" w:type="dxa"/>
        <w:tblLayout w:type="fixed"/>
        <w:tblLook w:val="0000"/>
      </w:tblPr>
      <w:tblGrid>
        <w:gridCol w:w="8897"/>
        <w:gridCol w:w="709"/>
      </w:tblGrid>
      <w:tr w:rsidR="004E2069" w:rsidRPr="00E85DD7">
        <w:trPr>
          <w:cantSplit/>
          <w:trHeight w:val="300"/>
        </w:trPr>
        <w:tc>
          <w:tcPr>
            <w:tcW w:w="9606" w:type="dxa"/>
            <w:gridSpan w:val="2"/>
            <w:vAlign w:val="center"/>
          </w:tcPr>
          <w:p w:rsidR="004E2069" w:rsidRPr="00E85DD7" w:rsidRDefault="004E2069" w:rsidP="008512DA">
            <w:pPr>
              <w:pStyle w:val="BodyTextIndent2"/>
              <w:widowControl w:val="0"/>
              <w:tabs>
                <w:tab w:val="left" w:pos="0"/>
              </w:tabs>
              <w:spacing w:after="0" w:line="240" w:lineRule="auto"/>
              <w:ind w:left="-108"/>
              <w:jc w:val="center"/>
              <w:rPr>
                <w:b/>
                <w:bCs/>
                <w:sz w:val="28"/>
                <w:szCs w:val="28"/>
              </w:rPr>
            </w:pPr>
            <w:r w:rsidRPr="00E85DD7">
              <w:rPr>
                <w:b/>
                <w:bCs/>
                <w:sz w:val="28"/>
                <w:szCs w:val="28"/>
              </w:rPr>
              <w:t>СОДЕРЖАНИЕ</w:t>
            </w:r>
          </w:p>
        </w:tc>
      </w:tr>
      <w:tr w:rsidR="004E2069" w:rsidRPr="00E85DD7">
        <w:trPr>
          <w:trHeight w:val="300"/>
        </w:trPr>
        <w:tc>
          <w:tcPr>
            <w:tcW w:w="8897" w:type="dxa"/>
            <w:vAlign w:val="center"/>
          </w:tcPr>
          <w:p w:rsidR="004E2069" w:rsidRPr="00E85DD7" w:rsidRDefault="004E2069" w:rsidP="008512DA">
            <w:pPr>
              <w:pStyle w:val="BodyTextIndent2"/>
              <w:widowControl w:val="0"/>
              <w:spacing w:after="0" w:line="240" w:lineRule="auto"/>
              <w:ind w:left="-30"/>
              <w:rPr>
                <w:b/>
                <w:bCs/>
                <w:sz w:val="24"/>
                <w:szCs w:val="24"/>
              </w:rPr>
            </w:pPr>
            <w:r w:rsidRPr="00E85DD7">
              <w:rPr>
                <w:b/>
                <w:bCs/>
                <w:sz w:val="24"/>
                <w:szCs w:val="24"/>
              </w:rPr>
              <w:t>Введение</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b/>
                <w:bCs/>
                <w:sz w:val="24"/>
                <w:szCs w:val="24"/>
              </w:rPr>
            </w:pPr>
            <w:r w:rsidRPr="00E85DD7">
              <w:rPr>
                <w:b/>
                <w:bCs/>
                <w:sz w:val="24"/>
                <w:szCs w:val="24"/>
              </w:rPr>
              <w:t>3</w:t>
            </w:r>
          </w:p>
        </w:tc>
      </w:tr>
      <w:tr w:rsidR="004E2069" w:rsidRPr="00E85DD7">
        <w:trPr>
          <w:trHeight w:val="300"/>
        </w:trPr>
        <w:tc>
          <w:tcPr>
            <w:tcW w:w="8897" w:type="dxa"/>
            <w:vAlign w:val="center"/>
          </w:tcPr>
          <w:p w:rsidR="004E2069" w:rsidRPr="00E85DD7" w:rsidRDefault="004E2069" w:rsidP="00FC53FA">
            <w:pPr>
              <w:pStyle w:val="BodyTextIndent2"/>
              <w:widowControl w:val="0"/>
              <w:spacing w:after="0" w:line="240" w:lineRule="auto"/>
              <w:ind w:left="0"/>
              <w:rPr>
                <w:b/>
                <w:bCs/>
                <w:i/>
                <w:iCs/>
                <w:sz w:val="24"/>
                <w:szCs w:val="24"/>
              </w:rPr>
            </w:pPr>
            <w:r w:rsidRPr="00E85DD7">
              <w:rPr>
                <w:b/>
                <w:bCs/>
                <w:sz w:val="24"/>
                <w:szCs w:val="24"/>
              </w:rPr>
              <w:t xml:space="preserve">1. Экономическое и </w:t>
            </w:r>
            <w:r w:rsidRPr="00FC53FA">
              <w:rPr>
                <w:b/>
                <w:bCs/>
                <w:sz w:val="24"/>
                <w:szCs w:val="24"/>
              </w:rPr>
              <w:t xml:space="preserve">финансовое положение </w:t>
            </w:r>
            <w:r w:rsidRPr="00FC53FA">
              <w:rPr>
                <w:b/>
                <w:bCs/>
                <w:color w:val="000000"/>
                <w:sz w:val="24"/>
                <w:szCs w:val="24"/>
              </w:rPr>
              <w:t>Приднестровской Молдавской Республики</w:t>
            </w:r>
            <w:r w:rsidRPr="00FC53FA">
              <w:rPr>
                <w:b/>
                <w:bCs/>
                <w:sz w:val="24"/>
                <w:szCs w:val="24"/>
              </w:rPr>
              <w:t xml:space="preserve"> в 2017 году</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b/>
                <w:bCs/>
                <w:sz w:val="24"/>
                <w:szCs w:val="24"/>
              </w:rPr>
            </w:pPr>
            <w:r w:rsidRPr="00E85DD7">
              <w:rPr>
                <w:b/>
                <w:bCs/>
                <w:sz w:val="24"/>
                <w:szCs w:val="24"/>
              </w:rPr>
              <w:t>5</w:t>
            </w:r>
          </w:p>
        </w:tc>
      </w:tr>
      <w:tr w:rsidR="004E2069" w:rsidRPr="00E85DD7">
        <w:trPr>
          <w:trHeight w:val="300"/>
        </w:trPr>
        <w:tc>
          <w:tcPr>
            <w:tcW w:w="8897" w:type="dxa"/>
            <w:vAlign w:val="center"/>
          </w:tcPr>
          <w:p w:rsidR="004E2069" w:rsidRPr="00E85DD7" w:rsidRDefault="004E2069" w:rsidP="008512DA">
            <w:pPr>
              <w:pStyle w:val="BodyTextIndent2"/>
              <w:widowControl w:val="0"/>
              <w:spacing w:after="0" w:line="240" w:lineRule="auto"/>
              <w:ind w:left="672" w:hanging="388"/>
              <w:rPr>
                <w:sz w:val="24"/>
                <w:szCs w:val="24"/>
              </w:rPr>
            </w:pPr>
            <w:r w:rsidRPr="00E85DD7">
              <w:rPr>
                <w:sz w:val="24"/>
                <w:szCs w:val="24"/>
              </w:rPr>
              <w:t>1.1. Мировая экономика и международные рынки</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sz w:val="24"/>
                <w:szCs w:val="24"/>
              </w:rPr>
            </w:pPr>
            <w:r>
              <w:rPr>
                <w:sz w:val="24"/>
                <w:szCs w:val="24"/>
              </w:rPr>
              <w:t>5</w:t>
            </w:r>
          </w:p>
        </w:tc>
      </w:tr>
      <w:tr w:rsidR="004E2069" w:rsidRPr="00E85DD7">
        <w:trPr>
          <w:trHeight w:val="300"/>
        </w:trPr>
        <w:tc>
          <w:tcPr>
            <w:tcW w:w="8897" w:type="dxa"/>
            <w:vAlign w:val="center"/>
          </w:tcPr>
          <w:p w:rsidR="004E2069" w:rsidRPr="00E85DD7" w:rsidRDefault="004E2069" w:rsidP="008512DA">
            <w:pPr>
              <w:pStyle w:val="BodyTextIndent2"/>
              <w:widowControl w:val="0"/>
              <w:spacing w:after="0" w:line="240" w:lineRule="auto"/>
              <w:ind w:left="672" w:hanging="388"/>
              <w:rPr>
                <w:sz w:val="24"/>
                <w:szCs w:val="24"/>
              </w:rPr>
            </w:pPr>
            <w:r w:rsidRPr="00E85DD7">
              <w:rPr>
                <w:sz w:val="24"/>
                <w:szCs w:val="24"/>
              </w:rPr>
              <w:t>1.2. Экономическое положение Приднестровья</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sz w:val="24"/>
                <w:szCs w:val="24"/>
              </w:rPr>
            </w:pPr>
            <w:r>
              <w:rPr>
                <w:sz w:val="24"/>
                <w:szCs w:val="24"/>
              </w:rPr>
              <w:t>6</w:t>
            </w:r>
          </w:p>
        </w:tc>
      </w:tr>
      <w:tr w:rsidR="004E2069" w:rsidRPr="00E85DD7">
        <w:trPr>
          <w:trHeight w:val="80"/>
        </w:trPr>
        <w:tc>
          <w:tcPr>
            <w:tcW w:w="8897" w:type="dxa"/>
            <w:vAlign w:val="center"/>
          </w:tcPr>
          <w:p w:rsidR="004E2069" w:rsidRPr="00E85DD7" w:rsidRDefault="004E2069" w:rsidP="008512DA">
            <w:pPr>
              <w:pStyle w:val="BodyTextIndent2"/>
              <w:widowControl w:val="0"/>
              <w:spacing w:after="0" w:line="240" w:lineRule="auto"/>
              <w:ind w:left="672" w:hanging="388"/>
              <w:rPr>
                <w:sz w:val="24"/>
                <w:szCs w:val="24"/>
              </w:rPr>
            </w:pPr>
            <w:r w:rsidRPr="00E85DD7">
              <w:rPr>
                <w:sz w:val="24"/>
                <w:szCs w:val="24"/>
              </w:rPr>
              <w:t>1.3. Государственные финансы</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sz w:val="24"/>
                <w:szCs w:val="24"/>
              </w:rPr>
            </w:pPr>
            <w:r>
              <w:rPr>
                <w:sz w:val="24"/>
                <w:szCs w:val="24"/>
              </w:rPr>
              <w:t>12</w:t>
            </w:r>
          </w:p>
        </w:tc>
      </w:tr>
      <w:tr w:rsidR="004E2069" w:rsidRPr="00E85DD7">
        <w:trPr>
          <w:trHeight w:val="300"/>
        </w:trPr>
        <w:tc>
          <w:tcPr>
            <w:tcW w:w="8897" w:type="dxa"/>
            <w:vAlign w:val="center"/>
          </w:tcPr>
          <w:p w:rsidR="004E2069" w:rsidRPr="00E85DD7" w:rsidRDefault="004E2069" w:rsidP="008512DA">
            <w:pPr>
              <w:pStyle w:val="BodyTextIndent2"/>
              <w:widowControl w:val="0"/>
              <w:spacing w:after="0" w:line="240" w:lineRule="auto"/>
              <w:ind w:left="672" w:hanging="388"/>
              <w:rPr>
                <w:sz w:val="24"/>
                <w:szCs w:val="24"/>
              </w:rPr>
            </w:pPr>
            <w:r w:rsidRPr="00E85DD7">
              <w:rPr>
                <w:sz w:val="24"/>
                <w:szCs w:val="24"/>
              </w:rPr>
              <w:t>1.4. Финансовый сектор</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sz w:val="24"/>
                <w:szCs w:val="24"/>
              </w:rPr>
            </w:pPr>
            <w:r>
              <w:rPr>
                <w:sz w:val="24"/>
                <w:szCs w:val="24"/>
              </w:rPr>
              <w:t>14</w:t>
            </w:r>
          </w:p>
        </w:tc>
      </w:tr>
      <w:tr w:rsidR="004E2069" w:rsidRPr="00E85DD7">
        <w:trPr>
          <w:trHeight w:val="300"/>
        </w:trPr>
        <w:tc>
          <w:tcPr>
            <w:tcW w:w="8897" w:type="dxa"/>
            <w:vAlign w:val="center"/>
          </w:tcPr>
          <w:p w:rsidR="004E2069" w:rsidRPr="00E85DD7" w:rsidRDefault="004E2069" w:rsidP="008512DA">
            <w:pPr>
              <w:pStyle w:val="BodyTextIndent2"/>
              <w:widowControl w:val="0"/>
              <w:spacing w:after="0" w:line="240" w:lineRule="auto"/>
              <w:ind w:left="672" w:firstLine="37"/>
              <w:rPr>
                <w:i/>
                <w:iCs/>
                <w:sz w:val="22"/>
                <w:szCs w:val="22"/>
              </w:rPr>
            </w:pPr>
            <w:r w:rsidRPr="00E85DD7">
              <w:rPr>
                <w:i/>
                <w:iCs/>
                <w:sz w:val="22"/>
                <w:szCs w:val="22"/>
              </w:rPr>
              <w:t>Банковская система</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sz w:val="24"/>
                <w:szCs w:val="24"/>
              </w:rPr>
            </w:pPr>
            <w:r>
              <w:rPr>
                <w:sz w:val="24"/>
                <w:szCs w:val="24"/>
              </w:rPr>
              <w:t>14</w:t>
            </w:r>
          </w:p>
        </w:tc>
      </w:tr>
      <w:tr w:rsidR="004E2069" w:rsidRPr="00E85DD7">
        <w:trPr>
          <w:trHeight w:val="300"/>
        </w:trPr>
        <w:tc>
          <w:tcPr>
            <w:tcW w:w="8897" w:type="dxa"/>
            <w:vAlign w:val="center"/>
          </w:tcPr>
          <w:p w:rsidR="004E2069" w:rsidRPr="00E85DD7" w:rsidRDefault="004E2069" w:rsidP="008512DA">
            <w:pPr>
              <w:pStyle w:val="BodyTextIndent2"/>
              <w:widowControl w:val="0"/>
              <w:spacing w:after="0" w:line="240" w:lineRule="auto"/>
              <w:ind w:left="672" w:firstLine="37"/>
              <w:rPr>
                <w:i/>
                <w:iCs/>
                <w:sz w:val="22"/>
                <w:szCs w:val="22"/>
              </w:rPr>
            </w:pPr>
            <w:r w:rsidRPr="00E85DD7">
              <w:rPr>
                <w:i/>
                <w:iCs/>
                <w:sz w:val="22"/>
                <w:szCs w:val="22"/>
              </w:rPr>
              <w:t>Валютный рынок</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sz w:val="24"/>
                <w:szCs w:val="24"/>
              </w:rPr>
            </w:pPr>
            <w:r>
              <w:rPr>
                <w:sz w:val="24"/>
                <w:szCs w:val="24"/>
              </w:rPr>
              <w:t>18</w:t>
            </w:r>
          </w:p>
        </w:tc>
      </w:tr>
      <w:tr w:rsidR="004E2069" w:rsidRPr="00E85DD7">
        <w:trPr>
          <w:trHeight w:val="300"/>
        </w:trPr>
        <w:tc>
          <w:tcPr>
            <w:tcW w:w="8897" w:type="dxa"/>
            <w:vAlign w:val="center"/>
          </w:tcPr>
          <w:p w:rsidR="004E2069" w:rsidRPr="00E85DD7" w:rsidRDefault="004E2069" w:rsidP="008512DA">
            <w:pPr>
              <w:pStyle w:val="BodyTextIndent2"/>
              <w:widowControl w:val="0"/>
              <w:spacing w:after="0" w:line="240" w:lineRule="auto"/>
              <w:ind w:left="672" w:hanging="388"/>
              <w:rPr>
                <w:sz w:val="24"/>
                <w:szCs w:val="24"/>
              </w:rPr>
            </w:pPr>
            <w:r w:rsidRPr="00E85DD7">
              <w:rPr>
                <w:sz w:val="24"/>
                <w:szCs w:val="24"/>
              </w:rPr>
              <w:t>1.5. Платёжная система</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sz w:val="24"/>
                <w:szCs w:val="24"/>
              </w:rPr>
            </w:pPr>
            <w:r>
              <w:rPr>
                <w:sz w:val="24"/>
                <w:szCs w:val="24"/>
              </w:rPr>
              <w:t>19</w:t>
            </w:r>
          </w:p>
        </w:tc>
      </w:tr>
      <w:tr w:rsidR="004E2069" w:rsidRPr="00E85DD7">
        <w:trPr>
          <w:trHeight w:val="300"/>
        </w:trPr>
        <w:tc>
          <w:tcPr>
            <w:tcW w:w="8897" w:type="dxa"/>
            <w:vAlign w:val="center"/>
          </w:tcPr>
          <w:p w:rsidR="004E2069" w:rsidRPr="00E85DD7" w:rsidRDefault="004E2069" w:rsidP="008512DA">
            <w:pPr>
              <w:pStyle w:val="BodyTextIndent2"/>
              <w:widowControl w:val="0"/>
              <w:spacing w:after="0" w:line="240" w:lineRule="auto"/>
              <w:ind w:left="672" w:hanging="388"/>
              <w:rPr>
                <w:sz w:val="24"/>
                <w:szCs w:val="24"/>
              </w:rPr>
            </w:pPr>
            <w:r w:rsidRPr="00E85DD7">
              <w:rPr>
                <w:sz w:val="24"/>
                <w:szCs w:val="24"/>
              </w:rPr>
              <w:t>1.6. Платёжный баланс</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sz w:val="24"/>
                <w:szCs w:val="24"/>
              </w:rPr>
            </w:pPr>
            <w:r>
              <w:rPr>
                <w:sz w:val="24"/>
                <w:szCs w:val="24"/>
              </w:rPr>
              <w:t>20</w:t>
            </w:r>
          </w:p>
        </w:tc>
      </w:tr>
      <w:tr w:rsidR="004E2069" w:rsidRPr="00E85DD7">
        <w:trPr>
          <w:trHeight w:val="300"/>
        </w:trPr>
        <w:tc>
          <w:tcPr>
            <w:tcW w:w="8897" w:type="dxa"/>
            <w:vAlign w:val="center"/>
          </w:tcPr>
          <w:p w:rsidR="004E2069" w:rsidRPr="00E85DD7" w:rsidRDefault="004E2069" w:rsidP="00B3267A">
            <w:pPr>
              <w:pStyle w:val="BodyTextIndent2"/>
              <w:widowControl w:val="0"/>
              <w:spacing w:after="0" w:line="240" w:lineRule="auto"/>
              <w:ind w:left="0"/>
              <w:rPr>
                <w:sz w:val="24"/>
                <w:szCs w:val="24"/>
              </w:rPr>
            </w:pPr>
            <w:r w:rsidRPr="00E85DD7">
              <w:rPr>
                <w:b/>
                <w:bCs/>
                <w:sz w:val="24"/>
                <w:szCs w:val="24"/>
              </w:rPr>
              <w:t>2. Деятельность Приднестровского республиканского банка в 201</w:t>
            </w:r>
            <w:r>
              <w:rPr>
                <w:b/>
                <w:bCs/>
                <w:sz w:val="24"/>
                <w:szCs w:val="24"/>
              </w:rPr>
              <w:t>7</w:t>
            </w:r>
            <w:r w:rsidRPr="00E85DD7">
              <w:rPr>
                <w:b/>
                <w:bCs/>
                <w:sz w:val="24"/>
                <w:szCs w:val="24"/>
              </w:rPr>
              <w:t xml:space="preserve"> году</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b/>
                <w:bCs/>
                <w:sz w:val="24"/>
                <w:szCs w:val="24"/>
              </w:rPr>
            </w:pPr>
            <w:r>
              <w:rPr>
                <w:b/>
                <w:bCs/>
                <w:sz w:val="24"/>
                <w:szCs w:val="24"/>
              </w:rPr>
              <w:t>23</w:t>
            </w:r>
          </w:p>
        </w:tc>
      </w:tr>
      <w:tr w:rsidR="004E2069" w:rsidRPr="00E85DD7">
        <w:trPr>
          <w:trHeight w:val="225"/>
        </w:trPr>
        <w:tc>
          <w:tcPr>
            <w:tcW w:w="8897" w:type="dxa"/>
            <w:vAlign w:val="center"/>
          </w:tcPr>
          <w:p w:rsidR="004E2069" w:rsidRPr="00E85DD7" w:rsidRDefault="004E2069" w:rsidP="008512DA">
            <w:pPr>
              <w:pStyle w:val="BodyTextIndent2"/>
              <w:widowControl w:val="0"/>
              <w:spacing w:after="0" w:line="240" w:lineRule="auto"/>
              <w:ind w:left="672" w:hanging="388"/>
              <w:rPr>
                <w:sz w:val="24"/>
                <w:szCs w:val="24"/>
              </w:rPr>
            </w:pPr>
            <w:r w:rsidRPr="00E85DD7">
              <w:rPr>
                <w:sz w:val="24"/>
                <w:szCs w:val="24"/>
              </w:rPr>
              <w:t>2.1. Денежно-кредитная политика</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sz w:val="24"/>
                <w:szCs w:val="24"/>
              </w:rPr>
            </w:pPr>
            <w:r>
              <w:rPr>
                <w:sz w:val="24"/>
                <w:szCs w:val="24"/>
              </w:rPr>
              <w:t>23</w:t>
            </w:r>
          </w:p>
        </w:tc>
      </w:tr>
      <w:tr w:rsidR="004E2069" w:rsidRPr="00E85DD7">
        <w:trPr>
          <w:trHeight w:val="258"/>
        </w:trPr>
        <w:tc>
          <w:tcPr>
            <w:tcW w:w="8897" w:type="dxa"/>
            <w:vAlign w:val="center"/>
          </w:tcPr>
          <w:p w:rsidR="004E2069" w:rsidRPr="00E85DD7" w:rsidRDefault="004E2069" w:rsidP="008512DA">
            <w:pPr>
              <w:pStyle w:val="BodyTextIndent2"/>
              <w:widowControl w:val="0"/>
              <w:spacing w:after="0" w:line="240" w:lineRule="auto"/>
              <w:ind w:left="672" w:firstLine="37"/>
              <w:rPr>
                <w:i/>
                <w:iCs/>
                <w:sz w:val="22"/>
                <w:szCs w:val="22"/>
              </w:rPr>
            </w:pPr>
            <w:r w:rsidRPr="00E85DD7">
              <w:rPr>
                <w:i/>
                <w:iCs/>
                <w:sz w:val="22"/>
                <w:szCs w:val="22"/>
              </w:rPr>
              <w:t>Цели и результаты денежно-кредитной политики</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sz w:val="24"/>
                <w:szCs w:val="24"/>
              </w:rPr>
            </w:pPr>
            <w:r>
              <w:rPr>
                <w:sz w:val="24"/>
                <w:szCs w:val="24"/>
              </w:rPr>
              <w:t>23</w:t>
            </w:r>
          </w:p>
        </w:tc>
      </w:tr>
      <w:tr w:rsidR="004E2069" w:rsidRPr="00E85DD7">
        <w:trPr>
          <w:trHeight w:val="258"/>
        </w:trPr>
        <w:tc>
          <w:tcPr>
            <w:tcW w:w="8897" w:type="dxa"/>
            <w:vAlign w:val="center"/>
          </w:tcPr>
          <w:p w:rsidR="004E2069" w:rsidRPr="00E85DD7" w:rsidRDefault="004E2069" w:rsidP="008512DA">
            <w:pPr>
              <w:pStyle w:val="BodyTextIndent2"/>
              <w:widowControl w:val="0"/>
              <w:spacing w:after="0" w:line="240" w:lineRule="auto"/>
              <w:ind w:left="672" w:firstLine="37"/>
              <w:rPr>
                <w:i/>
                <w:iCs/>
                <w:sz w:val="22"/>
                <w:szCs w:val="22"/>
              </w:rPr>
            </w:pPr>
            <w:r w:rsidRPr="00E85DD7">
              <w:rPr>
                <w:i/>
                <w:iCs/>
                <w:sz w:val="22"/>
                <w:szCs w:val="22"/>
              </w:rPr>
              <w:t>Инструменты денежно-кредитной политики</w:t>
            </w:r>
          </w:p>
        </w:tc>
        <w:tc>
          <w:tcPr>
            <w:tcW w:w="709" w:type="dxa"/>
            <w:vAlign w:val="center"/>
          </w:tcPr>
          <w:p w:rsidR="004E2069" w:rsidRPr="00E85DD7" w:rsidRDefault="004E2069" w:rsidP="00E95790">
            <w:pPr>
              <w:pStyle w:val="BodyTextIndent2"/>
              <w:widowControl w:val="0"/>
              <w:tabs>
                <w:tab w:val="left" w:pos="317"/>
              </w:tabs>
              <w:spacing w:after="0" w:line="240" w:lineRule="auto"/>
              <w:ind w:left="-108"/>
              <w:jc w:val="center"/>
              <w:rPr>
                <w:sz w:val="24"/>
                <w:szCs w:val="24"/>
              </w:rPr>
            </w:pPr>
            <w:r>
              <w:rPr>
                <w:sz w:val="24"/>
                <w:szCs w:val="24"/>
              </w:rPr>
              <w:t>24</w:t>
            </w:r>
          </w:p>
        </w:tc>
      </w:tr>
      <w:tr w:rsidR="004E2069" w:rsidRPr="00E85DD7">
        <w:trPr>
          <w:trHeight w:val="258"/>
        </w:trPr>
        <w:tc>
          <w:tcPr>
            <w:tcW w:w="8897" w:type="dxa"/>
            <w:vAlign w:val="center"/>
          </w:tcPr>
          <w:p w:rsidR="004E2069" w:rsidRPr="00E85DD7" w:rsidRDefault="004E2069" w:rsidP="008512DA">
            <w:pPr>
              <w:pStyle w:val="BodyTextIndent2"/>
              <w:widowControl w:val="0"/>
              <w:spacing w:after="0" w:line="240" w:lineRule="auto"/>
              <w:ind w:left="672" w:firstLine="37"/>
              <w:rPr>
                <w:i/>
                <w:iCs/>
                <w:sz w:val="22"/>
                <w:szCs w:val="22"/>
              </w:rPr>
            </w:pPr>
            <w:r w:rsidRPr="00E85DD7">
              <w:rPr>
                <w:i/>
                <w:iCs/>
                <w:sz w:val="22"/>
                <w:szCs w:val="22"/>
              </w:rPr>
              <w:t>Динамика монетарных показателей</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sz w:val="24"/>
                <w:szCs w:val="24"/>
              </w:rPr>
            </w:pPr>
            <w:r>
              <w:rPr>
                <w:sz w:val="24"/>
                <w:szCs w:val="24"/>
              </w:rPr>
              <w:t>25</w:t>
            </w:r>
          </w:p>
        </w:tc>
      </w:tr>
      <w:tr w:rsidR="004E2069" w:rsidRPr="00E85DD7">
        <w:trPr>
          <w:trHeight w:val="135"/>
        </w:trPr>
        <w:tc>
          <w:tcPr>
            <w:tcW w:w="8897" w:type="dxa"/>
            <w:vAlign w:val="center"/>
          </w:tcPr>
          <w:p w:rsidR="004E2069" w:rsidRPr="00E85DD7" w:rsidRDefault="004E2069" w:rsidP="008512DA">
            <w:pPr>
              <w:pStyle w:val="BodyTextIndent2"/>
              <w:widowControl w:val="0"/>
              <w:spacing w:after="0" w:line="240" w:lineRule="auto"/>
              <w:ind w:left="672" w:hanging="388"/>
              <w:rPr>
                <w:sz w:val="24"/>
                <w:szCs w:val="24"/>
              </w:rPr>
            </w:pPr>
            <w:r w:rsidRPr="00E85DD7">
              <w:rPr>
                <w:sz w:val="24"/>
                <w:szCs w:val="24"/>
              </w:rPr>
              <w:t>2.2. Динамика золотовалютных резервов</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sz w:val="24"/>
                <w:szCs w:val="24"/>
              </w:rPr>
            </w:pPr>
            <w:r>
              <w:rPr>
                <w:sz w:val="24"/>
                <w:szCs w:val="24"/>
              </w:rPr>
              <w:t>26</w:t>
            </w:r>
          </w:p>
        </w:tc>
      </w:tr>
      <w:tr w:rsidR="004E2069" w:rsidRPr="00E85DD7">
        <w:trPr>
          <w:trHeight w:val="258"/>
        </w:trPr>
        <w:tc>
          <w:tcPr>
            <w:tcW w:w="8897" w:type="dxa"/>
            <w:vAlign w:val="center"/>
          </w:tcPr>
          <w:p w:rsidR="004E2069" w:rsidRPr="00E85DD7" w:rsidRDefault="004E2069" w:rsidP="0027181C">
            <w:pPr>
              <w:pStyle w:val="BodyTextIndent2"/>
              <w:widowControl w:val="0"/>
              <w:spacing w:after="0" w:line="240" w:lineRule="auto"/>
              <w:ind w:left="672" w:hanging="388"/>
              <w:rPr>
                <w:sz w:val="24"/>
                <w:szCs w:val="24"/>
              </w:rPr>
            </w:pPr>
            <w:r w:rsidRPr="00E85DD7">
              <w:rPr>
                <w:sz w:val="24"/>
                <w:szCs w:val="24"/>
              </w:rPr>
              <w:t xml:space="preserve">2.3. </w:t>
            </w:r>
            <w:r>
              <w:rPr>
                <w:sz w:val="24"/>
                <w:szCs w:val="24"/>
              </w:rPr>
              <w:t>Р</w:t>
            </w:r>
            <w:r w:rsidRPr="00E85DD7">
              <w:rPr>
                <w:sz w:val="24"/>
                <w:szCs w:val="24"/>
              </w:rPr>
              <w:t xml:space="preserve">егулирование и надзор </w:t>
            </w:r>
            <w:r>
              <w:rPr>
                <w:sz w:val="24"/>
                <w:szCs w:val="24"/>
              </w:rPr>
              <w:t>в</w:t>
            </w:r>
            <w:r w:rsidRPr="00E85DD7">
              <w:rPr>
                <w:sz w:val="24"/>
                <w:szCs w:val="24"/>
              </w:rPr>
              <w:t xml:space="preserve"> </w:t>
            </w:r>
            <w:r>
              <w:rPr>
                <w:sz w:val="24"/>
                <w:szCs w:val="24"/>
              </w:rPr>
              <w:t>б</w:t>
            </w:r>
            <w:r w:rsidRPr="00E85DD7">
              <w:rPr>
                <w:sz w:val="24"/>
                <w:szCs w:val="24"/>
              </w:rPr>
              <w:t>анковско</w:t>
            </w:r>
            <w:r>
              <w:rPr>
                <w:sz w:val="24"/>
                <w:szCs w:val="24"/>
              </w:rPr>
              <w:t>й и страховой сферах</w:t>
            </w:r>
          </w:p>
        </w:tc>
        <w:tc>
          <w:tcPr>
            <w:tcW w:w="709" w:type="dxa"/>
            <w:vAlign w:val="center"/>
          </w:tcPr>
          <w:p w:rsidR="004E2069" w:rsidRPr="00E85DD7" w:rsidRDefault="004E2069" w:rsidP="00E95790">
            <w:pPr>
              <w:pStyle w:val="BodyTextIndent2"/>
              <w:widowControl w:val="0"/>
              <w:tabs>
                <w:tab w:val="left" w:pos="317"/>
              </w:tabs>
              <w:spacing w:after="0" w:line="240" w:lineRule="auto"/>
              <w:ind w:left="-108"/>
              <w:jc w:val="center"/>
              <w:rPr>
                <w:sz w:val="24"/>
                <w:szCs w:val="24"/>
              </w:rPr>
            </w:pPr>
            <w:r>
              <w:rPr>
                <w:sz w:val="24"/>
                <w:szCs w:val="24"/>
              </w:rPr>
              <w:t>26</w:t>
            </w:r>
          </w:p>
        </w:tc>
      </w:tr>
      <w:tr w:rsidR="004E2069" w:rsidRPr="00E85DD7">
        <w:trPr>
          <w:trHeight w:val="258"/>
        </w:trPr>
        <w:tc>
          <w:tcPr>
            <w:tcW w:w="8897" w:type="dxa"/>
            <w:vAlign w:val="center"/>
          </w:tcPr>
          <w:p w:rsidR="004E2069" w:rsidRPr="00E85DD7" w:rsidRDefault="004E2069" w:rsidP="008512DA">
            <w:pPr>
              <w:pStyle w:val="BodyTextIndent2"/>
              <w:widowControl w:val="0"/>
              <w:spacing w:after="0" w:line="240" w:lineRule="auto"/>
              <w:ind w:left="672" w:firstLine="37"/>
              <w:rPr>
                <w:i/>
                <w:iCs/>
                <w:sz w:val="22"/>
                <w:szCs w:val="22"/>
              </w:rPr>
            </w:pPr>
            <w:r w:rsidRPr="00E85DD7">
              <w:rPr>
                <w:i/>
                <w:iCs/>
                <w:sz w:val="22"/>
                <w:szCs w:val="22"/>
              </w:rPr>
              <w:t>Регистрация и лицензирование банковской деятельности</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sz w:val="24"/>
                <w:szCs w:val="24"/>
              </w:rPr>
            </w:pPr>
            <w:r>
              <w:rPr>
                <w:sz w:val="24"/>
                <w:szCs w:val="24"/>
              </w:rPr>
              <w:t>26</w:t>
            </w:r>
          </w:p>
        </w:tc>
      </w:tr>
      <w:tr w:rsidR="004E2069" w:rsidRPr="00E85DD7">
        <w:trPr>
          <w:trHeight w:val="258"/>
        </w:trPr>
        <w:tc>
          <w:tcPr>
            <w:tcW w:w="8897" w:type="dxa"/>
            <w:vAlign w:val="center"/>
          </w:tcPr>
          <w:p w:rsidR="004E2069" w:rsidRPr="00E85DD7" w:rsidRDefault="004E2069" w:rsidP="008512DA">
            <w:pPr>
              <w:pStyle w:val="BodyTextIndent2"/>
              <w:widowControl w:val="0"/>
              <w:spacing w:after="0" w:line="240" w:lineRule="auto"/>
              <w:ind w:left="672" w:firstLine="37"/>
              <w:rPr>
                <w:i/>
                <w:iCs/>
                <w:sz w:val="22"/>
                <w:szCs w:val="22"/>
              </w:rPr>
            </w:pPr>
            <w:r w:rsidRPr="00E85DD7">
              <w:rPr>
                <w:i/>
                <w:iCs/>
                <w:sz w:val="22"/>
                <w:szCs w:val="22"/>
              </w:rPr>
              <w:t>Дистанционный надзор</w:t>
            </w:r>
          </w:p>
        </w:tc>
        <w:tc>
          <w:tcPr>
            <w:tcW w:w="709" w:type="dxa"/>
            <w:vAlign w:val="center"/>
          </w:tcPr>
          <w:p w:rsidR="004E2069" w:rsidRPr="00E85DD7" w:rsidRDefault="004E2069" w:rsidP="009E186B">
            <w:pPr>
              <w:pStyle w:val="BodyTextIndent2"/>
              <w:widowControl w:val="0"/>
              <w:tabs>
                <w:tab w:val="left" w:pos="317"/>
              </w:tabs>
              <w:spacing w:after="0" w:line="240" w:lineRule="auto"/>
              <w:ind w:left="-108"/>
              <w:jc w:val="center"/>
              <w:rPr>
                <w:sz w:val="24"/>
                <w:szCs w:val="24"/>
              </w:rPr>
            </w:pPr>
            <w:r>
              <w:rPr>
                <w:sz w:val="24"/>
                <w:szCs w:val="24"/>
              </w:rPr>
              <w:t>28</w:t>
            </w:r>
          </w:p>
        </w:tc>
      </w:tr>
      <w:tr w:rsidR="004E2069" w:rsidRPr="00E85DD7">
        <w:trPr>
          <w:trHeight w:val="258"/>
        </w:trPr>
        <w:tc>
          <w:tcPr>
            <w:tcW w:w="8897" w:type="dxa"/>
            <w:vAlign w:val="center"/>
          </w:tcPr>
          <w:p w:rsidR="004E2069" w:rsidRPr="00E85DD7" w:rsidRDefault="004E2069" w:rsidP="008512DA">
            <w:pPr>
              <w:pStyle w:val="BodyTextIndent2"/>
              <w:widowControl w:val="0"/>
              <w:spacing w:after="0" w:line="240" w:lineRule="auto"/>
              <w:ind w:left="672" w:firstLine="37"/>
              <w:rPr>
                <w:i/>
                <w:iCs/>
                <w:sz w:val="22"/>
                <w:szCs w:val="22"/>
              </w:rPr>
            </w:pPr>
            <w:r w:rsidRPr="00E85DD7">
              <w:rPr>
                <w:i/>
                <w:iCs/>
                <w:sz w:val="22"/>
                <w:szCs w:val="22"/>
              </w:rPr>
              <w:t>Банковское регулирование</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sz w:val="24"/>
                <w:szCs w:val="24"/>
              </w:rPr>
            </w:pPr>
            <w:r>
              <w:rPr>
                <w:sz w:val="24"/>
                <w:szCs w:val="24"/>
              </w:rPr>
              <w:t>29</w:t>
            </w:r>
          </w:p>
        </w:tc>
      </w:tr>
      <w:tr w:rsidR="004E2069" w:rsidRPr="00E85DD7">
        <w:trPr>
          <w:trHeight w:val="258"/>
        </w:trPr>
        <w:tc>
          <w:tcPr>
            <w:tcW w:w="8897" w:type="dxa"/>
            <w:vAlign w:val="center"/>
          </w:tcPr>
          <w:p w:rsidR="004E2069" w:rsidRPr="00E85DD7" w:rsidRDefault="004E2069" w:rsidP="008512DA">
            <w:pPr>
              <w:pStyle w:val="BodyTextIndent2"/>
              <w:widowControl w:val="0"/>
              <w:spacing w:after="0" w:line="240" w:lineRule="auto"/>
              <w:ind w:left="672" w:firstLine="37"/>
              <w:rPr>
                <w:i/>
                <w:iCs/>
                <w:sz w:val="22"/>
                <w:szCs w:val="22"/>
              </w:rPr>
            </w:pPr>
            <w:r w:rsidRPr="00E85DD7">
              <w:rPr>
                <w:i/>
                <w:iCs/>
                <w:sz w:val="22"/>
                <w:szCs w:val="22"/>
              </w:rPr>
              <w:t>Инспектирование кредитных организаций</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sz w:val="24"/>
                <w:szCs w:val="24"/>
              </w:rPr>
            </w:pPr>
            <w:r>
              <w:rPr>
                <w:sz w:val="24"/>
                <w:szCs w:val="24"/>
              </w:rPr>
              <w:t>30</w:t>
            </w:r>
          </w:p>
        </w:tc>
      </w:tr>
      <w:tr w:rsidR="004E2069" w:rsidRPr="00E85DD7">
        <w:trPr>
          <w:trHeight w:val="258"/>
        </w:trPr>
        <w:tc>
          <w:tcPr>
            <w:tcW w:w="8897" w:type="dxa"/>
            <w:vAlign w:val="center"/>
          </w:tcPr>
          <w:p w:rsidR="004E2069" w:rsidRPr="00E85DD7" w:rsidRDefault="004E2069" w:rsidP="008512DA">
            <w:pPr>
              <w:pStyle w:val="BodyTextIndent2"/>
              <w:widowControl w:val="0"/>
              <w:spacing w:after="0" w:line="240" w:lineRule="auto"/>
              <w:ind w:left="672" w:firstLine="37"/>
              <w:rPr>
                <w:i/>
                <w:iCs/>
                <w:sz w:val="22"/>
                <w:szCs w:val="22"/>
              </w:rPr>
            </w:pPr>
            <w:r>
              <w:rPr>
                <w:i/>
                <w:iCs/>
                <w:sz w:val="22"/>
                <w:szCs w:val="22"/>
              </w:rPr>
              <w:t>Регулирование в сфере страхового дела</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sz w:val="24"/>
                <w:szCs w:val="24"/>
              </w:rPr>
            </w:pPr>
            <w:r>
              <w:rPr>
                <w:sz w:val="24"/>
                <w:szCs w:val="24"/>
              </w:rPr>
              <w:t>31</w:t>
            </w:r>
          </w:p>
        </w:tc>
      </w:tr>
      <w:tr w:rsidR="004E2069" w:rsidRPr="00E85DD7">
        <w:trPr>
          <w:trHeight w:val="268"/>
        </w:trPr>
        <w:tc>
          <w:tcPr>
            <w:tcW w:w="8897" w:type="dxa"/>
            <w:vAlign w:val="center"/>
          </w:tcPr>
          <w:p w:rsidR="004E2069" w:rsidRPr="00E85DD7" w:rsidRDefault="004E2069" w:rsidP="008512DA">
            <w:pPr>
              <w:pStyle w:val="BodyTextIndent2"/>
              <w:widowControl w:val="0"/>
              <w:spacing w:after="0" w:line="240" w:lineRule="auto"/>
              <w:ind w:left="672" w:hanging="388"/>
              <w:rPr>
                <w:sz w:val="24"/>
                <w:szCs w:val="24"/>
              </w:rPr>
            </w:pPr>
            <w:r w:rsidRPr="00E85DD7">
              <w:rPr>
                <w:sz w:val="24"/>
                <w:szCs w:val="24"/>
              </w:rPr>
              <w:t>2.4. Валютное регулирование и валютный контроль</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sz w:val="24"/>
                <w:szCs w:val="24"/>
              </w:rPr>
            </w:pPr>
            <w:r>
              <w:rPr>
                <w:sz w:val="24"/>
                <w:szCs w:val="24"/>
              </w:rPr>
              <w:t>31</w:t>
            </w:r>
          </w:p>
        </w:tc>
      </w:tr>
      <w:tr w:rsidR="004E2069" w:rsidRPr="00E85DD7">
        <w:trPr>
          <w:trHeight w:val="268"/>
        </w:trPr>
        <w:tc>
          <w:tcPr>
            <w:tcW w:w="8897" w:type="dxa"/>
            <w:vAlign w:val="center"/>
          </w:tcPr>
          <w:p w:rsidR="004E2069" w:rsidRPr="00E85DD7" w:rsidRDefault="004E2069" w:rsidP="008512DA">
            <w:pPr>
              <w:pStyle w:val="BodyTextIndent2"/>
              <w:widowControl w:val="0"/>
              <w:spacing w:after="0" w:line="240" w:lineRule="auto"/>
              <w:ind w:left="672" w:hanging="388"/>
              <w:rPr>
                <w:sz w:val="24"/>
                <w:szCs w:val="24"/>
              </w:rPr>
            </w:pPr>
            <w:r w:rsidRPr="00E85DD7">
              <w:rPr>
                <w:sz w:val="24"/>
                <w:szCs w:val="24"/>
              </w:rPr>
              <w:t xml:space="preserve">2.5. Деятельность Приднестровского республиканского банка в области противодействия легализации (отмыванию) доходов, полученных преступным путём, и финансированию терроризма </w:t>
            </w:r>
          </w:p>
        </w:tc>
        <w:tc>
          <w:tcPr>
            <w:tcW w:w="709" w:type="dxa"/>
            <w:vAlign w:val="center"/>
          </w:tcPr>
          <w:p w:rsidR="004E2069" w:rsidRPr="009E186B" w:rsidRDefault="004E2069" w:rsidP="009E186B">
            <w:pPr>
              <w:pStyle w:val="BodyTextIndent2"/>
              <w:widowControl w:val="0"/>
              <w:tabs>
                <w:tab w:val="left" w:pos="317"/>
              </w:tabs>
              <w:spacing w:after="0" w:line="240" w:lineRule="auto"/>
              <w:ind w:left="-108"/>
              <w:jc w:val="center"/>
              <w:rPr>
                <w:sz w:val="24"/>
                <w:szCs w:val="24"/>
              </w:rPr>
            </w:pPr>
            <w:r w:rsidRPr="009E186B">
              <w:rPr>
                <w:sz w:val="24"/>
                <w:szCs w:val="24"/>
              </w:rPr>
              <w:t>33</w:t>
            </w:r>
          </w:p>
        </w:tc>
      </w:tr>
      <w:tr w:rsidR="004E2069" w:rsidRPr="00E85DD7">
        <w:trPr>
          <w:trHeight w:val="258"/>
        </w:trPr>
        <w:tc>
          <w:tcPr>
            <w:tcW w:w="8897" w:type="dxa"/>
            <w:vAlign w:val="center"/>
          </w:tcPr>
          <w:p w:rsidR="004E2069" w:rsidRPr="00E85DD7" w:rsidRDefault="004E2069" w:rsidP="008512DA">
            <w:pPr>
              <w:pStyle w:val="BodyTextIndent2"/>
              <w:widowControl w:val="0"/>
              <w:spacing w:after="0" w:line="240" w:lineRule="auto"/>
              <w:ind w:left="672" w:hanging="388"/>
              <w:rPr>
                <w:sz w:val="24"/>
                <w:szCs w:val="24"/>
              </w:rPr>
            </w:pPr>
            <w:r w:rsidRPr="00E85DD7">
              <w:rPr>
                <w:sz w:val="24"/>
                <w:szCs w:val="24"/>
              </w:rPr>
              <w:t>2.6. Функционирование платёжной системы Приднестровского республиканского банка</w:t>
            </w:r>
          </w:p>
        </w:tc>
        <w:tc>
          <w:tcPr>
            <w:tcW w:w="709" w:type="dxa"/>
            <w:vAlign w:val="center"/>
          </w:tcPr>
          <w:p w:rsidR="004E2069" w:rsidRPr="009E186B" w:rsidRDefault="004E2069" w:rsidP="00E95790">
            <w:pPr>
              <w:pStyle w:val="BodyTextIndent2"/>
              <w:widowControl w:val="0"/>
              <w:tabs>
                <w:tab w:val="left" w:pos="317"/>
              </w:tabs>
              <w:spacing w:after="0" w:line="240" w:lineRule="auto"/>
              <w:ind w:left="-108"/>
              <w:jc w:val="center"/>
              <w:rPr>
                <w:sz w:val="24"/>
                <w:szCs w:val="24"/>
              </w:rPr>
            </w:pPr>
            <w:r w:rsidRPr="009E186B">
              <w:rPr>
                <w:sz w:val="24"/>
                <w:szCs w:val="24"/>
              </w:rPr>
              <w:t>34</w:t>
            </w:r>
          </w:p>
        </w:tc>
      </w:tr>
      <w:tr w:rsidR="004E2069" w:rsidRPr="00E85DD7">
        <w:trPr>
          <w:trHeight w:val="258"/>
        </w:trPr>
        <w:tc>
          <w:tcPr>
            <w:tcW w:w="8897" w:type="dxa"/>
            <w:vAlign w:val="center"/>
          </w:tcPr>
          <w:p w:rsidR="004E2069" w:rsidRPr="00E85DD7" w:rsidRDefault="004E2069" w:rsidP="008512DA">
            <w:pPr>
              <w:pStyle w:val="BodyTextIndent2"/>
              <w:widowControl w:val="0"/>
              <w:spacing w:after="0" w:line="240" w:lineRule="auto"/>
              <w:ind w:left="672" w:hanging="388"/>
              <w:rPr>
                <w:sz w:val="24"/>
                <w:szCs w:val="24"/>
              </w:rPr>
            </w:pPr>
            <w:r w:rsidRPr="00E85DD7">
              <w:rPr>
                <w:sz w:val="24"/>
                <w:szCs w:val="24"/>
              </w:rPr>
              <w:t>2.7. Организация наличного денежного обращения</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sz w:val="24"/>
                <w:szCs w:val="24"/>
              </w:rPr>
            </w:pPr>
            <w:r>
              <w:rPr>
                <w:sz w:val="24"/>
                <w:szCs w:val="24"/>
              </w:rPr>
              <w:t>35</w:t>
            </w:r>
          </w:p>
        </w:tc>
      </w:tr>
      <w:tr w:rsidR="004E2069" w:rsidRPr="00E85DD7">
        <w:trPr>
          <w:trHeight w:val="312"/>
        </w:trPr>
        <w:tc>
          <w:tcPr>
            <w:tcW w:w="8897" w:type="dxa"/>
            <w:vAlign w:val="center"/>
          </w:tcPr>
          <w:p w:rsidR="004E2069" w:rsidRPr="00E85DD7" w:rsidRDefault="004E2069" w:rsidP="00FC53FA">
            <w:pPr>
              <w:pStyle w:val="BodyTextIndent2"/>
              <w:widowControl w:val="0"/>
              <w:spacing w:after="0" w:line="240" w:lineRule="auto"/>
              <w:ind w:left="672" w:hanging="388"/>
              <w:rPr>
                <w:sz w:val="24"/>
                <w:szCs w:val="24"/>
              </w:rPr>
            </w:pPr>
            <w:r w:rsidRPr="00E85DD7">
              <w:rPr>
                <w:sz w:val="24"/>
                <w:szCs w:val="24"/>
              </w:rPr>
              <w:t>2.8.</w:t>
            </w:r>
            <w:r>
              <w:rPr>
                <w:sz w:val="24"/>
                <w:szCs w:val="24"/>
              </w:rPr>
              <w:t xml:space="preserve"> </w:t>
            </w:r>
            <w:r w:rsidRPr="00E85DD7">
              <w:rPr>
                <w:sz w:val="24"/>
                <w:szCs w:val="24"/>
              </w:rPr>
              <w:t>Взаимодействие</w:t>
            </w:r>
            <w:r>
              <w:rPr>
                <w:sz w:val="24"/>
                <w:szCs w:val="24"/>
              </w:rPr>
              <w:t xml:space="preserve"> </w:t>
            </w:r>
            <w:r w:rsidRPr="00E85DD7">
              <w:rPr>
                <w:sz w:val="24"/>
                <w:szCs w:val="24"/>
              </w:rPr>
              <w:t>Приднестровского республиканского банка с органами государственной власти</w:t>
            </w:r>
          </w:p>
        </w:tc>
        <w:tc>
          <w:tcPr>
            <w:tcW w:w="709" w:type="dxa"/>
            <w:vAlign w:val="center"/>
          </w:tcPr>
          <w:p w:rsidR="004E2069" w:rsidRPr="00E85DD7" w:rsidRDefault="004E2069" w:rsidP="00E95790">
            <w:pPr>
              <w:pStyle w:val="BodyTextIndent2"/>
              <w:widowControl w:val="0"/>
              <w:tabs>
                <w:tab w:val="left" w:pos="317"/>
              </w:tabs>
              <w:spacing w:after="0" w:line="240" w:lineRule="auto"/>
              <w:ind w:left="-108"/>
              <w:jc w:val="center"/>
              <w:rPr>
                <w:sz w:val="24"/>
                <w:szCs w:val="24"/>
              </w:rPr>
            </w:pPr>
            <w:r>
              <w:rPr>
                <w:sz w:val="24"/>
                <w:szCs w:val="24"/>
              </w:rPr>
              <w:t>36</w:t>
            </w:r>
          </w:p>
        </w:tc>
      </w:tr>
      <w:tr w:rsidR="004E2069" w:rsidRPr="00E85DD7">
        <w:trPr>
          <w:trHeight w:val="312"/>
        </w:trPr>
        <w:tc>
          <w:tcPr>
            <w:tcW w:w="8897" w:type="dxa"/>
            <w:vAlign w:val="center"/>
          </w:tcPr>
          <w:p w:rsidR="004E2069" w:rsidRPr="00E85DD7" w:rsidRDefault="004E2069" w:rsidP="00FC53FA">
            <w:pPr>
              <w:pStyle w:val="BodyTextIndent2"/>
              <w:widowControl w:val="0"/>
              <w:spacing w:after="0" w:line="240" w:lineRule="auto"/>
              <w:ind w:left="672" w:hanging="388"/>
              <w:rPr>
                <w:sz w:val="24"/>
                <w:szCs w:val="24"/>
              </w:rPr>
            </w:pPr>
            <w:r w:rsidRPr="00E85DD7">
              <w:rPr>
                <w:sz w:val="24"/>
                <w:szCs w:val="24"/>
              </w:rPr>
              <w:t>2.9.</w:t>
            </w:r>
            <w:r>
              <w:rPr>
                <w:sz w:val="24"/>
                <w:szCs w:val="24"/>
              </w:rPr>
              <w:t xml:space="preserve"> </w:t>
            </w:r>
            <w:r w:rsidRPr="00E85DD7">
              <w:rPr>
                <w:sz w:val="24"/>
                <w:szCs w:val="24"/>
              </w:rPr>
              <w:t>Деятельность  Приднестровского республиканского банка по совершенствованию бухгалтерского учёта и отчётности</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sz w:val="24"/>
                <w:szCs w:val="24"/>
              </w:rPr>
            </w:pPr>
            <w:r>
              <w:rPr>
                <w:sz w:val="24"/>
                <w:szCs w:val="24"/>
              </w:rPr>
              <w:t>37</w:t>
            </w:r>
          </w:p>
        </w:tc>
      </w:tr>
      <w:tr w:rsidR="004E2069" w:rsidRPr="00E85DD7">
        <w:trPr>
          <w:trHeight w:val="312"/>
        </w:trPr>
        <w:tc>
          <w:tcPr>
            <w:tcW w:w="8897" w:type="dxa"/>
            <w:vAlign w:val="center"/>
          </w:tcPr>
          <w:p w:rsidR="004E2069" w:rsidRPr="00E85DD7" w:rsidRDefault="004E2069" w:rsidP="00FC53FA">
            <w:pPr>
              <w:pStyle w:val="BodyTextIndent2"/>
              <w:widowControl w:val="0"/>
              <w:spacing w:after="0" w:line="240" w:lineRule="auto"/>
              <w:ind w:left="686" w:hanging="406"/>
              <w:rPr>
                <w:i/>
                <w:iCs/>
                <w:sz w:val="24"/>
                <w:szCs w:val="24"/>
              </w:rPr>
            </w:pPr>
            <w:r w:rsidRPr="00E85DD7">
              <w:rPr>
                <w:sz w:val="24"/>
                <w:szCs w:val="24"/>
              </w:rPr>
              <w:t>2.1</w:t>
            </w:r>
            <w:r>
              <w:rPr>
                <w:sz w:val="24"/>
                <w:szCs w:val="24"/>
              </w:rPr>
              <w:t>0</w:t>
            </w:r>
            <w:r w:rsidRPr="00E85DD7">
              <w:rPr>
                <w:sz w:val="24"/>
                <w:szCs w:val="24"/>
              </w:rPr>
              <w:t>. Организация внутренней деятельности Приднестровского республиканского банка</w:t>
            </w:r>
          </w:p>
        </w:tc>
        <w:tc>
          <w:tcPr>
            <w:tcW w:w="709" w:type="dxa"/>
            <w:vAlign w:val="center"/>
          </w:tcPr>
          <w:p w:rsidR="004E2069" w:rsidRPr="00E85DD7" w:rsidRDefault="004E2069" w:rsidP="00E95790">
            <w:pPr>
              <w:pStyle w:val="BodyTextIndent2"/>
              <w:widowControl w:val="0"/>
              <w:tabs>
                <w:tab w:val="left" w:pos="317"/>
              </w:tabs>
              <w:spacing w:after="0" w:line="240" w:lineRule="auto"/>
              <w:ind w:left="-108"/>
              <w:jc w:val="center"/>
              <w:rPr>
                <w:sz w:val="24"/>
                <w:szCs w:val="24"/>
              </w:rPr>
            </w:pPr>
            <w:r>
              <w:rPr>
                <w:sz w:val="24"/>
                <w:szCs w:val="24"/>
              </w:rPr>
              <w:t>38</w:t>
            </w:r>
          </w:p>
        </w:tc>
      </w:tr>
      <w:tr w:rsidR="004E2069" w:rsidRPr="00E85DD7">
        <w:trPr>
          <w:trHeight w:val="312"/>
        </w:trPr>
        <w:tc>
          <w:tcPr>
            <w:tcW w:w="8897" w:type="dxa"/>
            <w:vAlign w:val="center"/>
          </w:tcPr>
          <w:p w:rsidR="004E2069" w:rsidRPr="00E85DD7" w:rsidRDefault="004E2069" w:rsidP="008512DA">
            <w:pPr>
              <w:widowControl w:val="0"/>
              <w:ind w:left="728" w:hanging="14"/>
              <w:jc w:val="both"/>
              <w:rPr>
                <w:sz w:val="22"/>
                <w:szCs w:val="22"/>
              </w:rPr>
            </w:pPr>
            <w:r w:rsidRPr="00E85DD7">
              <w:rPr>
                <w:i/>
                <w:iCs/>
                <w:sz w:val="22"/>
                <w:szCs w:val="22"/>
              </w:rPr>
              <w:t>Организационная структура, кадровое обеспечение и обучение персонала</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sz w:val="24"/>
                <w:szCs w:val="24"/>
              </w:rPr>
            </w:pPr>
            <w:r>
              <w:rPr>
                <w:sz w:val="24"/>
                <w:szCs w:val="24"/>
              </w:rPr>
              <w:t>38</w:t>
            </w:r>
          </w:p>
        </w:tc>
      </w:tr>
      <w:tr w:rsidR="004E2069" w:rsidRPr="00E85DD7">
        <w:trPr>
          <w:trHeight w:val="312"/>
        </w:trPr>
        <w:tc>
          <w:tcPr>
            <w:tcW w:w="8897" w:type="dxa"/>
            <w:vAlign w:val="center"/>
          </w:tcPr>
          <w:p w:rsidR="004E2069" w:rsidRPr="00E85DD7" w:rsidRDefault="004E2069" w:rsidP="008512DA">
            <w:pPr>
              <w:widowControl w:val="0"/>
              <w:ind w:left="728" w:hanging="14"/>
              <w:jc w:val="both"/>
              <w:rPr>
                <w:sz w:val="22"/>
                <w:szCs w:val="22"/>
              </w:rPr>
            </w:pPr>
            <w:r w:rsidRPr="00E85DD7">
              <w:rPr>
                <w:i/>
                <w:iCs/>
                <w:sz w:val="22"/>
                <w:szCs w:val="22"/>
              </w:rPr>
              <w:t>Техническое обеспечение</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sz w:val="24"/>
                <w:szCs w:val="24"/>
              </w:rPr>
            </w:pPr>
            <w:r>
              <w:rPr>
                <w:sz w:val="24"/>
                <w:szCs w:val="24"/>
              </w:rPr>
              <w:t>39</w:t>
            </w:r>
          </w:p>
        </w:tc>
      </w:tr>
      <w:tr w:rsidR="004E2069" w:rsidRPr="00E85DD7">
        <w:trPr>
          <w:trHeight w:val="312"/>
        </w:trPr>
        <w:tc>
          <w:tcPr>
            <w:tcW w:w="8897" w:type="dxa"/>
            <w:vAlign w:val="center"/>
          </w:tcPr>
          <w:p w:rsidR="004E2069" w:rsidRPr="00E85DD7" w:rsidRDefault="004E2069" w:rsidP="008512DA">
            <w:pPr>
              <w:widowControl w:val="0"/>
              <w:ind w:left="728" w:hanging="14"/>
              <w:rPr>
                <w:sz w:val="22"/>
                <w:szCs w:val="22"/>
              </w:rPr>
            </w:pPr>
            <w:r w:rsidRPr="00E85DD7">
              <w:rPr>
                <w:i/>
                <w:iCs/>
                <w:sz w:val="22"/>
                <w:szCs w:val="22"/>
              </w:rPr>
              <w:t xml:space="preserve">Деятельность Приднестровского республиканского банка по совершенствованию банковского </w:t>
            </w:r>
            <w:r>
              <w:rPr>
                <w:i/>
                <w:iCs/>
                <w:sz w:val="22"/>
                <w:szCs w:val="22"/>
              </w:rPr>
              <w:t xml:space="preserve">и страхового </w:t>
            </w:r>
            <w:r w:rsidRPr="00E85DD7">
              <w:rPr>
                <w:i/>
                <w:iCs/>
                <w:sz w:val="22"/>
                <w:szCs w:val="22"/>
              </w:rPr>
              <w:t>законодательства. Претензионно-исковая работа</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sz w:val="24"/>
                <w:szCs w:val="24"/>
              </w:rPr>
            </w:pPr>
            <w:r>
              <w:rPr>
                <w:sz w:val="24"/>
                <w:szCs w:val="24"/>
              </w:rPr>
              <w:t>39</w:t>
            </w:r>
          </w:p>
        </w:tc>
      </w:tr>
      <w:tr w:rsidR="004E2069" w:rsidRPr="00E85DD7">
        <w:trPr>
          <w:trHeight w:val="312"/>
        </w:trPr>
        <w:tc>
          <w:tcPr>
            <w:tcW w:w="8897" w:type="dxa"/>
            <w:vAlign w:val="center"/>
          </w:tcPr>
          <w:p w:rsidR="004E2069" w:rsidRPr="00E85DD7" w:rsidRDefault="004E2069" w:rsidP="008512DA">
            <w:pPr>
              <w:widowControl w:val="0"/>
              <w:ind w:left="728"/>
              <w:jc w:val="both"/>
              <w:rPr>
                <w:i/>
                <w:iCs/>
                <w:sz w:val="22"/>
                <w:szCs w:val="22"/>
              </w:rPr>
            </w:pPr>
            <w:r w:rsidRPr="00E85DD7">
              <w:rPr>
                <w:i/>
                <w:iCs/>
                <w:sz w:val="22"/>
                <w:szCs w:val="22"/>
              </w:rPr>
              <w:t xml:space="preserve">Контроль и внутренний аудит </w:t>
            </w:r>
          </w:p>
        </w:tc>
        <w:tc>
          <w:tcPr>
            <w:tcW w:w="709" w:type="dxa"/>
            <w:vAlign w:val="center"/>
          </w:tcPr>
          <w:p w:rsidR="004E2069" w:rsidRPr="00E85DD7" w:rsidRDefault="004E2069" w:rsidP="009E186B">
            <w:pPr>
              <w:pStyle w:val="BodyTextIndent2"/>
              <w:widowControl w:val="0"/>
              <w:tabs>
                <w:tab w:val="left" w:pos="317"/>
              </w:tabs>
              <w:spacing w:after="0" w:line="240" w:lineRule="auto"/>
              <w:ind w:left="-108"/>
              <w:jc w:val="center"/>
              <w:rPr>
                <w:sz w:val="24"/>
                <w:szCs w:val="24"/>
              </w:rPr>
            </w:pPr>
            <w:r>
              <w:rPr>
                <w:sz w:val="24"/>
                <w:szCs w:val="24"/>
              </w:rPr>
              <w:t>40</w:t>
            </w:r>
          </w:p>
        </w:tc>
      </w:tr>
      <w:tr w:rsidR="004E2069" w:rsidRPr="00E85DD7">
        <w:trPr>
          <w:trHeight w:val="312"/>
        </w:trPr>
        <w:tc>
          <w:tcPr>
            <w:tcW w:w="8897" w:type="dxa"/>
            <w:vAlign w:val="center"/>
          </w:tcPr>
          <w:p w:rsidR="004E2069" w:rsidRPr="00E85DD7" w:rsidRDefault="004E2069" w:rsidP="008512DA">
            <w:pPr>
              <w:widowControl w:val="0"/>
              <w:ind w:left="728"/>
              <w:jc w:val="both"/>
              <w:rPr>
                <w:i/>
                <w:iCs/>
                <w:sz w:val="22"/>
                <w:szCs w:val="22"/>
              </w:rPr>
            </w:pPr>
            <w:r w:rsidRPr="00E85DD7">
              <w:rPr>
                <w:i/>
                <w:iCs/>
                <w:sz w:val="22"/>
                <w:szCs w:val="22"/>
              </w:rPr>
              <w:t>Управление рисками банковских операций</w:t>
            </w:r>
          </w:p>
        </w:tc>
        <w:tc>
          <w:tcPr>
            <w:tcW w:w="709" w:type="dxa"/>
            <w:vAlign w:val="center"/>
          </w:tcPr>
          <w:p w:rsidR="004E2069" w:rsidRPr="00E85DD7" w:rsidRDefault="004E2069" w:rsidP="009E186B">
            <w:pPr>
              <w:pStyle w:val="BodyTextIndent2"/>
              <w:widowControl w:val="0"/>
              <w:tabs>
                <w:tab w:val="left" w:pos="317"/>
              </w:tabs>
              <w:spacing w:after="0" w:line="240" w:lineRule="auto"/>
              <w:ind w:left="-108"/>
              <w:jc w:val="center"/>
              <w:rPr>
                <w:sz w:val="24"/>
                <w:szCs w:val="24"/>
              </w:rPr>
            </w:pPr>
            <w:r>
              <w:rPr>
                <w:sz w:val="24"/>
                <w:szCs w:val="24"/>
              </w:rPr>
              <w:t>41</w:t>
            </w:r>
          </w:p>
        </w:tc>
      </w:tr>
      <w:tr w:rsidR="004E2069" w:rsidRPr="00E85DD7">
        <w:trPr>
          <w:trHeight w:val="312"/>
        </w:trPr>
        <w:tc>
          <w:tcPr>
            <w:tcW w:w="8897" w:type="dxa"/>
            <w:vAlign w:val="center"/>
          </w:tcPr>
          <w:p w:rsidR="004E2069" w:rsidRPr="00E85DD7" w:rsidRDefault="004E2069" w:rsidP="008512DA">
            <w:pPr>
              <w:widowControl w:val="0"/>
              <w:ind w:left="728"/>
              <w:jc w:val="both"/>
              <w:rPr>
                <w:i/>
                <w:iCs/>
                <w:sz w:val="22"/>
                <w:szCs w:val="22"/>
              </w:rPr>
            </w:pPr>
            <w:r w:rsidRPr="00E85DD7">
              <w:rPr>
                <w:i/>
                <w:iCs/>
                <w:sz w:val="22"/>
                <w:szCs w:val="22"/>
              </w:rPr>
              <w:t>Информационно-разъяснительная деятельность</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sz w:val="24"/>
                <w:szCs w:val="24"/>
              </w:rPr>
            </w:pPr>
            <w:r>
              <w:rPr>
                <w:sz w:val="24"/>
                <w:szCs w:val="24"/>
              </w:rPr>
              <w:t>42</w:t>
            </w:r>
          </w:p>
        </w:tc>
      </w:tr>
      <w:tr w:rsidR="004E2069" w:rsidRPr="00E85DD7">
        <w:trPr>
          <w:trHeight w:val="312"/>
        </w:trPr>
        <w:tc>
          <w:tcPr>
            <w:tcW w:w="8897" w:type="dxa"/>
            <w:vAlign w:val="center"/>
          </w:tcPr>
          <w:p w:rsidR="004E2069" w:rsidRPr="00E85DD7" w:rsidRDefault="004E2069" w:rsidP="0027181C">
            <w:pPr>
              <w:pStyle w:val="BodyTextIndent2"/>
              <w:widowControl w:val="0"/>
              <w:spacing w:after="0" w:line="240" w:lineRule="auto"/>
              <w:ind w:left="0"/>
              <w:rPr>
                <w:b/>
                <w:bCs/>
                <w:sz w:val="24"/>
                <w:szCs w:val="24"/>
              </w:rPr>
            </w:pPr>
            <w:r w:rsidRPr="00E85DD7">
              <w:rPr>
                <w:b/>
                <w:bCs/>
                <w:sz w:val="24"/>
                <w:szCs w:val="24"/>
              </w:rPr>
              <w:t>3. Основные нормативно-правовые акты Приднестровского республиканского банка, принятые в 201</w:t>
            </w:r>
            <w:r>
              <w:rPr>
                <w:b/>
                <w:bCs/>
                <w:sz w:val="24"/>
                <w:szCs w:val="24"/>
              </w:rPr>
              <w:t>7</w:t>
            </w:r>
            <w:r w:rsidRPr="00E85DD7">
              <w:rPr>
                <w:b/>
                <w:bCs/>
                <w:sz w:val="24"/>
                <w:szCs w:val="24"/>
              </w:rPr>
              <w:t xml:space="preserve"> году</w:t>
            </w:r>
          </w:p>
        </w:tc>
        <w:tc>
          <w:tcPr>
            <w:tcW w:w="709" w:type="dxa"/>
            <w:vAlign w:val="center"/>
          </w:tcPr>
          <w:p w:rsidR="004E2069" w:rsidRPr="00E85DD7" w:rsidRDefault="004E2069" w:rsidP="008512DA">
            <w:pPr>
              <w:pStyle w:val="BodyTextIndent2"/>
              <w:widowControl w:val="0"/>
              <w:tabs>
                <w:tab w:val="left" w:pos="317"/>
              </w:tabs>
              <w:spacing w:after="0" w:line="240" w:lineRule="auto"/>
              <w:ind w:left="-108"/>
              <w:jc w:val="center"/>
              <w:rPr>
                <w:b/>
                <w:bCs/>
                <w:sz w:val="24"/>
                <w:szCs w:val="24"/>
              </w:rPr>
            </w:pPr>
            <w:r>
              <w:rPr>
                <w:b/>
                <w:bCs/>
                <w:sz w:val="24"/>
                <w:szCs w:val="24"/>
              </w:rPr>
              <w:t>44</w:t>
            </w:r>
          </w:p>
        </w:tc>
      </w:tr>
      <w:tr w:rsidR="004E2069" w:rsidRPr="00E85DD7">
        <w:trPr>
          <w:trHeight w:val="250"/>
        </w:trPr>
        <w:tc>
          <w:tcPr>
            <w:tcW w:w="8897" w:type="dxa"/>
            <w:vAlign w:val="center"/>
          </w:tcPr>
          <w:p w:rsidR="004E2069" w:rsidRPr="00E85DD7" w:rsidRDefault="004E2069" w:rsidP="008512DA">
            <w:pPr>
              <w:pStyle w:val="BodyTextIndent2"/>
              <w:widowControl w:val="0"/>
              <w:spacing w:after="0" w:line="240" w:lineRule="auto"/>
              <w:ind w:left="-30"/>
              <w:rPr>
                <w:b/>
                <w:bCs/>
                <w:sz w:val="24"/>
                <w:szCs w:val="24"/>
              </w:rPr>
            </w:pPr>
            <w:r w:rsidRPr="00E85DD7">
              <w:rPr>
                <w:b/>
                <w:bCs/>
                <w:sz w:val="24"/>
                <w:szCs w:val="24"/>
              </w:rPr>
              <w:t>Приложения</w:t>
            </w:r>
          </w:p>
          <w:p w:rsidR="004E2069" w:rsidRPr="00E85DD7" w:rsidRDefault="004E2069" w:rsidP="00B3267A">
            <w:pPr>
              <w:pStyle w:val="BodyTextIndent2"/>
              <w:widowControl w:val="0"/>
              <w:spacing w:after="0" w:line="240" w:lineRule="auto"/>
              <w:ind w:left="-30"/>
              <w:rPr>
                <w:sz w:val="24"/>
                <w:szCs w:val="24"/>
              </w:rPr>
            </w:pPr>
            <w:r w:rsidRPr="00E85DD7">
              <w:rPr>
                <w:sz w:val="24"/>
                <w:szCs w:val="24"/>
              </w:rPr>
              <w:t xml:space="preserve"> Отчёт об исполнении сметы доходов и расходов центрального банка за 201</w:t>
            </w:r>
            <w:r>
              <w:rPr>
                <w:sz w:val="24"/>
                <w:szCs w:val="24"/>
              </w:rPr>
              <w:t>7</w:t>
            </w:r>
            <w:r w:rsidRPr="00E85DD7">
              <w:rPr>
                <w:sz w:val="24"/>
                <w:szCs w:val="24"/>
              </w:rPr>
              <w:t xml:space="preserve"> год</w:t>
            </w:r>
          </w:p>
        </w:tc>
        <w:tc>
          <w:tcPr>
            <w:tcW w:w="709" w:type="dxa"/>
            <w:vAlign w:val="bottom"/>
          </w:tcPr>
          <w:p w:rsidR="004E2069" w:rsidRPr="00E85DD7" w:rsidRDefault="004E2069" w:rsidP="008512DA">
            <w:pPr>
              <w:pStyle w:val="BodyTextIndent2"/>
              <w:widowControl w:val="0"/>
              <w:tabs>
                <w:tab w:val="left" w:pos="317"/>
              </w:tabs>
              <w:spacing w:after="0" w:line="240" w:lineRule="auto"/>
              <w:ind w:left="-108"/>
              <w:jc w:val="center"/>
              <w:rPr>
                <w:sz w:val="24"/>
                <w:szCs w:val="24"/>
              </w:rPr>
            </w:pPr>
            <w:r w:rsidRPr="00BF4439">
              <w:rPr>
                <w:sz w:val="24"/>
                <w:szCs w:val="24"/>
              </w:rPr>
              <w:t>50</w:t>
            </w:r>
          </w:p>
        </w:tc>
      </w:tr>
    </w:tbl>
    <w:p w:rsidR="004E2069" w:rsidRPr="00E85DD7" w:rsidRDefault="004E2069" w:rsidP="008512DA">
      <w:pPr>
        <w:widowControl w:val="0"/>
        <w:rPr>
          <w:b/>
          <w:bCs/>
          <w:sz w:val="28"/>
          <w:szCs w:val="28"/>
        </w:rPr>
        <w:sectPr w:rsidR="004E2069" w:rsidRPr="00E85DD7" w:rsidSect="002E20AC">
          <w:pgSz w:w="11906" w:h="16838" w:code="9"/>
          <w:pgMar w:top="1418" w:right="1134" w:bottom="993" w:left="1134" w:header="992" w:footer="873" w:gutter="0"/>
          <w:pgNumType w:start="2"/>
          <w:cols w:space="720"/>
          <w:titlePg/>
        </w:sectPr>
      </w:pPr>
    </w:p>
    <w:p w:rsidR="004E2069" w:rsidRPr="00E85DD7" w:rsidRDefault="004E2069" w:rsidP="008512DA">
      <w:pPr>
        <w:widowControl w:val="0"/>
        <w:jc w:val="center"/>
        <w:rPr>
          <w:b/>
          <w:bCs/>
          <w:sz w:val="28"/>
          <w:szCs w:val="28"/>
        </w:rPr>
      </w:pPr>
      <w:r w:rsidRPr="00E85DD7">
        <w:rPr>
          <w:b/>
          <w:bCs/>
          <w:sz w:val="28"/>
          <w:szCs w:val="28"/>
        </w:rPr>
        <w:t>ВВЕДЕНИЕ</w:t>
      </w:r>
    </w:p>
    <w:p w:rsidR="004E2069" w:rsidRPr="00E85DD7" w:rsidRDefault="004E2069" w:rsidP="006E5A3E">
      <w:pPr>
        <w:widowControl w:val="0"/>
        <w:spacing w:before="120"/>
        <w:ind w:firstLine="425"/>
        <w:jc w:val="both"/>
        <w:rPr>
          <w:sz w:val="24"/>
          <w:szCs w:val="24"/>
        </w:rPr>
      </w:pPr>
      <w:r w:rsidRPr="00E85DD7">
        <w:rPr>
          <w:sz w:val="24"/>
          <w:szCs w:val="24"/>
        </w:rPr>
        <w:t>Отчёт Приднестровского республиканского банка за 201</w:t>
      </w:r>
      <w:r>
        <w:rPr>
          <w:sz w:val="24"/>
          <w:szCs w:val="24"/>
        </w:rPr>
        <w:t>7</w:t>
      </w:r>
      <w:r w:rsidRPr="00E85DD7">
        <w:rPr>
          <w:sz w:val="24"/>
          <w:szCs w:val="24"/>
        </w:rPr>
        <w:t xml:space="preserve"> год подготовлен в соответствии со статьёй 23 Закона Приднестровской Молдавской Республики </w:t>
      </w:r>
      <w:r w:rsidRPr="00E85DD7">
        <w:rPr>
          <w:sz w:val="24"/>
          <w:szCs w:val="24"/>
        </w:rPr>
        <w:br/>
        <w:t>от 7 мая 2007 года № 212-З-</w:t>
      </w:r>
      <w:r w:rsidRPr="00E85DD7">
        <w:rPr>
          <w:sz w:val="24"/>
          <w:szCs w:val="24"/>
          <w:lang w:val="en-US"/>
        </w:rPr>
        <w:t>IV</w:t>
      </w:r>
      <w:r w:rsidRPr="00E85DD7">
        <w:rPr>
          <w:sz w:val="24"/>
          <w:szCs w:val="24"/>
        </w:rPr>
        <w:t xml:space="preserve"> «О центральном банке Приднестровской Молдавской Республики» содержит анализ макроэкономических условий проведения денежно-кредитной политики и отражает основные результаты деятельности центрального банка за отчётный период, включая годовую финансовую отчётность и аудиторское заключение по ней.</w:t>
      </w:r>
    </w:p>
    <w:p w:rsidR="004E2069" w:rsidRDefault="004E2069" w:rsidP="006E5A3E">
      <w:pPr>
        <w:pStyle w:val="BodyText"/>
        <w:spacing w:before="0" w:after="0"/>
        <w:ind w:firstLine="425"/>
        <w:rPr>
          <w:rFonts w:ascii="Times New Roman" w:hAnsi="Times New Roman" w:cs="Times New Roman"/>
          <w:sz w:val="24"/>
        </w:rPr>
      </w:pPr>
      <w:r>
        <w:rPr>
          <w:rFonts w:ascii="Times New Roman" w:hAnsi="Times New Roman" w:cs="Times New Roman"/>
          <w:sz w:val="24"/>
        </w:rPr>
        <w:t xml:space="preserve">Базовые условия, в которых </w:t>
      </w:r>
      <w:r w:rsidRPr="00E85DD7">
        <w:rPr>
          <w:rFonts w:ascii="Times New Roman" w:hAnsi="Times New Roman" w:cs="Times New Roman"/>
          <w:sz w:val="24"/>
        </w:rPr>
        <w:t>Приднестровский республиканский банк</w:t>
      </w:r>
      <w:r>
        <w:rPr>
          <w:rFonts w:ascii="Times New Roman" w:hAnsi="Times New Roman" w:cs="Times New Roman"/>
          <w:sz w:val="24"/>
        </w:rPr>
        <w:t xml:space="preserve"> начинал 2017 год, определялись сложной макроэкономической ситуацией, отягощённой рядом проблем в монетарной сфере. Среди основных факторов необходимо отметить следующие:</w:t>
      </w:r>
    </w:p>
    <w:p w:rsidR="004E2069" w:rsidRDefault="004E2069" w:rsidP="006E5A3E">
      <w:pPr>
        <w:pStyle w:val="BodyText"/>
        <w:spacing w:before="0" w:after="0"/>
        <w:ind w:firstLine="425"/>
        <w:rPr>
          <w:rFonts w:ascii="Times New Roman" w:hAnsi="Times New Roman" w:cs="Times New Roman"/>
          <w:sz w:val="24"/>
        </w:rPr>
      </w:pPr>
      <w:r>
        <w:rPr>
          <w:rFonts w:ascii="Times New Roman" w:hAnsi="Times New Roman" w:cs="Times New Roman"/>
          <w:sz w:val="24"/>
        </w:rPr>
        <w:t>избыточная рублёвая денежная масса, сформированная в результате чрезмерной эмиссии предыдущих лет;</w:t>
      </w:r>
    </w:p>
    <w:p w:rsidR="004E2069" w:rsidRDefault="004E2069" w:rsidP="006E5A3E">
      <w:pPr>
        <w:pStyle w:val="BodyText"/>
        <w:spacing w:before="0" w:after="0"/>
        <w:ind w:firstLine="425"/>
        <w:rPr>
          <w:rFonts w:ascii="Times New Roman" w:hAnsi="Times New Roman" w:cs="Times New Roman"/>
          <w:sz w:val="24"/>
        </w:rPr>
      </w:pPr>
      <w:r>
        <w:rPr>
          <w:rFonts w:ascii="Times New Roman" w:hAnsi="Times New Roman" w:cs="Times New Roman"/>
          <w:sz w:val="24"/>
        </w:rPr>
        <w:t>реальное укрепление приднестровского рубля вразрез внутренним и внешним макроэкономическим тенденциям;</w:t>
      </w:r>
    </w:p>
    <w:p w:rsidR="004E2069" w:rsidRDefault="004E2069" w:rsidP="006E5A3E">
      <w:pPr>
        <w:pStyle w:val="BodyText"/>
        <w:spacing w:before="0" w:after="0"/>
        <w:ind w:firstLine="425"/>
        <w:rPr>
          <w:rFonts w:ascii="Times New Roman" w:hAnsi="Times New Roman" w:cs="Times New Roman"/>
          <w:sz w:val="24"/>
        </w:rPr>
      </w:pPr>
      <w:r>
        <w:rPr>
          <w:rFonts w:ascii="Times New Roman" w:hAnsi="Times New Roman" w:cs="Times New Roman"/>
          <w:sz w:val="24"/>
        </w:rPr>
        <w:t>кризис на валютном рынке, выражающийся как в дефиците иностранной валюты, так и в множественности курсов и наличии теневого рынка;</w:t>
      </w:r>
    </w:p>
    <w:p w:rsidR="004E2069" w:rsidRDefault="004E2069" w:rsidP="006E5A3E">
      <w:pPr>
        <w:pStyle w:val="BodyText"/>
        <w:spacing w:before="0" w:after="0"/>
        <w:ind w:firstLine="425"/>
        <w:rPr>
          <w:rFonts w:ascii="Times New Roman" w:hAnsi="Times New Roman" w:cs="Times New Roman"/>
          <w:sz w:val="24"/>
        </w:rPr>
      </w:pPr>
      <w:r>
        <w:rPr>
          <w:rFonts w:ascii="Times New Roman" w:hAnsi="Times New Roman" w:cs="Times New Roman"/>
          <w:sz w:val="24"/>
        </w:rPr>
        <w:t>истощение золотовалютных резервов;</w:t>
      </w:r>
    </w:p>
    <w:p w:rsidR="004E2069" w:rsidRDefault="004E2069" w:rsidP="006E5A3E">
      <w:pPr>
        <w:pStyle w:val="BodyText"/>
        <w:spacing w:before="0" w:after="0"/>
        <w:ind w:firstLine="425"/>
        <w:rPr>
          <w:rFonts w:ascii="Times New Roman" w:hAnsi="Times New Roman" w:cs="Times New Roman"/>
          <w:sz w:val="24"/>
        </w:rPr>
      </w:pPr>
      <w:r>
        <w:rPr>
          <w:rFonts w:ascii="Times New Roman" w:hAnsi="Times New Roman" w:cs="Times New Roman"/>
          <w:sz w:val="24"/>
        </w:rPr>
        <w:t>падение объёмов промышленного производства, внешней торговли;</w:t>
      </w:r>
    </w:p>
    <w:p w:rsidR="004E2069" w:rsidRDefault="004E2069" w:rsidP="006E5A3E">
      <w:pPr>
        <w:pStyle w:val="BodyText"/>
        <w:spacing w:before="0" w:after="0"/>
        <w:ind w:firstLine="425"/>
        <w:rPr>
          <w:rFonts w:ascii="Times New Roman" w:hAnsi="Times New Roman" w:cs="Times New Roman"/>
          <w:sz w:val="24"/>
        </w:rPr>
      </w:pPr>
      <w:r>
        <w:rPr>
          <w:rFonts w:ascii="Times New Roman" w:hAnsi="Times New Roman" w:cs="Times New Roman"/>
          <w:sz w:val="24"/>
        </w:rPr>
        <w:t>сужение потребительского спроса;</w:t>
      </w:r>
    </w:p>
    <w:p w:rsidR="004E2069" w:rsidRDefault="004E2069" w:rsidP="006E5A3E">
      <w:pPr>
        <w:pStyle w:val="BodyText"/>
        <w:spacing w:before="0" w:after="0"/>
        <w:ind w:firstLine="425"/>
        <w:rPr>
          <w:rFonts w:ascii="Times New Roman" w:hAnsi="Times New Roman" w:cs="Times New Roman"/>
          <w:sz w:val="24"/>
        </w:rPr>
      </w:pPr>
      <w:r>
        <w:rPr>
          <w:rFonts w:ascii="Times New Roman" w:hAnsi="Times New Roman" w:cs="Times New Roman"/>
          <w:sz w:val="24"/>
        </w:rPr>
        <w:t>перманентное сокращение инвестиций в основной капитал;</w:t>
      </w:r>
    </w:p>
    <w:p w:rsidR="004E2069" w:rsidRDefault="004E2069" w:rsidP="006E5A3E">
      <w:pPr>
        <w:pStyle w:val="BodyText"/>
        <w:spacing w:before="0" w:after="0"/>
        <w:ind w:firstLine="425"/>
        <w:rPr>
          <w:rFonts w:ascii="Times New Roman" w:hAnsi="Times New Roman" w:cs="Times New Roman"/>
          <w:sz w:val="24"/>
        </w:rPr>
      </w:pPr>
      <w:r>
        <w:rPr>
          <w:rFonts w:ascii="Times New Roman" w:hAnsi="Times New Roman" w:cs="Times New Roman"/>
          <w:sz w:val="24"/>
        </w:rPr>
        <w:t>кризисное состояние государственных финансов;</w:t>
      </w:r>
    </w:p>
    <w:p w:rsidR="004E2069" w:rsidRDefault="004E2069" w:rsidP="006E5A3E">
      <w:pPr>
        <w:pStyle w:val="BodyText"/>
        <w:spacing w:before="0" w:after="0"/>
        <w:ind w:firstLine="425"/>
        <w:rPr>
          <w:rFonts w:ascii="Times New Roman" w:hAnsi="Times New Roman" w:cs="Times New Roman"/>
          <w:sz w:val="24"/>
        </w:rPr>
      </w:pPr>
      <w:r>
        <w:rPr>
          <w:rFonts w:ascii="Times New Roman" w:hAnsi="Times New Roman" w:cs="Times New Roman"/>
          <w:sz w:val="24"/>
        </w:rPr>
        <w:t>угроза финансовой устойчивости банковской системы;</w:t>
      </w:r>
    </w:p>
    <w:p w:rsidR="004E2069" w:rsidRDefault="004E2069" w:rsidP="006E5A3E">
      <w:pPr>
        <w:pStyle w:val="BodyText"/>
        <w:spacing w:before="0" w:after="0"/>
        <w:ind w:firstLine="425"/>
        <w:rPr>
          <w:rFonts w:ascii="Times New Roman" w:hAnsi="Times New Roman" w:cs="Times New Roman"/>
          <w:sz w:val="24"/>
        </w:rPr>
      </w:pPr>
      <w:r>
        <w:rPr>
          <w:rFonts w:ascii="Times New Roman" w:hAnsi="Times New Roman" w:cs="Times New Roman"/>
          <w:sz w:val="24"/>
        </w:rPr>
        <w:t>значительный уровень девальвационных и инфляционных ожиданий бизнеса и населения;</w:t>
      </w:r>
    </w:p>
    <w:p w:rsidR="004E2069" w:rsidRDefault="004E2069" w:rsidP="006E5A3E">
      <w:pPr>
        <w:pStyle w:val="BodyText"/>
        <w:spacing w:before="0" w:after="0"/>
        <w:ind w:firstLine="425"/>
        <w:rPr>
          <w:rFonts w:ascii="Times New Roman" w:hAnsi="Times New Roman" w:cs="Times New Roman"/>
          <w:sz w:val="24"/>
        </w:rPr>
      </w:pPr>
      <w:r>
        <w:rPr>
          <w:rFonts w:ascii="Times New Roman" w:hAnsi="Times New Roman" w:cs="Times New Roman"/>
          <w:sz w:val="24"/>
        </w:rPr>
        <w:t>падающее доверие к проводимой государственной политике в целом.</w:t>
      </w:r>
    </w:p>
    <w:p w:rsidR="004E2069" w:rsidRDefault="004E2069" w:rsidP="006E5A3E">
      <w:pPr>
        <w:pStyle w:val="BodyText"/>
        <w:spacing w:before="0" w:after="0"/>
        <w:ind w:firstLine="425"/>
        <w:rPr>
          <w:rFonts w:ascii="Times New Roman" w:hAnsi="Times New Roman" w:cs="Times New Roman"/>
          <w:sz w:val="24"/>
        </w:rPr>
      </w:pPr>
      <w:r>
        <w:rPr>
          <w:rFonts w:ascii="Times New Roman" w:hAnsi="Times New Roman" w:cs="Times New Roman"/>
          <w:sz w:val="24"/>
        </w:rPr>
        <w:t xml:space="preserve">В связи с этим деятельность </w:t>
      </w:r>
      <w:r w:rsidRPr="00E85DD7">
        <w:rPr>
          <w:rFonts w:ascii="Times New Roman" w:hAnsi="Times New Roman" w:cs="Times New Roman"/>
          <w:sz w:val="24"/>
        </w:rPr>
        <w:t>Приднестровск</w:t>
      </w:r>
      <w:r>
        <w:rPr>
          <w:rFonts w:ascii="Times New Roman" w:hAnsi="Times New Roman" w:cs="Times New Roman"/>
          <w:sz w:val="24"/>
        </w:rPr>
        <w:t>ого</w:t>
      </w:r>
      <w:r w:rsidRPr="00E85DD7">
        <w:rPr>
          <w:rFonts w:ascii="Times New Roman" w:hAnsi="Times New Roman" w:cs="Times New Roman"/>
          <w:sz w:val="24"/>
        </w:rPr>
        <w:t xml:space="preserve"> республиканск</w:t>
      </w:r>
      <w:r>
        <w:rPr>
          <w:rFonts w:ascii="Times New Roman" w:hAnsi="Times New Roman" w:cs="Times New Roman"/>
          <w:sz w:val="24"/>
        </w:rPr>
        <w:t>ого</w:t>
      </w:r>
      <w:r w:rsidRPr="00E85DD7">
        <w:rPr>
          <w:rFonts w:ascii="Times New Roman" w:hAnsi="Times New Roman" w:cs="Times New Roman"/>
          <w:sz w:val="24"/>
        </w:rPr>
        <w:t xml:space="preserve"> банк</w:t>
      </w:r>
      <w:r>
        <w:rPr>
          <w:rFonts w:ascii="Times New Roman" w:hAnsi="Times New Roman" w:cs="Times New Roman"/>
          <w:sz w:val="24"/>
        </w:rPr>
        <w:t>а в отчётном году была определена необходимостью преодоления накопленных проблем с целью недопущения усугубления общей социально-экономической ситуации в республике и создания благоприятных условий для восстановления и дальнейшей активизации внешнеэкономических операций хозяйствующих субъектов в условиях высокой открытости экономики республики. Денежно-кредитная политика приобрела статус «подстраивающейся» под изменения макроэкономической конъюнктуры в странах основных торговых партнёрах Приднестровья с учётом внутренних приоритетов республики.</w:t>
      </w:r>
    </w:p>
    <w:p w:rsidR="004E2069" w:rsidRDefault="004E2069" w:rsidP="006E5A3E">
      <w:pPr>
        <w:pStyle w:val="BodyText"/>
        <w:spacing w:before="0" w:after="0"/>
        <w:ind w:firstLine="425"/>
        <w:rPr>
          <w:rFonts w:ascii="Times New Roman" w:hAnsi="Times New Roman" w:cs="Times New Roman"/>
          <w:sz w:val="24"/>
        </w:rPr>
      </w:pPr>
      <w:r>
        <w:rPr>
          <w:rFonts w:ascii="Times New Roman" w:hAnsi="Times New Roman" w:cs="Times New Roman"/>
          <w:sz w:val="24"/>
        </w:rPr>
        <w:t xml:space="preserve">В частности, был предпринят ряд мер административного характера, направленных на урегулирование ситуации на валютном рынке (изменены подходы в проведении валютных интервенций, разработан механизм продажи валюты с отсрочкой поставки, дифференцированы её условия для экспортёров и импортёров, ужесточены требования по возврату экспортной выручки на территорию республики и др.), а также проведена девальвация приднестровского рубля на 37,2% с целью нивелирования накопленного реального укрепления национальной валюты (с 2014 по 2016 гг. на 43,15%). Наряду с действиями Правительства и Верховного Совета Приднестровской Молдавской Республики по повышению эффективности управления на государственных предприятиях, ликвидации серых схем и поддержке предпринимательства это позволило значительно улучшить показатели деловой активности и нарастить экспортные поставки, стабилизировать валютный рынок и повысить потребительский спрос. </w:t>
      </w:r>
      <w:r w:rsidRPr="00723EEF">
        <w:rPr>
          <w:rFonts w:ascii="Times New Roman" w:hAnsi="Times New Roman" w:cs="Times New Roman"/>
          <w:sz w:val="24"/>
        </w:rPr>
        <w:t>Этому благоприятствовало и улучшение внешней конъюнктуры на основные товары приднестровского экспорта</w:t>
      </w:r>
      <w:r>
        <w:rPr>
          <w:rFonts w:ascii="Times New Roman" w:hAnsi="Times New Roman" w:cs="Times New Roman"/>
          <w:sz w:val="24"/>
        </w:rPr>
        <w:t xml:space="preserve"> </w:t>
      </w:r>
      <w:r w:rsidRPr="00723EEF">
        <w:rPr>
          <w:rFonts w:ascii="Times New Roman" w:hAnsi="Times New Roman" w:cs="Times New Roman"/>
          <w:sz w:val="24"/>
        </w:rPr>
        <w:t>(прежде всего, чёрные металлы, цемент, текстиль, продукцию машиностроения).</w:t>
      </w:r>
    </w:p>
    <w:p w:rsidR="004E2069" w:rsidRDefault="004E2069" w:rsidP="006E5A3E">
      <w:pPr>
        <w:pStyle w:val="BodyText"/>
        <w:spacing w:before="0" w:after="0"/>
        <w:ind w:firstLine="425"/>
        <w:rPr>
          <w:rFonts w:ascii="Times New Roman" w:hAnsi="Times New Roman" w:cs="Times New Roman"/>
          <w:sz w:val="24"/>
        </w:rPr>
      </w:pPr>
      <w:r>
        <w:rPr>
          <w:rFonts w:ascii="Times New Roman" w:hAnsi="Times New Roman" w:cs="Times New Roman"/>
          <w:sz w:val="24"/>
        </w:rPr>
        <w:t>В то же время высокие девальвационные ожидания и импортируемая инфляция провоцировали ускорение темпов роста средних цен на продовольственные и непродовольственные товары. При этом государственное регулирование тарифов, прежде всего на услуги естественных монополий, позволило несколько нивелировать их влияние. В итоге индекс потребительских цен за 2017 год составил 111,8%.</w:t>
      </w:r>
    </w:p>
    <w:p w:rsidR="004E2069" w:rsidRDefault="004E2069" w:rsidP="006E5A3E">
      <w:pPr>
        <w:pStyle w:val="BodyText"/>
        <w:spacing w:before="0" w:after="0"/>
        <w:ind w:firstLine="425"/>
        <w:rPr>
          <w:rFonts w:ascii="Times New Roman" w:hAnsi="Times New Roman" w:cs="Times New Roman"/>
          <w:sz w:val="24"/>
        </w:rPr>
      </w:pPr>
      <w:r>
        <w:rPr>
          <w:rFonts w:ascii="Times New Roman" w:hAnsi="Times New Roman" w:cs="Times New Roman"/>
          <w:sz w:val="24"/>
        </w:rPr>
        <w:t>Выполняя функцию надзора и контроля в банковском секторе, Приднестровским республиканским банком был проведён тщательный аудит кредитных организаций с приглашением международной аудиторской фирмы. Выявленные результаты показали, с одной стороны, неадекватное управление кредитными рисками, в результате чего у ряда коммерческих банков были сформированы значительные объёмы просроченной и безнадёжной задолженности, что привело к отрицательной величине расчётного значения собственного капитала, с другой, – использование некоторых банков в серых схемах по выводу денежных средств. С целью недопущения дальнейшего развития кризиса в банковском секторе Верховным Советом Приднестровской Молдавской Республики был принят Закон ПМР</w:t>
      </w:r>
      <w:r w:rsidRPr="00B10014">
        <w:rPr>
          <w:rFonts w:ascii="Sylfaen" w:hAnsi="Sylfaen" w:cs="Times New Roman"/>
          <w:sz w:val="22"/>
          <w:szCs w:val="22"/>
        </w:rPr>
        <w:t xml:space="preserve"> </w:t>
      </w:r>
      <w:r w:rsidRPr="00B10014">
        <w:rPr>
          <w:rFonts w:ascii="Times New Roman" w:hAnsi="Times New Roman" w:cs="Times New Roman"/>
          <w:sz w:val="24"/>
        </w:rPr>
        <w:t>от 30 июня 2017 года № 201-З-VI «О стабилизации банковской системы Приднестровской Молдавской Республики» (САЗ 17-27)</w:t>
      </w:r>
      <w:r>
        <w:rPr>
          <w:rFonts w:ascii="Times New Roman" w:hAnsi="Times New Roman" w:cs="Times New Roman"/>
          <w:sz w:val="24"/>
        </w:rPr>
        <w:t xml:space="preserve"> (далее – Закон о стабилизации банковской системы)</w:t>
      </w:r>
      <w:r w:rsidRPr="00B10014">
        <w:rPr>
          <w:rFonts w:ascii="Times New Roman" w:hAnsi="Times New Roman" w:cs="Times New Roman"/>
          <w:sz w:val="24"/>
        </w:rPr>
        <w:t>, в соответствии с которым была проведена процедура оздоровления двух проблемных банков (ЗАО «Тираспромстройбанк» и ЗАО АКБ «Ипотечный») с последующим их присоединением к государственному ОАО «Эксимбанк». При этом ни один вкладчик, клиент данных банков не пострадал.</w:t>
      </w:r>
    </w:p>
    <w:p w:rsidR="004E2069" w:rsidRPr="00533EC1" w:rsidRDefault="004E2069" w:rsidP="006E5A3E">
      <w:pPr>
        <w:pStyle w:val="BodyText"/>
        <w:spacing w:before="0" w:after="0"/>
        <w:ind w:firstLine="425"/>
        <w:rPr>
          <w:rFonts w:ascii="Times New Roman" w:hAnsi="Times New Roman" w:cs="Times New Roman"/>
          <w:i/>
          <w:sz w:val="24"/>
        </w:rPr>
      </w:pPr>
      <w:r>
        <w:rPr>
          <w:rFonts w:ascii="Times New Roman" w:hAnsi="Times New Roman" w:cs="Times New Roman"/>
          <w:sz w:val="24"/>
        </w:rPr>
        <w:t xml:space="preserve">Проведённые проверки и </w:t>
      </w:r>
      <w:r w:rsidRPr="00490A7D">
        <w:rPr>
          <w:rFonts w:ascii="Times New Roman" w:hAnsi="Times New Roman" w:cs="Times New Roman"/>
          <w:sz w:val="24"/>
        </w:rPr>
        <w:t>глубокий</w:t>
      </w:r>
      <w:r>
        <w:rPr>
          <w:rFonts w:ascii="Times New Roman" w:hAnsi="Times New Roman" w:cs="Times New Roman"/>
          <w:sz w:val="24"/>
        </w:rPr>
        <w:t xml:space="preserve"> анализ деятельности кредитных организаций обусловили необходимость усиления контроля со стороны центрального банка, ввиду чего были существенно ужесточены требования к их функционированию.</w:t>
      </w:r>
    </w:p>
    <w:p w:rsidR="004E2069" w:rsidRDefault="004E2069" w:rsidP="006E5A3E">
      <w:pPr>
        <w:pStyle w:val="BodyText"/>
        <w:spacing w:before="0" w:after="0"/>
        <w:ind w:firstLine="425"/>
        <w:rPr>
          <w:rFonts w:ascii="Times New Roman" w:hAnsi="Times New Roman" w:cs="Times New Roman"/>
          <w:sz w:val="24"/>
        </w:rPr>
      </w:pPr>
      <w:r>
        <w:rPr>
          <w:rFonts w:ascii="Times New Roman" w:hAnsi="Times New Roman" w:cs="Times New Roman"/>
          <w:sz w:val="24"/>
        </w:rPr>
        <w:t xml:space="preserve">Кроме того, с целью повышения оперативности принимаемых решений в области денежно-кредитной политики и независимости центрального банка в июне 2017 года были внесены изменения в Закон ПМР от </w:t>
      </w:r>
      <w:r w:rsidRPr="00194629">
        <w:rPr>
          <w:rFonts w:ascii="Times New Roman" w:hAnsi="Times New Roman" w:cs="Times New Roman"/>
          <w:sz w:val="24"/>
        </w:rPr>
        <w:t>7 мая 2007 года № 212-З-</w:t>
      </w:r>
      <w:r w:rsidRPr="00194629">
        <w:rPr>
          <w:rFonts w:ascii="Times New Roman" w:hAnsi="Times New Roman" w:cs="Times New Roman"/>
          <w:sz w:val="24"/>
          <w:lang w:val="en-US"/>
        </w:rPr>
        <w:t>IV</w:t>
      </w:r>
      <w:r w:rsidRPr="00194629">
        <w:rPr>
          <w:rFonts w:ascii="Times New Roman" w:hAnsi="Times New Roman" w:cs="Times New Roman"/>
          <w:sz w:val="24"/>
        </w:rPr>
        <w:t xml:space="preserve"> </w:t>
      </w:r>
      <w:r w:rsidRPr="00B10014">
        <w:rPr>
          <w:rFonts w:ascii="Times New Roman" w:hAnsi="Times New Roman" w:cs="Times New Roman"/>
          <w:sz w:val="24"/>
        </w:rPr>
        <w:t>«</w:t>
      </w:r>
      <w:r w:rsidRPr="00194629">
        <w:rPr>
          <w:rFonts w:ascii="Times New Roman" w:hAnsi="Times New Roman" w:cs="Times New Roman"/>
          <w:sz w:val="24"/>
        </w:rPr>
        <w:t>О центральном банке Приднес</w:t>
      </w:r>
      <w:r>
        <w:rPr>
          <w:rFonts w:ascii="Times New Roman" w:hAnsi="Times New Roman" w:cs="Times New Roman"/>
          <w:sz w:val="24"/>
        </w:rPr>
        <w:t xml:space="preserve">тровской Молдавской Республики». Оптимизация коснулась передачи полномочий по утверждению основных направлений единой государственной денежно-кредитной политики Банковскому совету ПРБ, в состав которого входят представители Президента Приднестровской Молдавской Республики, исполнительной и законодательной ветвей власти. </w:t>
      </w:r>
    </w:p>
    <w:p w:rsidR="004E2069" w:rsidRDefault="004E2069" w:rsidP="006E5A3E">
      <w:pPr>
        <w:pStyle w:val="BodyText"/>
        <w:spacing w:before="0" w:after="0"/>
        <w:ind w:firstLine="425"/>
        <w:rPr>
          <w:rFonts w:ascii="Times New Roman" w:hAnsi="Times New Roman" w:cs="Times New Roman"/>
          <w:sz w:val="24"/>
        </w:rPr>
      </w:pPr>
      <w:r>
        <w:rPr>
          <w:rFonts w:ascii="Times New Roman" w:hAnsi="Times New Roman" w:cs="Times New Roman"/>
          <w:sz w:val="24"/>
        </w:rPr>
        <w:t>Отчётный год стал также знаковым ввиду законодательного наделения центрального банка дополнительными функциями по надзору и контролю за страховой деятельностью, что призвано повысить эффективность регулирования в финансовой сфере в целом.</w:t>
      </w:r>
    </w:p>
    <w:p w:rsidR="004E2069" w:rsidRDefault="004E2069" w:rsidP="006E5A3E">
      <w:pPr>
        <w:ind w:firstLine="426"/>
        <w:jc w:val="both"/>
      </w:pPr>
      <w:r>
        <w:rPr>
          <w:sz w:val="24"/>
          <w:szCs w:val="24"/>
        </w:rPr>
        <w:t>Деятельность</w:t>
      </w:r>
      <w:r w:rsidRPr="00E85DD7">
        <w:rPr>
          <w:sz w:val="24"/>
          <w:szCs w:val="24"/>
        </w:rPr>
        <w:t xml:space="preserve"> центрального банка строилась на принципе транспарентности. Информирование широкой общественности о конкретных мероприятиях центрального банка осуществлялось посредством информационно-аналитического журнала «Вестник Приднестровского республиканского банка», официального веб-сайта центрального банка, а также публикаций </w:t>
      </w:r>
      <w:r>
        <w:rPr>
          <w:sz w:val="24"/>
          <w:szCs w:val="24"/>
        </w:rPr>
        <w:t xml:space="preserve">и выступлений на различных конференциях, форумах и </w:t>
      </w:r>
      <w:r w:rsidRPr="00E85DD7">
        <w:rPr>
          <w:sz w:val="24"/>
          <w:szCs w:val="24"/>
        </w:rPr>
        <w:t xml:space="preserve">в </w:t>
      </w:r>
      <w:r w:rsidRPr="00E85DD7">
        <w:rPr>
          <w:color w:val="000000"/>
          <w:sz w:val="24"/>
          <w:szCs w:val="24"/>
        </w:rPr>
        <w:t>средствах массовой информации</w:t>
      </w:r>
      <w:r w:rsidRPr="00E85DD7">
        <w:rPr>
          <w:sz w:val="24"/>
          <w:szCs w:val="24"/>
        </w:rPr>
        <w:t>.</w:t>
      </w:r>
    </w:p>
    <w:p w:rsidR="004E2069" w:rsidRPr="00E85DD7" w:rsidRDefault="004E2069" w:rsidP="008512DA">
      <w:pPr>
        <w:widowControl w:val="0"/>
        <w:jc w:val="center"/>
        <w:rPr>
          <w:sz w:val="24"/>
          <w:szCs w:val="24"/>
        </w:rPr>
      </w:pPr>
      <w:r w:rsidRPr="00E85DD7">
        <w:rPr>
          <w:b/>
          <w:bCs/>
          <w:noProof/>
          <w:sz w:val="28"/>
          <w:szCs w:val="28"/>
        </w:rPr>
        <w:br w:type="page"/>
        <w:t>РАЗДЕЛ 1. ЭКОНОМИЧЕСКОЕ И ФИНАНСОВОЕ ПОЛОЖЕНИЕ ПРИДНЕСТРОВСКОЙ МОЛДАВСКОЙ РЕСПУБЛИКИ В 201</w:t>
      </w:r>
      <w:r>
        <w:rPr>
          <w:b/>
          <w:bCs/>
          <w:noProof/>
          <w:sz w:val="28"/>
          <w:szCs w:val="28"/>
        </w:rPr>
        <w:t>7</w:t>
      </w:r>
      <w:r w:rsidRPr="00E85DD7">
        <w:rPr>
          <w:b/>
          <w:bCs/>
          <w:noProof/>
          <w:sz w:val="28"/>
          <w:szCs w:val="28"/>
        </w:rPr>
        <w:t xml:space="preserve"> ГОДУ </w:t>
      </w:r>
    </w:p>
    <w:p w:rsidR="004E2069" w:rsidRPr="00E85DD7" w:rsidRDefault="004E2069" w:rsidP="008512DA">
      <w:pPr>
        <w:pStyle w:val="Heading1"/>
        <w:widowControl w:val="0"/>
        <w:rPr>
          <w:b/>
          <w:bCs/>
          <w:noProof/>
          <w:sz w:val="24"/>
          <w:szCs w:val="24"/>
        </w:rPr>
      </w:pPr>
    </w:p>
    <w:p w:rsidR="004E2069" w:rsidRDefault="004E2069" w:rsidP="00E90743">
      <w:pPr>
        <w:pStyle w:val="Heading1"/>
        <w:widowControl w:val="0"/>
        <w:numPr>
          <w:ilvl w:val="1"/>
          <w:numId w:val="1"/>
        </w:numPr>
        <w:rPr>
          <w:b/>
          <w:bCs/>
          <w:noProof/>
          <w:sz w:val="24"/>
          <w:szCs w:val="24"/>
        </w:rPr>
      </w:pPr>
      <w:r w:rsidRPr="00E85DD7">
        <w:rPr>
          <w:b/>
          <w:bCs/>
          <w:noProof/>
          <w:sz w:val="24"/>
          <w:szCs w:val="24"/>
        </w:rPr>
        <w:t>МИРОВАЯ ЭКОНОМИКА И МЕЖДУНАРОДНЫЕ РЫНКИ</w:t>
      </w:r>
    </w:p>
    <w:p w:rsidR="004E2069" w:rsidRPr="001B54E9" w:rsidRDefault="004E2069" w:rsidP="00DC0A7D">
      <w:pPr>
        <w:spacing w:before="120"/>
        <w:ind w:firstLine="425"/>
        <w:jc w:val="both"/>
        <w:rPr>
          <w:sz w:val="24"/>
          <w:szCs w:val="24"/>
        </w:rPr>
      </w:pPr>
      <w:r w:rsidRPr="001B54E9">
        <w:rPr>
          <w:sz w:val="24"/>
          <w:szCs w:val="24"/>
        </w:rPr>
        <w:t xml:space="preserve">Циклическое восстановление глобальной экономики, начавшееся с середины </w:t>
      </w:r>
      <w:r w:rsidRPr="001B54E9">
        <w:rPr>
          <w:sz w:val="24"/>
          <w:szCs w:val="24"/>
        </w:rPr>
        <w:br/>
        <w:t xml:space="preserve">2016 года, ускорилось в 2017 году. Динамика роста наблюдалась примерно в </w:t>
      </w:r>
      <w:r w:rsidRPr="001B54E9">
        <w:rPr>
          <w:sz w:val="24"/>
          <w:szCs w:val="24"/>
        </w:rPr>
        <w:br/>
        <w:t xml:space="preserve">120 странах, на которые приходится </w:t>
      </w:r>
      <w:r w:rsidRPr="001B54E9">
        <w:rPr>
          <w:sz w:val="24"/>
          <w:szCs w:val="24"/>
          <w:vertAlign w:val="superscript"/>
        </w:rPr>
        <w:t>3</w:t>
      </w:r>
      <w:r w:rsidRPr="001B54E9">
        <w:rPr>
          <w:sz w:val="24"/>
          <w:szCs w:val="24"/>
        </w:rPr>
        <w:t>/</w:t>
      </w:r>
      <w:r w:rsidRPr="001B54E9">
        <w:rPr>
          <w:sz w:val="24"/>
          <w:szCs w:val="24"/>
          <w:vertAlign w:val="subscript"/>
        </w:rPr>
        <w:t>4</w:t>
      </w:r>
      <w:r w:rsidRPr="001B54E9">
        <w:rPr>
          <w:sz w:val="24"/>
          <w:szCs w:val="24"/>
        </w:rPr>
        <w:t xml:space="preserve"> мирового ВВП, что стало самым обширным синхронным подъёмом, фиксируемым с 2010 года. Вектор показателя преимущественно задавали увеличение товарного спроса и стабилизация цен на нефть. В результате произошло расширение масштабов мировой торговли, заметно усилился приток капитала в страны с </w:t>
      </w:r>
      <w:r>
        <w:rPr>
          <w:sz w:val="24"/>
          <w:szCs w:val="24"/>
        </w:rPr>
        <w:t>развива</w:t>
      </w:r>
      <w:r w:rsidRPr="001B54E9">
        <w:rPr>
          <w:sz w:val="24"/>
          <w:szCs w:val="24"/>
        </w:rPr>
        <w:t>ющейся экономикой</w:t>
      </w:r>
      <w:r>
        <w:rPr>
          <w:sz w:val="24"/>
          <w:szCs w:val="24"/>
        </w:rPr>
        <w:t>,</w:t>
      </w:r>
      <w:r w:rsidRPr="001B54E9">
        <w:rPr>
          <w:sz w:val="24"/>
          <w:szCs w:val="24"/>
        </w:rPr>
        <w:t xml:space="preserve"> особенно в Китай и в Индию. Благоприятная внешнеэкономическая конъюнктура способствовала развитию экономик стран - основных торговых партнёров Приднестровья.</w:t>
      </w:r>
      <w:r>
        <w:rPr>
          <w:sz w:val="24"/>
          <w:szCs w:val="24"/>
        </w:rPr>
        <w:t xml:space="preserve"> </w:t>
      </w:r>
    </w:p>
    <w:p w:rsidR="004E2069" w:rsidRPr="001B54E9" w:rsidRDefault="004E2069" w:rsidP="00DC0A7D">
      <w:pPr>
        <w:autoSpaceDE w:val="0"/>
        <w:autoSpaceDN w:val="0"/>
        <w:adjustRightInd w:val="0"/>
        <w:ind w:firstLine="425"/>
        <w:jc w:val="both"/>
        <w:rPr>
          <w:color w:val="000000"/>
          <w:sz w:val="24"/>
          <w:szCs w:val="24"/>
        </w:rPr>
      </w:pPr>
      <w:r w:rsidRPr="001B54E9">
        <w:rPr>
          <w:color w:val="000000"/>
          <w:sz w:val="24"/>
          <w:szCs w:val="24"/>
        </w:rPr>
        <w:t xml:space="preserve">Рост мировой экономики по итогам 2017 года оценивается специалистами Международного Валютного Фонда на уровне 3,7%, что достаточно близко к отметкам докризисных 2000-х годов. </w:t>
      </w:r>
    </w:p>
    <w:p w:rsidR="004E2069" w:rsidRPr="001B54E9" w:rsidRDefault="004E2069" w:rsidP="00DC0A7D">
      <w:pPr>
        <w:widowControl w:val="0"/>
        <w:ind w:firstLine="425"/>
        <w:jc w:val="both"/>
        <w:rPr>
          <w:color w:val="000000"/>
          <w:sz w:val="24"/>
          <w:szCs w:val="24"/>
        </w:rPr>
      </w:pPr>
      <w:r>
        <w:rPr>
          <w:color w:val="000000"/>
          <w:sz w:val="24"/>
          <w:szCs w:val="24"/>
        </w:rPr>
        <w:t>В 2017 году</w:t>
      </w:r>
      <w:r w:rsidRPr="001B54E9">
        <w:rPr>
          <w:color w:val="000000"/>
          <w:sz w:val="24"/>
          <w:szCs w:val="24"/>
        </w:rPr>
        <w:t xml:space="preserve"> в динамике цен на большинство сырьевых товаров преобладали повышательные тенденции</w:t>
      </w:r>
      <w:r>
        <w:rPr>
          <w:color w:val="000000"/>
          <w:sz w:val="24"/>
          <w:szCs w:val="24"/>
        </w:rPr>
        <w:t>, чему в большей степени способствовало с</w:t>
      </w:r>
      <w:r w:rsidRPr="001B54E9">
        <w:rPr>
          <w:color w:val="000000"/>
          <w:sz w:val="24"/>
          <w:szCs w:val="24"/>
        </w:rPr>
        <w:t>оглашение о совместном ограничении добычи ОПЕК и других стран – экспортёров нефти. Кроме того, предложение на глобальном рынке нефти ограничивалось такими локальными тенденциями, как снижение экспорта из Ирака, сокращение добычи в Венесуэле, рост политических рисков в Саудовской Аравии.</w:t>
      </w:r>
    </w:p>
    <w:p w:rsidR="004E2069" w:rsidRPr="001B54E9" w:rsidRDefault="004E2069" w:rsidP="00DC0A7D">
      <w:pPr>
        <w:ind w:firstLine="425"/>
        <w:jc w:val="both"/>
        <w:rPr>
          <w:sz w:val="24"/>
          <w:szCs w:val="24"/>
        </w:rPr>
      </w:pPr>
      <w:r w:rsidRPr="001B54E9">
        <w:rPr>
          <w:color w:val="000000"/>
          <w:sz w:val="24"/>
          <w:szCs w:val="24"/>
        </w:rPr>
        <w:t xml:space="preserve">Фиксировавшийся на протяжении 2015 и 2016 годов спад экономики Российской Федерации (-2,5% и -0,2% соответственно) по итогам 2017 года сменился приростом на 1,5%. Основным фактором сложившейся динамики стало улучшение внешней экономической конъюнктуры. Так, в частности, благодаря соглашению ОПЕК, цены на нефть марки Urals поднялись более чем на четверть: с 42 долл./барр. до 53 долл./барр., после сопоставимого снижения годом ранее. </w:t>
      </w:r>
    </w:p>
    <w:p w:rsidR="004E2069" w:rsidRDefault="004E2069" w:rsidP="00DC0A7D">
      <w:pPr>
        <w:ind w:firstLine="425"/>
        <w:jc w:val="both"/>
        <w:rPr>
          <w:color w:val="000000"/>
          <w:sz w:val="24"/>
          <w:szCs w:val="24"/>
        </w:rPr>
      </w:pPr>
      <w:r w:rsidRPr="001B54E9">
        <w:rPr>
          <w:color w:val="000000"/>
          <w:sz w:val="24"/>
          <w:szCs w:val="24"/>
        </w:rPr>
        <w:t xml:space="preserve">Объём промышленного производства увеличился на 1,0%, </w:t>
      </w:r>
      <w:r w:rsidRPr="001B54E9">
        <w:rPr>
          <w:sz w:val="24"/>
          <w:szCs w:val="24"/>
        </w:rPr>
        <w:t xml:space="preserve">что главным образом вызвано расширением выработки добывающих отраслей (+2,0%). </w:t>
      </w:r>
      <w:r>
        <w:rPr>
          <w:color w:val="000000"/>
          <w:sz w:val="24"/>
          <w:szCs w:val="24"/>
        </w:rPr>
        <w:t xml:space="preserve">В </w:t>
      </w:r>
      <w:r w:rsidRPr="001B54E9">
        <w:rPr>
          <w:color w:val="000000"/>
          <w:sz w:val="24"/>
          <w:szCs w:val="24"/>
        </w:rPr>
        <w:t>2017 год</w:t>
      </w:r>
      <w:r>
        <w:rPr>
          <w:color w:val="000000"/>
          <w:sz w:val="24"/>
          <w:szCs w:val="24"/>
        </w:rPr>
        <w:t>у</w:t>
      </w:r>
      <w:r w:rsidRPr="001B54E9">
        <w:rPr>
          <w:color w:val="000000"/>
          <w:sz w:val="24"/>
          <w:szCs w:val="24"/>
        </w:rPr>
        <w:t xml:space="preserve"> была зафиксирована минимальная инфляция за весь постсоветский период (2,5%), оказавшаяся при этом заметно ниже целевого ориентира (4,0%)</w:t>
      </w:r>
      <w:r>
        <w:rPr>
          <w:color w:val="000000"/>
          <w:sz w:val="24"/>
          <w:szCs w:val="24"/>
        </w:rPr>
        <w:t>, а</w:t>
      </w:r>
      <w:r w:rsidRPr="001B54E9">
        <w:rPr>
          <w:color w:val="000000"/>
          <w:sz w:val="24"/>
          <w:szCs w:val="24"/>
        </w:rPr>
        <w:t xml:space="preserve"> улучшение условий торговли и </w:t>
      </w:r>
      <w:r>
        <w:rPr>
          <w:color w:val="000000"/>
          <w:sz w:val="24"/>
          <w:szCs w:val="24"/>
        </w:rPr>
        <w:t>активность</w:t>
      </w:r>
      <w:r w:rsidRPr="001B54E9">
        <w:rPr>
          <w:color w:val="000000"/>
          <w:sz w:val="24"/>
          <w:szCs w:val="24"/>
        </w:rPr>
        <w:t xml:space="preserve"> инвесторов оказа</w:t>
      </w:r>
      <w:r>
        <w:rPr>
          <w:color w:val="000000"/>
          <w:sz w:val="24"/>
          <w:szCs w:val="24"/>
        </w:rPr>
        <w:t xml:space="preserve">ли поддержку российскому рублю, который по итогам года укрепился на </w:t>
      </w:r>
      <w:r w:rsidRPr="008644C4">
        <w:rPr>
          <w:color w:val="000000"/>
          <w:sz w:val="24"/>
          <w:szCs w:val="24"/>
        </w:rPr>
        <w:t>5,0%.</w:t>
      </w:r>
    </w:p>
    <w:p w:rsidR="004E2069" w:rsidRPr="006E78A2" w:rsidRDefault="004E2069" w:rsidP="00DC0A7D">
      <w:pPr>
        <w:ind w:firstLine="425"/>
        <w:jc w:val="both"/>
        <w:rPr>
          <w:color w:val="000000"/>
          <w:sz w:val="24"/>
          <w:szCs w:val="24"/>
        </w:rPr>
      </w:pPr>
      <w:r w:rsidRPr="006E78A2">
        <w:rPr>
          <w:color w:val="000000"/>
          <w:sz w:val="24"/>
          <w:szCs w:val="24"/>
        </w:rPr>
        <w:t>ВВП Украины в 2017 году вырос на 2,1%</w:t>
      </w:r>
      <w:r>
        <w:rPr>
          <w:color w:val="000000"/>
          <w:sz w:val="24"/>
          <w:szCs w:val="24"/>
        </w:rPr>
        <w:t>.</w:t>
      </w:r>
      <w:r w:rsidRPr="006E78A2">
        <w:rPr>
          <w:color w:val="000000"/>
          <w:sz w:val="24"/>
          <w:szCs w:val="24"/>
        </w:rPr>
        <w:t xml:space="preserve"> Внутренний спрос по-прежнему оставался основным фактором роста. Индекс промышленного производства в 2017 году снизился на 0,1%, тогда как в 2016 году фиксировалось его увеличение на 2,8%. Главным образом это обусловлено сокращением выпуска продукции угольной промышленности (-16,3%). </w:t>
      </w:r>
    </w:p>
    <w:p w:rsidR="004E2069" w:rsidRPr="006E78A2" w:rsidRDefault="004E2069" w:rsidP="00DC0A7D">
      <w:pPr>
        <w:ind w:firstLine="425"/>
        <w:jc w:val="both"/>
        <w:rPr>
          <w:color w:val="000000"/>
          <w:sz w:val="24"/>
          <w:szCs w:val="24"/>
        </w:rPr>
      </w:pPr>
      <w:r>
        <w:rPr>
          <w:color w:val="000000"/>
          <w:sz w:val="24"/>
          <w:szCs w:val="24"/>
        </w:rPr>
        <w:t>П</w:t>
      </w:r>
      <w:r w:rsidRPr="006E78A2">
        <w:rPr>
          <w:color w:val="000000"/>
          <w:sz w:val="24"/>
          <w:szCs w:val="24"/>
        </w:rPr>
        <w:t>отребительская инфляция в Украине ускорилась на 1,3 п.п.</w:t>
      </w:r>
      <w:r>
        <w:rPr>
          <w:color w:val="000000"/>
          <w:sz w:val="24"/>
          <w:szCs w:val="24"/>
        </w:rPr>
        <w:t xml:space="preserve">, до </w:t>
      </w:r>
      <w:r w:rsidRPr="006E78A2">
        <w:rPr>
          <w:color w:val="000000"/>
          <w:sz w:val="24"/>
          <w:szCs w:val="24"/>
        </w:rPr>
        <w:t>13,7%, значительно превысив прогнозный уровень Национального банка Украины</w:t>
      </w:r>
      <w:r>
        <w:rPr>
          <w:color w:val="000000"/>
          <w:sz w:val="24"/>
          <w:szCs w:val="24"/>
        </w:rPr>
        <w:t xml:space="preserve"> </w:t>
      </w:r>
      <w:r w:rsidRPr="008644C4">
        <w:rPr>
          <w:color w:val="000000"/>
          <w:sz w:val="24"/>
          <w:szCs w:val="24"/>
        </w:rPr>
        <w:t>(9,1%)</w:t>
      </w:r>
      <w:r w:rsidRPr="006E78A2">
        <w:rPr>
          <w:color w:val="000000"/>
          <w:sz w:val="24"/>
          <w:szCs w:val="24"/>
        </w:rPr>
        <w:t>. Цены на продовольственные товары выросли на 17,7% в основном из-за отмены государственного регулирования. В течение большей части 2017 года ситуация на внутреннем валютном рынке Украины преимущественно оставалась стабильной. На фоне благоприятных мировых цен на товары украинского экспорта гривна укрепляла свои позиции относительно доллара США вплоть до сентября (+2,5% с начала года). В последующем было отмечено нарастание девальвационного давления на гривну</w:t>
      </w:r>
      <w:r>
        <w:rPr>
          <w:color w:val="000000"/>
          <w:sz w:val="24"/>
          <w:szCs w:val="24"/>
        </w:rPr>
        <w:t xml:space="preserve">, что по итогам года вылилось в её обесценение на </w:t>
      </w:r>
      <w:r w:rsidRPr="008644C4">
        <w:rPr>
          <w:color w:val="000000"/>
          <w:sz w:val="24"/>
          <w:szCs w:val="24"/>
        </w:rPr>
        <w:t>3,2%.</w:t>
      </w:r>
    </w:p>
    <w:p w:rsidR="004E2069" w:rsidRPr="001B54E9" w:rsidRDefault="004E2069" w:rsidP="00DC0A7D">
      <w:pPr>
        <w:ind w:firstLine="425"/>
        <w:jc w:val="both"/>
        <w:rPr>
          <w:sz w:val="24"/>
          <w:szCs w:val="24"/>
        </w:rPr>
      </w:pPr>
      <w:r w:rsidRPr="008644C4">
        <w:rPr>
          <w:color w:val="000000"/>
          <w:sz w:val="24"/>
          <w:szCs w:val="24"/>
        </w:rPr>
        <w:t>Масштабы индустриального выпуска Республики Молдова в 2017 году увеличились на 3,4%. В его структуре</w:t>
      </w:r>
      <w:r w:rsidRPr="001B54E9">
        <w:rPr>
          <w:sz w:val="24"/>
          <w:szCs w:val="24"/>
        </w:rPr>
        <w:t xml:space="preserve"> фиксировалось наращивание производства предприятиями обрабатывающей промышленности (+4,5%) на фоне спада выработки в добывающих отраслях (-3,7%) и энергетическом секторе (-1,7%). </w:t>
      </w:r>
    </w:p>
    <w:p w:rsidR="004E2069" w:rsidRPr="001B54E9" w:rsidRDefault="004E2069" w:rsidP="00DC0A7D">
      <w:pPr>
        <w:ind w:firstLine="425"/>
        <w:jc w:val="both"/>
        <w:rPr>
          <w:sz w:val="24"/>
          <w:szCs w:val="24"/>
        </w:rPr>
      </w:pPr>
      <w:r>
        <w:rPr>
          <w:sz w:val="24"/>
          <w:szCs w:val="24"/>
        </w:rPr>
        <w:t>Также о</w:t>
      </w:r>
      <w:r w:rsidRPr="001B54E9">
        <w:rPr>
          <w:sz w:val="24"/>
          <w:szCs w:val="24"/>
        </w:rPr>
        <w:t xml:space="preserve">дним из катализаторов экономического роста Республики Молдова стали денежные переводы, объём которых возрос на 10,5% (до 1 089,4 млн долл.), прервав динамику спада, наблюдавшуюся в течение предыдущих двух лет. </w:t>
      </w:r>
    </w:p>
    <w:p w:rsidR="004E2069" w:rsidRPr="001B54E9" w:rsidRDefault="004E2069" w:rsidP="00DC0A7D">
      <w:pPr>
        <w:widowControl w:val="0"/>
        <w:ind w:firstLine="425"/>
        <w:jc w:val="both"/>
        <w:rPr>
          <w:sz w:val="24"/>
          <w:szCs w:val="24"/>
        </w:rPr>
      </w:pPr>
      <w:r w:rsidRPr="001B54E9">
        <w:rPr>
          <w:sz w:val="24"/>
          <w:szCs w:val="24"/>
        </w:rPr>
        <w:t>За 2017 год средний уровень цен на потребительском рынке Республики Молдова повысился на 7,3%, что стало следствием ускорения инфляционных процессов в сегментах продовольственных товаров (+6,9 п.п.</w:t>
      </w:r>
      <w:r>
        <w:rPr>
          <w:sz w:val="24"/>
          <w:szCs w:val="24"/>
        </w:rPr>
        <w:t xml:space="preserve">, до </w:t>
      </w:r>
      <w:r w:rsidRPr="001B54E9">
        <w:rPr>
          <w:sz w:val="24"/>
          <w:szCs w:val="24"/>
        </w:rPr>
        <w:t>9,7</w:t>
      </w:r>
      <w:r>
        <w:rPr>
          <w:sz w:val="24"/>
          <w:szCs w:val="24"/>
        </w:rPr>
        <w:t>%) и услуг (+7,4 п.п., до 7,9</w:t>
      </w:r>
      <w:r w:rsidRPr="008644C4">
        <w:rPr>
          <w:sz w:val="24"/>
          <w:szCs w:val="24"/>
        </w:rPr>
        <w:t>%). Рост перечисленных в страну денежных переводов и увеличение экспортных поставок (+18,1%) обусловили укрепление молдавского лея на 14,4%.</w:t>
      </w:r>
    </w:p>
    <w:p w:rsidR="004E2069" w:rsidRPr="001B54E9" w:rsidRDefault="004E2069" w:rsidP="00DC0A7D">
      <w:pPr>
        <w:ind w:firstLine="425"/>
        <w:jc w:val="both"/>
        <w:rPr>
          <w:sz w:val="24"/>
          <w:szCs w:val="24"/>
        </w:rPr>
      </w:pPr>
      <w:r w:rsidRPr="001B54E9">
        <w:rPr>
          <w:sz w:val="24"/>
          <w:szCs w:val="24"/>
        </w:rPr>
        <w:t>Динамика индекса продовольственных цен ФАО</w:t>
      </w:r>
      <w:r w:rsidRPr="001B54E9">
        <w:rPr>
          <w:rStyle w:val="FootnoteReference"/>
          <w:sz w:val="24"/>
          <w:szCs w:val="24"/>
        </w:rPr>
        <w:footnoteReference w:id="1"/>
      </w:r>
      <w:r w:rsidRPr="001B54E9">
        <w:rPr>
          <w:sz w:val="24"/>
          <w:szCs w:val="24"/>
        </w:rPr>
        <w:t xml:space="preserve"> в целом отражала повышение продовольственных котировок на мировом рынке: среднегодовое значение показателя сформировалось на уровне 174,6 пункта (+13,1 пункта к уровню 2016 года), тем самым прервав нисходящий тренд, отмечавшийся на протяжении пяти последних лет. Наибольший рост был отмечен по товарам животного происхождения: мясной (+9,0%</w:t>
      </w:r>
      <w:r>
        <w:rPr>
          <w:sz w:val="24"/>
          <w:szCs w:val="24"/>
        </w:rPr>
        <w:t xml:space="preserve">, до </w:t>
      </w:r>
      <w:r w:rsidRPr="001B54E9">
        <w:rPr>
          <w:sz w:val="24"/>
          <w:szCs w:val="24"/>
        </w:rPr>
        <w:t>170,2 пунктов) и молочной (+31,5%</w:t>
      </w:r>
      <w:r>
        <w:rPr>
          <w:sz w:val="24"/>
          <w:szCs w:val="24"/>
        </w:rPr>
        <w:t xml:space="preserve">, до </w:t>
      </w:r>
      <w:r w:rsidRPr="001B54E9">
        <w:rPr>
          <w:sz w:val="24"/>
          <w:szCs w:val="24"/>
        </w:rPr>
        <w:t>202,2 пунктов) продукции. Среднегодовые цены на зерновые культуры (+4,7 пункта</w:t>
      </w:r>
      <w:r>
        <w:rPr>
          <w:sz w:val="24"/>
          <w:szCs w:val="24"/>
        </w:rPr>
        <w:t xml:space="preserve">, до </w:t>
      </w:r>
      <w:r w:rsidRPr="001B54E9">
        <w:rPr>
          <w:sz w:val="24"/>
          <w:szCs w:val="24"/>
        </w:rPr>
        <w:t>151,6 пунктов) и растительные масла (+5,0 пункта</w:t>
      </w:r>
      <w:r>
        <w:rPr>
          <w:sz w:val="24"/>
          <w:szCs w:val="24"/>
        </w:rPr>
        <w:t xml:space="preserve">, до </w:t>
      </w:r>
      <w:r>
        <w:rPr>
          <w:sz w:val="24"/>
          <w:szCs w:val="24"/>
        </w:rPr>
        <w:br/>
      </w:r>
      <w:r w:rsidRPr="001B54E9">
        <w:rPr>
          <w:sz w:val="24"/>
          <w:szCs w:val="24"/>
        </w:rPr>
        <w:t xml:space="preserve">168,8 пунктов) </w:t>
      </w:r>
      <w:r>
        <w:rPr>
          <w:sz w:val="24"/>
          <w:szCs w:val="24"/>
        </w:rPr>
        <w:t>также были подвержены повышению</w:t>
      </w:r>
      <w:r w:rsidRPr="001B54E9">
        <w:rPr>
          <w:sz w:val="24"/>
          <w:szCs w:val="24"/>
        </w:rPr>
        <w:t>. Понижательной динамикой характеризовалась цена сахара (-11,2%</w:t>
      </w:r>
      <w:r>
        <w:rPr>
          <w:sz w:val="24"/>
          <w:szCs w:val="24"/>
        </w:rPr>
        <w:t xml:space="preserve">, до </w:t>
      </w:r>
      <w:r w:rsidRPr="001B54E9">
        <w:rPr>
          <w:sz w:val="24"/>
          <w:szCs w:val="24"/>
        </w:rPr>
        <w:t>227,3 пунктов), что обусловлено ростом его предложения, в связи с рекордным урожаем в Бразилии – крупнейшем производителе сахара в мире, а также увеличением производства в Индии и Та</w:t>
      </w:r>
      <w:r>
        <w:rPr>
          <w:sz w:val="24"/>
          <w:szCs w:val="24"/>
        </w:rPr>
        <w:t>и</w:t>
      </w:r>
      <w:r w:rsidRPr="001B54E9">
        <w:rPr>
          <w:sz w:val="24"/>
          <w:szCs w:val="24"/>
        </w:rPr>
        <w:t>ланде.</w:t>
      </w:r>
    </w:p>
    <w:p w:rsidR="004E2069" w:rsidRPr="001B54E9" w:rsidRDefault="004E2069" w:rsidP="00DC0A7D">
      <w:pPr>
        <w:ind w:firstLine="425"/>
        <w:jc w:val="both"/>
        <w:rPr>
          <w:sz w:val="24"/>
          <w:szCs w:val="24"/>
        </w:rPr>
      </w:pPr>
    </w:p>
    <w:p w:rsidR="004E2069" w:rsidRPr="00E85DD7" w:rsidRDefault="004E2069" w:rsidP="00DC0A7D">
      <w:pPr>
        <w:widowControl w:val="0"/>
        <w:numPr>
          <w:ilvl w:val="1"/>
          <w:numId w:val="1"/>
        </w:numPr>
        <w:spacing w:before="120"/>
        <w:jc w:val="both"/>
        <w:rPr>
          <w:b/>
          <w:bCs/>
          <w:noProof/>
          <w:sz w:val="24"/>
          <w:szCs w:val="24"/>
        </w:rPr>
      </w:pPr>
      <w:r w:rsidRPr="00E85DD7">
        <w:rPr>
          <w:b/>
          <w:bCs/>
          <w:noProof/>
          <w:sz w:val="24"/>
          <w:szCs w:val="24"/>
        </w:rPr>
        <w:t>ЭКОНОМИЧЕСКОЕ ПОЛОЖЕНИЕ ПРИДНЕСТРОВЬЯ</w:t>
      </w:r>
    </w:p>
    <w:p w:rsidR="004E2069" w:rsidRDefault="004E2069" w:rsidP="00DC0A7D">
      <w:pPr>
        <w:widowControl w:val="0"/>
        <w:spacing w:before="120" w:after="120"/>
        <w:ind w:left="425"/>
        <w:jc w:val="both"/>
        <w:rPr>
          <w:i/>
          <w:iCs/>
          <w:noProof/>
          <w:sz w:val="24"/>
          <w:szCs w:val="24"/>
        </w:rPr>
      </w:pPr>
      <w:r w:rsidRPr="00E85DD7">
        <w:rPr>
          <w:i/>
          <w:iCs/>
          <w:noProof/>
          <w:sz w:val="24"/>
          <w:szCs w:val="24"/>
        </w:rPr>
        <w:t>Реальный сектор</w:t>
      </w:r>
    </w:p>
    <w:p w:rsidR="004E2069" w:rsidRDefault="004E2069" w:rsidP="00DC0A7D">
      <w:pPr>
        <w:spacing w:line="20" w:lineRule="atLeast"/>
        <w:ind w:right="-1" w:firstLine="426"/>
        <w:jc w:val="both"/>
        <w:rPr>
          <w:sz w:val="24"/>
          <w:szCs w:val="24"/>
        </w:rPr>
      </w:pPr>
      <w:r w:rsidRPr="003A349A">
        <w:rPr>
          <w:sz w:val="24"/>
          <w:szCs w:val="24"/>
        </w:rPr>
        <w:t>Согласно данным Государственной службы статистики ПМР, объём промышленного производства в отчётном периоде достиг 9 972,8 млн руб.</w:t>
      </w:r>
      <w:r w:rsidRPr="003A349A">
        <w:rPr>
          <w:rStyle w:val="FootnoteReference"/>
          <w:sz w:val="24"/>
          <w:szCs w:val="24"/>
        </w:rPr>
        <w:t xml:space="preserve"> </w:t>
      </w:r>
      <w:r w:rsidRPr="003A349A">
        <w:rPr>
          <w:rStyle w:val="FootnoteReference"/>
          <w:sz w:val="24"/>
          <w:szCs w:val="24"/>
        </w:rPr>
        <w:footnoteReference w:id="2"/>
      </w:r>
      <w:r w:rsidRPr="003A349A">
        <w:rPr>
          <w:sz w:val="24"/>
          <w:szCs w:val="24"/>
        </w:rPr>
        <w:t xml:space="preserve">, что в текущих ценах на 23,6% больше показателя 2016 года, а в сопоставимой оценке – на 14,9% (табл. </w:t>
      </w:r>
      <w:r>
        <w:rPr>
          <w:sz w:val="24"/>
          <w:szCs w:val="24"/>
        </w:rPr>
        <w:t>1.</w:t>
      </w:r>
      <w:r w:rsidRPr="003A349A">
        <w:rPr>
          <w:sz w:val="24"/>
          <w:szCs w:val="24"/>
        </w:rPr>
        <w:t xml:space="preserve">1). Индекс физического объёма производства сформировался на отметке 114,7%. Без учёта электроэнергетики </w:t>
      </w:r>
      <w:r>
        <w:rPr>
          <w:sz w:val="24"/>
          <w:szCs w:val="24"/>
        </w:rPr>
        <w:t>выработка</w:t>
      </w:r>
      <w:r w:rsidRPr="003A349A">
        <w:rPr>
          <w:sz w:val="24"/>
          <w:szCs w:val="24"/>
        </w:rPr>
        <w:t xml:space="preserve"> предприятий индустриального комплекса составил</w:t>
      </w:r>
      <w:r>
        <w:rPr>
          <w:sz w:val="24"/>
          <w:szCs w:val="24"/>
        </w:rPr>
        <w:t>а</w:t>
      </w:r>
      <w:r w:rsidRPr="003A349A">
        <w:rPr>
          <w:sz w:val="24"/>
          <w:szCs w:val="24"/>
        </w:rPr>
        <w:t xml:space="preserve"> </w:t>
      </w:r>
      <w:r>
        <w:rPr>
          <w:sz w:val="24"/>
          <w:szCs w:val="24"/>
        </w:rPr>
        <w:br/>
      </w:r>
      <w:r w:rsidRPr="003A349A">
        <w:rPr>
          <w:sz w:val="24"/>
          <w:szCs w:val="24"/>
        </w:rPr>
        <w:t xml:space="preserve">6 904,8 млн руб., </w:t>
      </w:r>
      <w:r w:rsidRPr="00FE3AFF">
        <w:rPr>
          <w:sz w:val="24"/>
          <w:szCs w:val="24"/>
        </w:rPr>
        <w:t>что в сопоставимых ценах на</w:t>
      </w:r>
      <w:r w:rsidRPr="003A349A">
        <w:rPr>
          <w:sz w:val="24"/>
          <w:szCs w:val="24"/>
        </w:rPr>
        <w:t xml:space="preserve"> 37,6% выше базисного уровня. </w:t>
      </w:r>
    </w:p>
    <w:p w:rsidR="004E2069" w:rsidRPr="003A349A" w:rsidRDefault="004E2069" w:rsidP="00DC0A7D">
      <w:pPr>
        <w:pStyle w:val="NormalWeb"/>
        <w:widowControl w:val="0"/>
        <w:tabs>
          <w:tab w:val="left" w:pos="7200"/>
        </w:tabs>
        <w:spacing w:before="0" w:beforeAutospacing="0" w:after="0" w:afterAutospacing="0"/>
        <w:ind w:firstLine="425"/>
        <w:jc w:val="both"/>
      </w:pPr>
      <w:r>
        <w:t>Н</w:t>
      </w:r>
      <w:r w:rsidRPr="003A349A">
        <w:t>аращивание объёмов производства регистрировалось на 50 предприятиях</w:t>
      </w:r>
      <w:r>
        <w:t>.</w:t>
      </w:r>
      <w:r w:rsidRPr="003A349A">
        <w:t xml:space="preserve"> Деятельность 28 организаций характеризовалась сокращением производственных параметров. Трём хозяйствующим субъектам в 2017 году не удалось приступить к выпуску продукции.</w:t>
      </w:r>
    </w:p>
    <w:p w:rsidR="004E2069" w:rsidRPr="003A349A" w:rsidRDefault="004E2069" w:rsidP="00DC0A7D">
      <w:pPr>
        <w:ind w:firstLine="425"/>
        <w:jc w:val="both"/>
        <w:rPr>
          <w:sz w:val="24"/>
          <w:szCs w:val="24"/>
        </w:rPr>
      </w:pPr>
      <w:r w:rsidRPr="003A349A">
        <w:rPr>
          <w:sz w:val="24"/>
          <w:szCs w:val="24"/>
        </w:rPr>
        <w:t xml:space="preserve">Среднемесячный объём производства сложился на уровне 831,1 млн руб. против </w:t>
      </w:r>
      <w:r>
        <w:rPr>
          <w:sz w:val="24"/>
          <w:szCs w:val="24"/>
        </w:rPr>
        <w:br/>
      </w:r>
      <w:r w:rsidRPr="003A349A">
        <w:rPr>
          <w:sz w:val="24"/>
          <w:szCs w:val="24"/>
        </w:rPr>
        <w:t xml:space="preserve">672,2 млн руб. в 2016 году. Во внутригодовой динамике максимальные параметры выпуска были зафиксированы в декабре 2017 года – 1 126,5 млн руб., что на 35,5% превысило среднемесячное значение. </w:t>
      </w:r>
    </w:p>
    <w:p w:rsidR="004E2069" w:rsidRPr="00013FFE" w:rsidRDefault="004E2069" w:rsidP="00DC0A7D">
      <w:pPr>
        <w:ind w:firstLine="425"/>
        <w:jc w:val="both"/>
        <w:rPr>
          <w:sz w:val="24"/>
          <w:szCs w:val="24"/>
        </w:rPr>
      </w:pPr>
      <w:r>
        <w:rPr>
          <w:sz w:val="24"/>
          <w:szCs w:val="24"/>
        </w:rPr>
        <w:t>В</w:t>
      </w:r>
      <w:r w:rsidRPr="003A349A">
        <w:rPr>
          <w:sz w:val="24"/>
          <w:szCs w:val="24"/>
        </w:rPr>
        <w:t>ысокие производственные результаты отмечали</w:t>
      </w:r>
      <w:r>
        <w:rPr>
          <w:sz w:val="24"/>
          <w:szCs w:val="24"/>
        </w:rPr>
        <w:t>сь в чёрной металлургии</w:t>
      </w:r>
      <w:r w:rsidRPr="003A349A">
        <w:rPr>
          <w:sz w:val="24"/>
          <w:szCs w:val="24"/>
        </w:rPr>
        <w:t>. В стоимостном выражении объём произведённой продукции увеличился в 2,0 раза</w:t>
      </w:r>
      <w:r>
        <w:rPr>
          <w:sz w:val="24"/>
          <w:szCs w:val="24"/>
        </w:rPr>
        <w:t xml:space="preserve">, до </w:t>
      </w:r>
      <w:r>
        <w:rPr>
          <w:sz w:val="24"/>
          <w:szCs w:val="24"/>
        </w:rPr>
        <w:br/>
      </w:r>
      <w:r w:rsidRPr="003A349A">
        <w:rPr>
          <w:sz w:val="24"/>
          <w:szCs w:val="24"/>
        </w:rPr>
        <w:t>2 925,9 млн руб.</w:t>
      </w:r>
      <w:r>
        <w:rPr>
          <w:sz w:val="24"/>
          <w:szCs w:val="24"/>
        </w:rPr>
        <w:t xml:space="preserve"> За</w:t>
      </w:r>
      <w:r w:rsidRPr="003A349A">
        <w:rPr>
          <w:sz w:val="24"/>
          <w:szCs w:val="24"/>
        </w:rPr>
        <w:t xml:space="preserve"> год было выплавлено 469,4 тонн стали и 451,4 тонн металлопроката, что в 3,7 раз и 2,0 раза соответственно превысило уровень базисного периода. Благоприятная конъюнктура на мировых рынках и повышение эффективности управления обеспечили ритмичную работу Молдавского металлургического завода в 2017 году и постепенное нара</w:t>
      </w:r>
      <w:r>
        <w:rPr>
          <w:sz w:val="24"/>
          <w:szCs w:val="24"/>
        </w:rPr>
        <w:t xml:space="preserve">щивание выпуска металлопродукции. </w:t>
      </w:r>
      <w:r w:rsidRPr="003A349A">
        <w:rPr>
          <w:sz w:val="24"/>
          <w:szCs w:val="24"/>
        </w:rPr>
        <w:t>Структурное представление данной отрасли в сводном показателе сложилось на отметке 29,3% (+19,4 п.п. к значению пр</w:t>
      </w:r>
      <w:r>
        <w:rPr>
          <w:sz w:val="24"/>
          <w:szCs w:val="24"/>
        </w:rPr>
        <w:t>едыдуще</w:t>
      </w:r>
      <w:r w:rsidRPr="003A349A">
        <w:rPr>
          <w:sz w:val="24"/>
          <w:szCs w:val="24"/>
        </w:rPr>
        <w:t>го года).</w:t>
      </w:r>
    </w:p>
    <w:p w:rsidR="004E2069" w:rsidRPr="008D7F02" w:rsidRDefault="004E2069" w:rsidP="00DC0A7D">
      <w:pPr>
        <w:pStyle w:val="Heading2"/>
        <w:widowControl w:val="0"/>
        <w:spacing w:before="120"/>
        <w:ind w:firstLine="425"/>
        <w:jc w:val="right"/>
        <w:rPr>
          <w:rFonts w:ascii="Times New Roman" w:hAnsi="Times New Roman" w:cs="Times New Roman"/>
          <w:bCs w:val="0"/>
          <w:i/>
          <w:sz w:val="24"/>
          <w:szCs w:val="24"/>
        </w:rPr>
      </w:pPr>
      <w:r w:rsidRPr="008D7F02">
        <w:rPr>
          <w:rFonts w:ascii="Times New Roman" w:hAnsi="Times New Roman" w:cs="Times New Roman"/>
          <w:bCs w:val="0"/>
          <w:i/>
          <w:sz w:val="24"/>
          <w:szCs w:val="24"/>
        </w:rPr>
        <w:t>Таблица 1.1</w:t>
      </w:r>
    </w:p>
    <w:p w:rsidR="004E2069" w:rsidRPr="003A349A" w:rsidRDefault="004E2069" w:rsidP="00DC0A7D">
      <w:pPr>
        <w:widowControl w:val="0"/>
        <w:spacing w:before="120" w:after="120"/>
        <w:jc w:val="center"/>
        <w:rPr>
          <w:b/>
          <w:i/>
          <w:sz w:val="24"/>
          <w:szCs w:val="24"/>
        </w:rPr>
      </w:pPr>
      <w:r w:rsidRPr="003A349A">
        <w:rPr>
          <w:b/>
          <w:i/>
          <w:sz w:val="24"/>
          <w:szCs w:val="24"/>
        </w:rPr>
        <w:t>Динамика объёмов производства по отраслям промышленности в 2017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5731"/>
        <w:gridCol w:w="1468"/>
        <w:gridCol w:w="1175"/>
        <w:gridCol w:w="1323"/>
      </w:tblGrid>
      <w:tr w:rsidR="004E2069" w:rsidRPr="003A349A" w:rsidTr="0080373F">
        <w:trPr>
          <w:cantSplit/>
          <w:trHeight w:val="448"/>
        </w:trPr>
        <w:tc>
          <w:tcPr>
            <w:tcW w:w="2955" w:type="pct"/>
            <w:tcBorders>
              <w:bottom w:val="double" w:sz="4" w:space="0" w:color="auto"/>
            </w:tcBorders>
            <w:shd w:val="clear" w:color="auto" w:fill="CCCCCC"/>
            <w:vAlign w:val="center"/>
          </w:tcPr>
          <w:p w:rsidR="004E2069" w:rsidRPr="003A349A" w:rsidRDefault="004E2069" w:rsidP="0080373F">
            <w:pPr>
              <w:widowControl w:val="0"/>
              <w:jc w:val="center"/>
              <w:rPr>
                <w:snapToGrid w:val="0"/>
                <w:sz w:val="22"/>
                <w:szCs w:val="22"/>
              </w:rPr>
            </w:pPr>
            <w:bookmarkStart w:id="0" w:name="OLE_LINK1"/>
            <w:bookmarkStart w:id="1" w:name="OLE_LINK4"/>
            <w:bookmarkStart w:id="2" w:name="OLE_LINK5"/>
          </w:p>
        </w:tc>
        <w:tc>
          <w:tcPr>
            <w:tcW w:w="757" w:type="pct"/>
            <w:tcBorders>
              <w:bottom w:val="double" w:sz="4" w:space="0" w:color="auto"/>
            </w:tcBorders>
            <w:shd w:val="clear" w:color="auto" w:fill="CCCCCC"/>
            <w:vAlign w:val="center"/>
          </w:tcPr>
          <w:p w:rsidR="004E2069" w:rsidRPr="003A349A" w:rsidRDefault="004E2069" w:rsidP="0080373F">
            <w:pPr>
              <w:widowControl w:val="0"/>
              <w:jc w:val="center"/>
              <w:rPr>
                <w:snapToGrid w:val="0"/>
                <w:sz w:val="22"/>
                <w:szCs w:val="22"/>
              </w:rPr>
            </w:pPr>
            <w:r w:rsidRPr="003A349A">
              <w:rPr>
                <w:snapToGrid w:val="0"/>
                <w:sz w:val="22"/>
                <w:szCs w:val="22"/>
              </w:rPr>
              <w:t>объём производства,</w:t>
            </w:r>
          </w:p>
          <w:p w:rsidR="004E2069" w:rsidRPr="003A349A" w:rsidRDefault="004E2069" w:rsidP="0080373F">
            <w:pPr>
              <w:widowControl w:val="0"/>
              <w:jc w:val="center"/>
              <w:rPr>
                <w:snapToGrid w:val="0"/>
                <w:sz w:val="22"/>
                <w:szCs w:val="22"/>
              </w:rPr>
            </w:pPr>
            <w:r w:rsidRPr="003A349A">
              <w:rPr>
                <w:snapToGrid w:val="0"/>
                <w:sz w:val="22"/>
                <w:szCs w:val="22"/>
              </w:rPr>
              <w:t>млн руб.</w:t>
            </w:r>
          </w:p>
        </w:tc>
        <w:tc>
          <w:tcPr>
            <w:tcW w:w="606" w:type="pct"/>
            <w:tcBorders>
              <w:bottom w:val="double" w:sz="4" w:space="0" w:color="auto"/>
            </w:tcBorders>
            <w:shd w:val="clear" w:color="auto" w:fill="CCCCCC"/>
            <w:vAlign w:val="center"/>
          </w:tcPr>
          <w:p w:rsidR="004E2069" w:rsidRPr="003A349A" w:rsidRDefault="004E2069" w:rsidP="0080373F">
            <w:pPr>
              <w:widowControl w:val="0"/>
              <w:jc w:val="center"/>
              <w:rPr>
                <w:snapToGrid w:val="0"/>
                <w:sz w:val="22"/>
                <w:szCs w:val="22"/>
              </w:rPr>
            </w:pPr>
            <w:r w:rsidRPr="003A349A">
              <w:rPr>
                <w:snapToGrid w:val="0"/>
                <w:sz w:val="22"/>
                <w:szCs w:val="22"/>
              </w:rPr>
              <w:t>удельный</w:t>
            </w:r>
          </w:p>
          <w:p w:rsidR="004E2069" w:rsidRPr="003A349A" w:rsidRDefault="004E2069" w:rsidP="0080373F">
            <w:pPr>
              <w:widowControl w:val="0"/>
              <w:jc w:val="center"/>
              <w:rPr>
                <w:snapToGrid w:val="0"/>
                <w:sz w:val="22"/>
                <w:szCs w:val="22"/>
              </w:rPr>
            </w:pPr>
            <w:r w:rsidRPr="003A349A">
              <w:rPr>
                <w:snapToGrid w:val="0"/>
                <w:sz w:val="22"/>
                <w:szCs w:val="22"/>
              </w:rPr>
              <w:t>вес, %</w:t>
            </w:r>
          </w:p>
        </w:tc>
        <w:tc>
          <w:tcPr>
            <w:tcW w:w="682" w:type="pct"/>
            <w:tcBorders>
              <w:bottom w:val="double" w:sz="4" w:space="0" w:color="auto"/>
            </w:tcBorders>
            <w:shd w:val="clear" w:color="auto" w:fill="CCCCCC"/>
            <w:vAlign w:val="center"/>
          </w:tcPr>
          <w:p w:rsidR="004E2069" w:rsidRPr="003A349A" w:rsidRDefault="004E2069" w:rsidP="0080373F">
            <w:pPr>
              <w:widowControl w:val="0"/>
              <w:ind w:left="-57"/>
              <w:jc w:val="center"/>
              <w:rPr>
                <w:snapToGrid w:val="0"/>
                <w:sz w:val="22"/>
                <w:szCs w:val="22"/>
              </w:rPr>
            </w:pPr>
            <w:r w:rsidRPr="003A349A">
              <w:rPr>
                <w:snapToGrid w:val="0"/>
                <w:sz w:val="22"/>
                <w:szCs w:val="22"/>
              </w:rPr>
              <w:t xml:space="preserve">темп </w:t>
            </w:r>
            <w:r w:rsidRPr="003A349A">
              <w:rPr>
                <w:snapToGrid w:val="0"/>
                <w:sz w:val="22"/>
                <w:szCs w:val="22"/>
              </w:rPr>
              <w:br/>
              <w:t>роста, %</w:t>
            </w:r>
            <w:r w:rsidRPr="003A349A">
              <w:rPr>
                <w:rStyle w:val="FootnoteReference"/>
                <w:snapToGrid w:val="0"/>
                <w:sz w:val="22"/>
                <w:szCs w:val="22"/>
              </w:rPr>
              <w:footnoteReference w:id="3"/>
            </w:r>
          </w:p>
        </w:tc>
      </w:tr>
      <w:tr w:rsidR="004E2069" w:rsidRPr="003A349A" w:rsidTr="0080373F">
        <w:trPr>
          <w:trHeight w:val="240"/>
        </w:trPr>
        <w:tc>
          <w:tcPr>
            <w:tcW w:w="2955" w:type="pct"/>
            <w:tcBorders>
              <w:top w:val="double" w:sz="4" w:space="0" w:color="auto"/>
            </w:tcBorders>
            <w:shd w:val="clear" w:color="auto" w:fill="E0E0E0"/>
            <w:vAlign w:val="bottom"/>
          </w:tcPr>
          <w:p w:rsidR="004E2069" w:rsidRPr="003A349A" w:rsidRDefault="004E2069" w:rsidP="0080373F">
            <w:pPr>
              <w:widowControl w:val="0"/>
              <w:ind w:firstLine="142"/>
              <w:rPr>
                <w:snapToGrid w:val="0"/>
                <w:sz w:val="22"/>
                <w:szCs w:val="22"/>
              </w:rPr>
            </w:pPr>
            <w:r w:rsidRPr="003A349A">
              <w:rPr>
                <w:snapToGrid w:val="0"/>
                <w:sz w:val="22"/>
                <w:szCs w:val="22"/>
              </w:rPr>
              <w:t>Промышленность</w:t>
            </w:r>
          </w:p>
        </w:tc>
        <w:tc>
          <w:tcPr>
            <w:tcW w:w="757" w:type="pct"/>
            <w:tcBorders>
              <w:top w:val="double" w:sz="4" w:space="0" w:color="auto"/>
            </w:tcBorders>
            <w:shd w:val="clear" w:color="auto" w:fill="E0E0E0"/>
            <w:vAlign w:val="bottom"/>
          </w:tcPr>
          <w:p w:rsidR="004E2069" w:rsidRPr="003A349A" w:rsidRDefault="004E2069" w:rsidP="0080373F">
            <w:pPr>
              <w:widowControl w:val="0"/>
              <w:ind w:right="254"/>
              <w:jc w:val="right"/>
              <w:rPr>
                <w:sz w:val="22"/>
                <w:szCs w:val="22"/>
              </w:rPr>
            </w:pPr>
            <w:r w:rsidRPr="003A349A">
              <w:rPr>
                <w:sz w:val="22"/>
                <w:szCs w:val="22"/>
              </w:rPr>
              <w:t>9 972,8</w:t>
            </w:r>
          </w:p>
        </w:tc>
        <w:tc>
          <w:tcPr>
            <w:tcW w:w="606" w:type="pct"/>
            <w:tcBorders>
              <w:top w:val="double" w:sz="4" w:space="0" w:color="auto"/>
            </w:tcBorders>
            <w:shd w:val="clear" w:color="auto" w:fill="E0E0E0"/>
            <w:vAlign w:val="bottom"/>
          </w:tcPr>
          <w:p w:rsidR="004E2069" w:rsidRPr="003A349A" w:rsidRDefault="004E2069" w:rsidP="0080373F">
            <w:pPr>
              <w:widowControl w:val="0"/>
              <w:ind w:left="-30" w:right="254"/>
              <w:jc w:val="right"/>
              <w:rPr>
                <w:sz w:val="22"/>
                <w:szCs w:val="22"/>
              </w:rPr>
            </w:pPr>
            <w:r w:rsidRPr="003A349A">
              <w:rPr>
                <w:sz w:val="22"/>
                <w:szCs w:val="22"/>
              </w:rPr>
              <w:t>100,0</w:t>
            </w:r>
          </w:p>
        </w:tc>
        <w:tc>
          <w:tcPr>
            <w:tcW w:w="682" w:type="pct"/>
            <w:tcBorders>
              <w:top w:val="double" w:sz="4" w:space="0" w:color="auto"/>
            </w:tcBorders>
            <w:shd w:val="clear" w:color="auto" w:fill="E0E0E0"/>
            <w:vAlign w:val="bottom"/>
          </w:tcPr>
          <w:p w:rsidR="004E2069" w:rsidRPr="003A349A" w:rsidRDefault="004E2069" w:rsidP="0080373F">
            <w:pPr>
              <w:widowControl w:val="0"/>
              <w:ind w:right="254"/>
              <w:jc w:val="right"/>
              <w:rPr>
                <w:sz w:val="22"/>
                <w:szCs w:val="22"/>
              </w:rPr>
            </w:pPr>
            <w:r w:rsidRPr="003A349A">
              <w:rPr>
                <w:sz w:val="22"/>
                <w:szCs w:val="22"/>
              </w:rPr>
              <w:t>114,9</w:t>
            </w:r>
          </w:p>
        </w:tc>
      </w:tr>
      <w:tr w:rsidR="004E2069" w:rsidRPr="003A349A" w:rsidTr="0080373F">
        <w:trPr>
          <w:trHeight w:val="270"/>
        </w:trPr>
        <w:tc>
          <w:tcPr>
            <w:tcW w:w="2955" w:type="pct"/>
            <w:tcBorders>
              <w:bottom w:val="nil"/>
            </w:tcBorders>
            <w:vAlign w:val="bottom"/>
          </w:tcPr>
          <w:p w:rsidR="004E2069" w:rsidRPr="003A349A" w:rsidRDefault="004E2069" w:rsidP="0080373F">
            <w:pPr>
              <w:widowControl w:val="0"/>
              <w:ind w:left="292"/>
              <w:rPr>
                <w:snapToGrid w:val="0"/>
                <w:sz w:val="22"/>
                <w:szCs w:val="22"/>
              </w:rPr>
            </w:pPr>
            <w:r w:rsidRPr="003A349A">
              <w:rPr>
                <w:snapToGrid w:val="0"/>
                <w:sz w:val="22"/>
                <w:szCs w:val="22"/>
              </w:rPr>
              <w:t>в том числе:</w:t>
            </w:r>
          </w:p>
        </w:tc>
        <w:tc>
          <w:tcPr>
            <w:tcW w:w="757" w:type="pct"/>
            <w:tcBorders>
              <w:bottom w:val="nil"/>
            </w:tcBorders>
            <w:vAlign w:val="bottom"/>
          </w:tcPr>
          <w:p w:rsidR="004E2069" w:rsidRPr="003A349A" w:rsidRDefault="004E2069" w:rsidP="0080373F">
            <w:pPr>
              <w:widowControl w:val="0"/>
              <w:ind w:right="254"/>
              <w:jc w:val="right"/>
              <w:rPr>
                <w:sz w:val="22"/>
                <w:szCs w:val="22"/>
              </w:rPr>
            </w:pPr>
          </w:p>
        </w:tc>
        <w:tc>
          <w:tcPr>
            <w:tcW w:w="606" w:type="pct"/>
            <w:tcBorders>
              <w:bottom w:val="nil"/>
            </w:tcBorders>
            <w:vAlign w:val="bottom"/>
          </w:tcPr>
          <w:p w:rsidR="004E2069" w:rsidRPr="003A349A" w:rsidRDefault="004E2069" w:rsidP="0080373F">
            <w:pPr>
              <w:widowControl w:val="0"/>
              <w:ind w:left="-30" w:right="254"/>
              <w:jc w:val="right"/>
              <w:rPr>
                <w:sz w:val="22"/>
                <w:szCs w:val="22"/>
              </w:rPr>
            </w:pPr>
          </w:p>
        </w:tc>
        <w:tc>
          <w:tcPr>
            <w:tcW w:w="682" w:type="pct"/>
            <w:tcBorders>
              <w:bottom w:val="nil"/>
            </w:tcBorders>
            <w:vAlign w:val="bottom"/>
          </w:tcPr>
          <w:p w:rsidR="004E2069" w:rsidRPr="003A349A" w:rsidRDefault="004E2069" w:rsidP="0080373F">
            <w:pPr>
              <w:widowControl w:val="0"/>
              <w:ind w:right="254"/>
              <w:jc w:val="right"/>
              <w:rPr>
                <w:sz w:val="22"/>
                <w:szCs w:val="22"/>
              </w:rPr>
            </w:pPr>
          </w:p>
        </w:tc>
      </w:tr>
      <w:tr w:rsidR="004E2069" w:rsidRPr="003A349A" w:rsidTr="0080373F">
        <w:trPr>
          <w:trHeight w:val="270"/>
        </w:trPr>
        <w:tc>
          <w:tcPr>
            <w:tcW w:w="2955" w:type="pct"/>
            <w:tcBorders>
              <w:top w:val="nil"/>
              <w:bottom w:val="nil"/>
            </w:tcBorders>
            <w:vAlign w:val="bottom"/>
          </w:tcPr>
          <w:p w:rsidR="004E2069" w:rsidRPr="003A349A" w:rsidRDefault="004E2069" w:rsidP="0080373F">
            <w:pPr>
              <w:widowControl w:val="0"/>
              <w:tabs>
                <w:tab w:val="left" w:pos="396"/>
              </w:tabs>
              <w:ind w:left="284" w:firstLine="22"/>
              <w:rPr>
                <w:snapToGrid w:val="0"/>
                <w:sz w:val="22"/>
                <w:szCs w:val="22"/>
              </w:rPr>
            </w:pPr>
            <w:r w:rsidRPr="003A349A">
              <w:rPr>
                <w:snapToGrid w:val="0"/>
                <w:sz w:val="22"/>
                <w:szCs w:val="22"/>
              </w:rPr>
              <w:t>- электроэнергетика</w:t>
            </w:r>
          </w:p>
        </w:tc>
        <w:tc>
          <w:tcPr>
            <w:tcW w:w="757" w:type="pct"/>
            <w:tcBorders>
              <w:top w:val="nil"/>
              <w:bottom w:val="nil"/>
            </w:tcBorders>
            <w:vAlign w:val="bottom"/>
          </w:tcPr>
          <w:p w:rsidR="004E2069" w:rsidRPr="003A349A" w:rsidRDefault="004E2069" w:rsidP="0080373F">
            <w:pPr>
              <w:widowControl w:val="0"/>
              <w:ind w:right="254"/>
              <w:jc w:val="right"/>
              <w:rPr>
                <w:sz w:val="22"/>
                <w:szCs w:val="22"/>
              </w:rPr>
            </w:pPr>
            <w:r w:rsidRPr="003A349A">
              <w:rPr>
                <w:sz w:val="22"/>
                <w:szCs w:val="22"/>
              </w:rPr>
              <w:t>3 068,0</w:t>
            </w:r>
          </w:p>
        </w:tc>
        <w:tc>
          <w:tcPr>
            <w:tcW w:w="606" w:type="pct"/>
            <w:tcBorders>
              <w:top w:val="nil"/>
              <w:bottom w:val="nil"/>
            </w:tcBorders>
            <w:vAlign w:val="bottom"/>
          </w:tcPr>
          <w:p w:rsidR="004E2069" w:rsidRPr="003A349A" w:rsidRDefault="004E2069" w:rsidP="0080373F">
            <w:pPr>
              <w:widowControl w:val="0"/>
              <w:ind w:left="-30" w:right="254"/>
              <w:jc w:val="right"/>
              <w:rPr>
                <w:sz w:val="22"/>
                <w:szCs w:val="22"/>
              </w:rPr>
            </w:pPr>
            <w:r w:rsidRPr="003A349A">
              <w:rPr>
                <w:sz w:val="22"/>
                <w:szCs w:val="22"/>
              </w:rPr>
              <w:t>30,8</w:t>
            </w:r>
          </w:p>
        </w:tc>
        <w:tc>
          <w:tcPr>
            <w:tcW w:w="682" w:type="pct"/>
            <w:tcBorders>
              <w:top w:val="nil"/>
              <w:bottom w:val="nil"/>
            </w:tcBorders>
            <w:vAlign w:val="bottom"/>
          </w:tcPr>
          <w:p w:rsidR="004E2069" w:rsidRPr="003A349A" w:rsidRDefault="004E2069" w:rsidP="0080373F">
            <w:pPr>
              <w:widowControl w:val="0"/>
              <w:ind w:right="254"/>
              <w:jc w:val="right"/>
              <w:rPr>
                <w:sz w:val="22"/>
                <w:szCs w:val="22"/>
              </w:rPr>
            </w:pPr>
            <w:r w:rsidRPr="003A349A">
              <w:rPr>
                <w:sz w:val="22"/>
                <w:szCs w:val="22"/>
              </w:rPr>
              <w:t>82,7</w:t>
            </w:r>
          </w:p>
        </w:tc>
      </w:tr>
      <w:tr w:rsidR="004E2069" w:rsidRPr="003A349A" w:rsidTr="0080373F">
        <w:trPr>
          <w:trHeight w:val="270"/>
        </w:trPr>
        <w:tc>
          <w:tcPr>
            <w:tcW w:w="2955" w:type="pct"/>
            <w:tcBorders>
              <w:top w:val="nil"/>
              <w:bottom w:val="nil"/>
            </w:tcBorders>
            <w:vAlign w:val="bottom"/>
          </w:tcPr>
          <w:p w:rsidR="004E2069" w:rsidRPr="003A349A" w:rsidRDefault="004E2069" w:rsidP="003F3C6E">
            <w:pPr>
              <w:widowControl w:val="0"/>
              <w:tabs>
                <w:tab w:val="left" w:pos="396"/>
              </w:tabs>
              <w:ind w:left="284"/>
              <w:rPr>
                <w:snapToGrid w:val="0"/>
                <w:sz w:val="22"/>
                <w:szCs w:val="22"/>
              </w:rPr>
            </w:pPr>
            <w:r w:rsidRPr="003A349A">
              <w:rPr>
                <w:snapToGrid w:val="0"/>
                <w:sz w:val="22"/>
                <w:szCs w:val="22"/>
              </w:rPr>
              <w:t>- чёрная металлургия</w:t>
            </w:r>
          </w:p>
        </w:tc>
        <w:tc>
          <w:tcPr>
            <w:tcW w:w="757" w:type="pct"/>
            <w:tcBorders>
              <w:top w:val="nil"/>
              <w:bottom w:val="nil"/>
            </w:tcBorders>
            <w:vAlign w:val="bottom"/>
          </w:tcPr>
          <w:p w:rsidR="004E2069" w:rsidRPr="003A349A" w:rsidRDefault="004E2069" w:rsidP="0080373F">
            <w:pPr>
              <w:widowControl w:val="0"/>
              <w:ind w:right="254"/>
              <w:jc w:val="right"/>
              <w:rPr>
                <w:sz w:val="22"/>
                <w:szCs w:val="22"/>
              </w:rPr>
            </w:pPr>
            <w:r w:rsidRPr="003A349A">
              <w:rPr>
                <w:sz w:val="22"/>
                <w:szCs w:val="22"/>
              </w:rPr>
              <w:t>2 925,9</w:t>
            </w:r>
          </w:p>
        </w:tc>
        <w:tc>
          <w:tcPr>
            <w:tcW w:w="606" w:type="pct"/>
            <w:tcBorders>
              <w:top w:val="nil"/>
              <w:bottom w:val="nil"/>
            </w:tcBorders>
            <w:vAlign w:val="bottom"/>
          </w:tcPr>
          <w:p w:rsidR="004E2069" w:rsidRPr="003A349A" w:rsidRDefault="004E2069" w:rsidP="0080373F">
            <w:pPr>
              <w:widowControl w:val="0"/>
              <w:ind w:left="-30" w:right="254"/>
              <w:jc w:val="right"/>
              <w:rPr>
                <w:sz w:val="22"/>
                <w:szCs w:val="22"/>
              </w:rPr>
            </w:pPr>
            <w:r w:rsidRPr="003A349A">
              <w:rPr>
                <w:sz w:val="22"/>
                <w:szCs w:val="22"/>
              </w:rPr>
              <w:t>29,3</w:t>
            </w:r>
          </w:p>
        </w:tc>
        <w:tc>
          <w:tcPr>
            <w:tcW w:w="682" w:type="pct"/>
            <w:tcBorders>
              <w:top w:val="nil"/>
              <w:bottom w:val="nil"/>
            </w:tcBorders>
            <w:vAlign w:val="bottom"/>
          </w:tcPr>
          <w:p w:rsidR="004E2069" w:rsidRPr="003A349A" w:rsidRDefault="004E2069" w:rsidP="0080373F">
            <w:pPr>
              <w:widowControl w:val="0"/>
              <w:ind w:right="254"/>
              <w:jc w:val="right"/>
              <w:rPr>
                <w:sz w:val="22"/>
                <w:szCs w:val="22"/>
              </w:rPr>
            </w:pPr>
            <w:r w:rsidRPr="003A349A">
              <w:rPr>
                <w:sz w:val="22"/>
                <w:szCs w:val="22"/>
              </w:rPr>
              <w:t>199,9</w:t>
            </w:r>
          </w:p>
        </w:tc>
      </w:tr>
      <w:tr w:rsidR="004E2069" w:rsidRPr="003A349A" w:rsidTr="0080373F">
        <w:trPr>
          <w:trHeight w:val="270"/>
        </w:trPr>
        <w:tc>
          <w:tcPr>
            <w:tcW w:w="2955" w:type="pct"/>
            <w:tcBorders>
              <w:top w:val="nil"/>
              <w:bottom w:val="nil"/>
            </w:tcBorders>
            <w:vAlign w:val="bottom"/>
          </w:tcPr>
          <w:p w:rsidR="004E2069" w:rsidRPr="003A349A" w:rsidRDefault="004E2069" w:rsidP="003F3C6E">
            <w:pPr>
              <w:widowControl w:val="0"/>
              <w:tabs>
                <w:tab w:val="left" w:pos="396"/>
              </w:tabs>
              <w:ind w:left="284"/>
              <w:rPr>
                <w:snapToGrid w:val="0"/>
                <w:sz w:val="22"/>
                <w:szCs w:val="22"/>
              </w:rPr>
            </w:pPr>
            <w:r w:rsidRPr="003A349A">
              <w:rPr>
                <w:snapToGrid w:val="0"/>
                <w:sz w:val="22"/>
                <w:szCs w:val="22"/>
              </w:rPr>
              <w:t>- химическая промышленность</w:t>
            </w:r>
          </w:p>
        </w:tc>
        <w:tc>
          <w:tcPr>
            <w:tcW w:w="757" w:type="pct"/>
            <w:tcBorders>
              <w:top w:val="nil"/>
              <w:bottom w:val="nil"/>
            </w:tcBorders>
            <w:vAlign w:val="bottom"/>
          </w:tcPr>
          <w:p w:rsidR="004E2069" w:rsidRPr="003A349A" w:rsidRDefault="004E2069" w:rsidP="0080373F">
            <w:pPr>
              <w:widowControl w:val="0"/>
              <w:ind w:right="254"/>
              <w:jc w:val="right"/>
              <w:rPr>
                <w:sz w:val="22"/>
                <w:szCs w:val="22"/>
              </w:rPr>
            </w:pPr>
            <w:r w:rsidRPr="003A349A">
              <w:rPr>
                <w:sz w:val="22"/>
                <w:szCs w:val="22"/>
              </w:rPr>
              <w:t>191,4</w:t>
            </w:r>
          </w:p>
        </w:tc>
        <w:tc>
          <w:tcPr>
            <w:tcW w:w="606" w:type="pct"/>
            <w:tcBorders>
              <w:top w:val="nil"/>
              <w:bottom w:val="nil"/>
            </w:tcBorders>
            <w:vAlign w:val="bottom"/>
          </w:tcPr>
          <w:p w:rsidR="004E2069" w:rsidRPr="003A349A" w:rsidRDefault="004E2069" w:rsidP="0080373F">
            <w:pPr>
              <w:widowControl w:val="0"/>
              <w:ind w:left="-30" w:right="254"/>
              <w:jc w:val="right"/>
              <w:rPr>
                <w:sz w:val="22"/>
                <w:szCs w:val="22"/>
              </w:rPr>
            </w:pPr>
            <w:r w:rsidRPr="003A349A">
              <w:rPr>
                <w:sz w:val="22"/>
                <w:szCs w:val="22"/>
              </w:rPr>
              <w:t>1,9</w:t>
            </w:r>
          </w:p>
        </w:tc>
        <w:tc>
          <w:tcPr>
            <w:tcW w:w="682" w:type="pct"/>
            <w:tcBorders>
              <w:top w:val="nil"/>
              <w:bottom w:val="nil"/>
            </w:tcBorders>
            <w:vAlign w:val="bottom"/>
          </w:tcPr>
          <w:p w:rsidR="004E2069" w:rsidRPr="003A349A" w:rsidRDefault="004E2069" w:rsidP="0080373F">
            <w:pPr>
              <w:widowControl w:val="0"/>
              <w:ind w:right="254"/>
              <w:jc w:val="right"/>
              <w:rPr>
                <w:sz w:val="22"/>
                <w:szCs w:val="22"/>
              </w:rPr>
            </w:pPr>
            <w:r w:rsidRPr="003A349A">
              <w:rPr>
                <w:sz w:val="22"/>
                <w:szCs w:val="22"/>
              </w:rPr>
              <w:t>98,3</w:t>
            </w:r>
          </w:p>
        </w:tc>
      </w:tr>
      <w:tr w:rsidR="004E2069" w:rsidRPr="003A349A" w:rsidTr="0080373F">
        <w:trPr>
          <w:trHeight w:val="270"/>
        </w:trPr>
        <w:tc>
          <w:tcPr>
            <w:tcW w:w="2955" w:type="pct"/>
            <w:tcBorders>
              <w:top w:val="nil"/>
              <w:bottom w:val="nil"/>
            </w:tcBorders>
            <w:vAlign w:val="bottom"/>
          </w:tcPr>
          <w:p w:rsidR="004E2069" w:rsidRPr="003A349A" w:rsidRDefault="004E2069" w:rsidP="003F3C6E">
            <w:pPr>
              <w:widowControl w:val="0"/>
              <w:tabs>
                <w:tab w:val="left" w:pos="284"/>
                <w:tab w:val="left" w:pos="396"/>
              </w:tabs>
              <w:ind w:left="284"/>
              <w:rPr>
                <w:snapToGrid w:val="0"/>
                <w:sz w:val="22"/>
                <w:szCs w:val="22"/>
              </w:rPr>
            </w:pPr>
            <w:r w:rsidRPr="003A349A">
              <w:rPr>
                <w:snapToGrid w:val="0"/>
                <w:sz w:val="22"/>
                <w:szCs w:val="22"/>
              </w:rPr>
              <w:t>- машиностроение и металлообработка</w:t>
            </w:r>
          </w:p>
        </w:tc>
        <w:tc>
          <w:tcPr>
            <w:tcW w:w="757" w:type="pct"/>
            <w:tcBorders>
              <w:top w:val="nil"/>
              <w:bottom w:val="nil"/>
            </w:tcBorders>
            <w:vAlign w:val="bottom"/>
          </w:tcPr>
          <w:p w:rsidR="004E2069" w:rsidRPr="003A349A" w:rsidRDefault="004E2069" w:rsidP="0080373F">
            <w:pPr>
              <w:widowControl w:val="0"/>
              <w:ind w:right="254"/>
              <w:jc w:val="right"/>
              <w:rPr>
                <w:sz w:val="22"/>
                <w:szCs w:val="22"/>
              </w:rPr>
            </w:pPr>
            <w:r w:rsidRPr="003A349A">
              <w:rPr>
                <w:sz w:val="22"/>
                <w:szCs w:val="22"/>
              </w:rPr>
              <w:t>294,9</w:t>
            </w:r>
          </w:p>
        </w:tc>
        <w:tc>
          <w:tcPr>
            <w:tcW w:w="606" w:type="pct"/>
            <w:tcBorders>
              <w:top w:val="nil"/>
              <w:bottom w:val="nil"/>
            </w:tcBorders>
            <w:vAlign w:val="bottom"/>
          </w:tcPr>
          <w:p w:rsidR="004E2069" w:rsidRPr="003A349A" w:rsidRDefault="004E2069" w:rsidP="0080373F">
            <w:pPr>
              <w:widowControl w:val="0"/>
              <w:ind w:left="-30" w:right="254"/>
              <w:jc w:val="right"/>
              <w:rPr>
                <w:sz w:val="22"/>
                <w:szCs w:val="22"/>
              </w:rPr>
            </w:pPr>
            <w:r w:rsidRPr="003A349A">
              <w:rPr>
                <w:sz w:val="22"/>
                <w:szCs w:val="22"/>
              </w:rPr>
              <w:t>3,0</w:t>
            </w:r>
          </w:p>
        </w:tc>
        <w:tc>
          <w:tcPr>
            <w:tcW w:w="682" w:type="pct"/>
            <w:tcBorders>
              <w:top w:val="nil"/>
              <w:bottom w:val="nil"/>
            </w:tcBorders>
            <w:vAlign w:val="bottom"/>
          </w:tcPr>
          <w:p w:rsidR="004E2069" w:rsidRPr="003A349A" w:rsidRDefault="004E2069" w:rsidP="0080373F">
            <w:pPr>
              <w:widowControl w:val="0"/>
              <w:ind w:right="254"/>
              <w:jc w:val="right"/>
              <w:rPr>
                <w:sz w:val="22"/>
                <w:szCs w:val="22"/>
              </w:rPr>
            </w:pPr>
            <w:r w:rsidRPr="003A349A">
              <w:rPr>
                <w:sz w:val="22"/>
                <w:szCs w:val="22"/>
              </w:rPr>
              <w:t>120,5</w:t>
            </w:r>
          </w:p>
        </w:tc>
      </w:tr>
      <w:tr w:rsidR="004E2069" w:rsidRPr="003A349A" w:rsidTr="0080373F">
        <w:trPr>
          <w:trHeight w:val="270"/>
        </w:trPr>
        <w:tc>
          <w:tcPr>
            <w:tcW w:w="2955" w:type="pct"/>
            <w:tcBorders>
              <w:top w:val="nil"/>
              <w:bottom w:val="nil"/>
            </w:tcBorders>
            <w:vAlign w:val="bottom"/>
          </w:tcPr>
          <w:p w:rsidR="004E2069" w:rsidRPr="003A349A" w:rsidRDefault="004E2069" w:rsidP="003F3C6E">
            <w:pPr>
              <w:widowControl w:val="0"/>
              <w:tabs>
                <w:tab w:val="left" w:pos="284"/>
                <w:tab w:val="left" w:pos="396"/>
              </w:tabs>
              <w:ind w:left="284"/>
              <w:rPr>
                <w:snapToGrid w:val="0"/>
                <w:sz w:val="22"/>
                <w:szCs w:val="22"/>
              </w:rPr>
            </w:pPr>
            <w:r w:rsidRPr="003A349A">
              <w:rPr>
                <w:snapToGrid w:val="0"/>
                <w:sz w:val="22"/>
                <w:szCs w:val="22"/>
              </w:rPr>
              <w:t>- электротехническая промышленность</w:t>
            </w:r>
          </w:p>
        </w:tc>
        <w:tc>
          <w:tcPr>
            <w:tcW w:w="757" w:type="pct"/>
            <w:tcBorders>
              <w:top w:val="nil"/>
              <w:bottom w:val="nil"/>
            </w:tcBorders>
            <w:vAlign w:val="bottom"/>
          </w:tcPr>
          <w:p w:rsidR="004E2069" w:rsidRPr="003A349A" w:rsidRDefault="004E2069" w:rsidP="0080373F">
            <w:pPr>
              <w:widowControl w:val="0"/>
              <w:ind w:right="254"/>
              <w:jc w:val="right"/>
              <w:rPr>
                <w:sz w:val="22"/>
                <w:szCs w:val="22"/>
              </w:rPr>
            </w:pPr>
            <w:r w:rsidRPr="003A349A">
              <w:rPr>
                <w:sz w:val="22"/>
                <w:szCs w:val="22"/>
              </w:rPr>
              <w:t>187,9</w:t>
            </w:r>
          </w:p>
        </w:tc>
        <w:tc>
          <w:tcPr>
            <w:tcW w:w="606" w:type="pct"/>
            <w:tcBorders>
              <w:top w:val="nil"/>
              <w:bottom w:val="nil"/>
            </w:tcBorders>
            <w:vAlign w:val="bottom"/>
          </w:tcPr>
          <w:p w:rsidR="004E2069" w:rsidRPr="003A349A" w:rsidRDefault="004E2069" w:rsidP="0080373F">
            <w:pPr>
              <w:widowControl w:val="0"/>
              <w:ind w:left="-30" w:right="254"/>
              <w:jc w:val="right"/>
              <w:rPr>
                <w:sz w:val="22"/>
                <w:szCs w:val="22"/>
              </w:rPr>
            </w:pPr>
            <w:r w:rsidRPr="003A349A">
              <w:rPr>
                <w:sz w:val="22"/>
                <w:szCs w:val="22"/>
              </w:rPr>
              <w:t>1,9</w:t>
            </w:r>
          </w:p>
        </w:tc>
        <w:tc>
          <w:tcPr>
            <w:tcW w:w="682" w:type="pct"/>
            <w:tcBorders>
              <w:top w:val="nil"/>
              <w:bottom w:val="nil"/>
            </w:tcBorders>
            <w:vAlign w:val="bottom"/>
          </w:tcPr>
          <w:p w:rsidR="004E2069" w:rsidRPr="003A349A" w:rsidRDefault="004E2069" w:rsidP="0080373F">
            <w:pPr>
              <w:widowControl w:val="0"/>
              <w:ind w:right="254"/>
              <w:jc w:val="right"/>
              <w:rPr>
                <w:sz w:val="22"/>
                <w:szCs w:val="22"/>
              </w:rPr>
            </w:pPr>
            <w:r w:rsidRPr="003A349A">
              <w:rPr>
                <w:sz w:val="22"/>
                <w:szCs w:val="22"/>
              </w:rPr>
              <w:t>133,8</w:t>
            </w:r>
          </w:p>
        </w:tc>
      </w:tr>
      <w:tr w:rsidR="004E2069" w:rsidRPr="003A349A" w:rsidTr="0080373F">
        <w:trPr>
          <w:trHeight w:val="60"/>
        </w:trPr>
        <w:tc>
          <w:tcPr>
            <w:tcW w:w="2955" w:type="pct"/>
            <w:tcBorders>
              <w:top w:val="nil"/>
              <w:bottom w:val="nil"/>
            </w:tcBorders>
            <w:vAlign w:val="bottom"/>
          </w:tcPr>
          <w:p w:rsidR="004E2069" w:rsidRPr="003A349A" w:rsidRDefault="004E2069" w:rsidP="003F3C6E">
            <w:pPr>
              <w:widowControl w:val="0"/>
              <w:tabs>
                <w:tab w:val="left" w:pos="284"/>
                <w:tab w:val="left" w:pos="396"/>
              </w:tabs>
              <w:ind w:left="284"/>
              <w:rPr>
                <w:snapToGrid w:val="0"/>
                <w:sz w:val="22"/>
                <w:szCs w:val="22"/>
              </w:rPr>
            </w:pPr>
            <w:r w:rsidRPr="003A349A">
              <w:rPr>
                <w:snapToGrid w:val="0"/>
                <w:sz w:val="22"/>
                <w:szCs w:val="22"/>
              </w:rPr>
              <w:t>- лесная и деревообрабатывающая промышленность</w:t>
            </w:r>
          </w:p>
        </w:tc>
        <w:tc>
          <w:tcPr>
            <w:tcW w:w="757" w:type="pct"/>
            <w:tcBorders>
              <w:top w:val="nil"/>
              <w:bottom w:val="nil"/>
            </w:tcBorders>
            <w:vAlign w:val="bottom"/>
          </w:tcPr>
          <w:p w:rsidR="004E2069" w:rsidRPr="003A349A" w:rsidRDefault="004E2069" w:rsidP="0080373F">
            <w:pPr>
              <w:widowControl w:val="0"/>
              <w:ind w:right="254"/>
              <w:jc w:val="right"/>
              <w:rPr>
                <w:sz w:val="22"/>
                <w:szCs w:val="22"/>
              </w:rPr>
            </w:pPr>
            <w:r w:rsidRPr="003A349A">
              <w:rPr>
                <w:sz w:val="22"/>
                <w:szCs w:val="22"/>
              </w:rPr>
              <w:t>7,6</w:t>
            </w:r>
          </w:p>
        </w:tc>
        <w:tc>
          <w:tcPr>
            <w:tcW w:w="606" w:type="pct"/>
            <w:tcBorders>
              <w:top w:val="nil"/>
              <w:bottom w:val="nil"/>
            </w:tcBorders>
            <w:vAlign w:val="bottom"/>
          </w:tcPr>
          <w:p w:rsidR="004E2069" w:rsidRPr="003A349A" w:rsidRDefault="004E2069" w:rsidP="0080373F">
            <w:pPr>
              <w:widowControl w:val="0"/>
              <w:ind w:left="-30" w:right="254"/>
              <w:jc w:val="right"/>
              <w:rPr>
                <w:sz w:val="22"/>
                <w:szCs w:val="22"/>
              </w:rPr>
            </w:pPr>
            <w:r w:rsidRPr="003A349A">
              <w:rPr>
                <w:sz w:val="22"/>
                <w:szCs w:val="22"/>
              </w:rPr>
              <w:t>0,1</w:t>
            </w:r>
          </w:p>
        </w:tc>
        <w:tc>
          <w:tcPr>
            <w:tcW w:w="682" w:type="pct"/>
            <w:tcBorders>
              <w:top w:val="nil"/>
              <w:bottom w:val="nil"/>
            </w:tcBorders>
            <w:vAlign w:val="bottom"/>
          </w:tcPr>
          <w:p w:rsidR="004E2069" w:rsidRPr="003A349A" w:rsidRDefault="004E2069" w:rsidP="0080373F">
            <w:pPr>
              <w:widowControl w:val="0"/>
              <w:ind w:right="254"/>
              <w:jc w:val="right"/>
              <w:rPr>
                <w:sz w:val="22"/>
                <w:szCs w:val="22"/>
              </w:rPr>
            </w:pPr>
            <w:r w:rsidRPr="003A349A">
              <w:rPr>
                <w:sz w:val="22"/>
                <w:szCs w:val="22"/>
              </w:rPr>
              <w:t>103,3</w:t>
            </w:r>
          </w:p>
        </w:tc>
      </w:tr>
      <w:tr w:rsidR="004E2069" w:rsidRPr="003A349A" w:rsidTr="0080373F">
        <w:trPr>
          <w:trHeight w:val="111"/>
        </w:trPr>
        <w:tc>
          <w:tcPr>
            <w:tcW w:w="2955" w:type="pct"/>
            <w:tcBorders>
              <w:top w:val="nil"/>
              <w:bottom w:val="nil"/>
            </w:tcBorders>
            <w:vAlign w:val="bottom"/>
          </w:tcPr>
          <w:p w:rsidR="004E2069" w:rsidRPr="003A349A" w:rsidRDefault="004E2069" w:rsidP="003F3C6E">
            <w:pPr>
              <w:widowControl w:val="0"/>
              <w:tabs>
                <w:tab w:val="left" w:pos="284"/>
                <w:tab w:val="left" w:pos="396"/>
              </w:tabs>
              <w:ind w:left="284"/>
              <w:rPr>
                <w:snapToGrid w:val="0"/>
                <w:sz w:val="22"/>
                <w:szCs w:val="22"/>
              </w:rPr>
            </w:pPr>
            <w:r w:rsidRPr="003A349A">
              <w:rPr>
                <w:snapToGrid w:val="0"/>
                <w:sz w:val="22"/>
                <w:szCs w:val="22"/>
              </w:rPr>
              <w:t>- промышленность строительных материалов</w:t>
            </w:r>
          </w:p>
        </w:tc>
        <w:tc>
          <w:tcPr>
            <w:tcW w:w="757" w:type="pct"/>
            <w:tcBorders>
              <w:top w:val="nil"/>
              <w:bottom w:val="nil"/>
            </w:tcBorders>
            <w:vAlign w:val="bottom"/>
          </w:tcPr>
          <w:p w:rsidR="004E2069" w:rsidRPr="003A349A" w:rsidRDefault="004E2069" w:rsidP="0080373F">
            <w:pPr>
              <w:widowControl w:val="0"/>
              <w:ind w:right="254"/>
              <w:jc w:val="right"/>
              <w:rPr>
                <w:sz w:val="22"/>
                <w:szCs w:val="22"/>
              </w:rPr>
            </w:pPr>
            <w:r w:rsidRPr="003A349A">
              <w:rPr>
                <w:sz w:val="22"/>
                <w:szCs w:val="22"/>
              </w:rPr>
              <w:t>479,8</w:t>
            </w:r>
          </w:p>
        </w:tc>
        <w:tc>
          <w:tcPr>
            <w:tcW w:w="606" w:type="pct"/>
            <w:tcBorders>
              <w:top w:val="nil"/>
              <w:bottom w:val="nil"/>
            </w:tcBorders>
            <w:vAlign w:val="bottom"/>
          </w:tcPr>
          <w:p w:rsidR="004E2069" w:rsidRPr="003A349A" w:rsidRDefault="004E2069" w:rsidP="0080373F">
            <w:pPr>
              <w:widowControl w:val="0"/>
              <w:ind w:left="-30" w:right="254"/>
              <w:jc w:val="right"/>
              <w:rPr>
                <w:sz w:val="22"/>
                <w:szCs w:val="22"/>
              </w:rPr>
            </w:pPr>
            <w:r w:rsidRPr="003A349A">
              <w:rPr>
                <w:sz w:val="22"/>
                <w:szCs w:val="22"/>
              </w:rPr>
              <w:t>4,8</w:t>
            </w:r>
          </w:p>
        </w:tc>
        <w:tc>
          <w:tcPr>
            <w:tcW w:w="682" w:type="pct"/>
            <w:tcBorders>
              <w:top w:val="nil"/>
              <w:bottom w:val="nil"/>
            </w:tcBorders>
            <w:vAlign w:val="bottom"/>
          </w:tcPr>
          <w:p w:rsidR="004E2069" w:rsidRPr="003A349A" w:rsidRDefault="004E2069" w:rsidP="0080373F">
            <w:pPr>
              <w:widowControl w:val="0"/>
              <w:ind w:right="254"/>
              <w:jc w:val="right"/>
              <w:rPr>
                <w:sz w:val="22"/>
                <w:szCs w:val="22"/>
              </w:rPr>
            </w:pPr>
            <w:r w:rsidRPr="003A349A">
              <w:rPr>
                <w:sz w:val="22"/>
                <w:szCs w:val="22"/>
              </w:rPr>
              <w:t>104,1</w:t>
            </w:r>
          </w:p>
        </w:tc>
      </w:tr>
      <w:tr w:rsidR="004E2069" w:rsidRPr="003A349A" w:rsidTr="0080373F">
        <w:trPr>
          <w:trHeight w:val="240"/>
        </w:trPr>
        <w:tc>
          <w:tcPr>
            <w:tcW w:w="2955" w:type="pct"/>
            <w:tcBorders>
              <w:top w:val="nil"/>
              <w:bottom w:val="nil"/>
            </w:tcBorders>
            <w:vAlign w:val="bottom"/>
          </w:tcPr>
          <w:p w:rsidR="004E2069" w:rsidRPr="003A349A" w:rsidRDefault="004E2069" w:rsidP="003F3C6E">
            <w:pPr>
              <w:widowControl w:val="0"/>
              <w:tabs>
                <w:tab w:val="left" w:pos="284"/>
                <w:tab w:val="left" w:pos="396"/>
              </w:tabs>
              <w:ind w:left="284"/>
              <w:rPr>
                <w:snapToGrid w:val="0"/>
                <w:sz w:val="22"/>
                <w:szCs w:val="22"/>
              </w:rPr>
            </w:pPr>
            <w:r w:rsidRPr="003A349A">
              <w:rPr>
                <w:snapToGrid w:val="0"/>
                <w:sz w:val="22"/>
                <w:szCs w:val="22"/>
              </w:rPr>
              <w:t>- лёгкая промышленность</w:t>
            </w:r>
          </w:p>
        </w:tc>
        <w:tc>
          <w:tcPr>
            <w:tcW w:w="757" w:type="pct"/>
            <w:tcBorders>
              <w:top w:val="nil"/>
              <w:bottom w:val="nil"/>
            </w:tcBorders>
            <w:vAlign w:val="bottom"/>
          </w:tcPr>
          <w:p w:rsidR="004E2069" w:rsidRPr="003A349A" w:rsidRDefault="004E2069" w:rsidP="0080373F">
            <w:pPr>
              <w:widowControl w:val="0"/>
              <w:ind w:right="254"/>
              <w:jc w:val="right"/>
              <w:rPr>
                <w:sz w:val="22"/>
                <w:szCs w:val="22"/>
              </w:rPr>
            </w:pPr>
            <w:r w:rsidRPr="003A349A">
              <w:rPr>
                <w:sz w:val="22"/>
                <w:szCs w:val="22"/>
              </w:rPr>
              <w:t>1 349,5</w:t>
            </w:r>
          </w:p>
        </w:tc>
        <w:tc>
          <w:tcPr>
            <w:tcW w:w="606" w:type="pct"/>
            <w:tcBorders>
              <w:top w:val="nil"/>
              <w:bottom w:val="nil"/>
            </w:tcBorders>
            <w:vAlign w:val="bottom"/>
          </w:tcPr>
          <w:p w:rsidR="004E2069" w:rsidRPr="003A349A" w:rsidRDefault="004E2069" w:rsidP="0080373F">
            <w:pPr>
              <w:widowControl w:val="0"/>
              <w:ind w:left="-30" w:right="254"/>
              <w:jc w:val="right"/>
              <w:rPr>
                <w:sz w:val="22"/>
                <w:szCs w:val="22"/>
              </w:rPr>
            </w:pPr>
            <w:r w:rsidRPr="003A349A">
              <w:rPr>
                <w:sz w:val="22"/>
                <w:szCs w:val="22"/>
              </w:rPr>
              <w:t>13,5</w:t>
            </w:r>
          </w:p>
        </w:tc>
        <w:tc>
          <w:tcPr>
            <w:tcW w:w="682" w:type="pct"/>
            <w:tcBorders>
              <w:top w:val="nil"/>
              <w:bottom w:val="nil"/>
            </w:tcBorders>
            <w:vAlign w:val="bottom"/>
          </w:tcPr>
          <w:p w:rsidR="004E2069" w:rsidRPr="003A349A" w:rsidRDefault="004E2069" w:rsidP="0080373F">
            <w:pPr>
              <w:widowControl w:val="0"/>
              <w:ind w:right="254"/>
              <w:jc w:val="right"/>
              <w:rPr>
                <w:sz w:val="22"/>
                <w:szCs w:val="22"/>
              </w:rPr>
            </w:pPr>
            <w:r w:rsidRPr="003A349A">
              <w:rPr>
                <w:sz w:val="22"/>
                <w:szCs w:val="22"/>
              </w:rPr>
              <w:t>104,2</w:t>
            </w:r>
          </w:p>
        </w:tc>
      </w:tr>
      <w:tr w:rsidR="004E2069" w:rsidRPr="003A349A" w:rsidTr="0080373F">
        <w:trPr>
          <w:trHeight w:val="240"/>
        </w:trPr>
        <w:tc>
          <w:tcPr>
            <w:tcW w:w="2955" w:type="pct"/>
            <w:tcBorders>
              <w:top w:val="nil"/>
              <w:bottom w:val="nil"/>
            </w:tcBorders>
            <w:vAlign w:val="bottom"/>
          </w:tcPr>
          <w:p w:rsidR="004E2069" w:rsidRPr="003A349A" w:rsidRDefault="004E2069" w:rsidP="003F3C6E">
            <w:pPr>
              <w:widowControl w:val="0"/>
              <w:tabs>
                <w:tab w:val="left" w:pos="284"/>
                <w:tab w:val="left" w:pos="396"/>
              </w:tabs>
              <w:ind w:left="284"/>
              <w:rPr>
                <w:snapToGrid w:val="0"/>
                <w:sz w:val="22"/>
                <w:szCs w:val="22"/>
              </w:rPr>
            </w:pPr>
            <w:r w:rsidRPr="003A349A">
              <w:rPr>
                <w:snapToGrid w:val="0"/>
                <w:sz w:val="22"/>
                <w:szCs w:val="22"/>
              </w:rPr>
              <w:t>- пищевая промышленность</w:t>
            </w:r>
          </w:p>
        </w:tc>
        <w:tc>
          <w:tcPr>
            <w:tcW w:w="757" w:type="pct"/>
            <w:tcBorders>
              <w:top w:val="nil"/>
              <w:bottom w:val="nil"/>
            </w:tcBorders>
            <w:vAlign w:val="bottom"/>
          </w:tcPr>
          <w:p w:rsidR="004E2069" w:rsidRPr="003A349A" w:rsidRDefault="004E2069" w:rsidP="0080373F">
            <w:pPr>
              <w:widowControl w:val="0"/>
              <w:ind w:right="254"/>
              <w:jc w:val="right"/>
              <w:rPr>
                <w:sz w:val="22"/>
                <w:szCs w:val="22"/>
              </w:rPr>
            </w:pPr>
            <w:r w:rsidRPr="003A349A">
              <w:rPr>
                <w:sz w:val="22"/>
                <w:szCs w:val="22"/>
              </w:rPr>
              <w:t>1 324,9</w:t>
            </w:r>
          </w:p>
        </w:tc>
        <w:tc>
          <w:tcPr>
            <w:tcW w:w="606" w:type="pct"/>
            <w:tcBorders>
              <w:top w:val="nil"/>
              <w:bottom w:val="nil"/>
            </w:tcBorders>
            <w:vAlign w:val="bottom"/>
          </w:tcPr>
          <w:p w:rsidR="004E2069" w:rsidRPr="003A349A" w:rsidRDefault="004E2069" w:rsidP="0080373F">
            <w:pPr>
              <w:widowControl w:val="0"/>
              <w:ind w:left="-30" w:right="254"/>
              <w:jc w:val="right"/>
              <w:rPr>
                <w:sz w:val="22"/>
                <w:szCs w:val="22"/>
              </w:rPr>
            </w:pPr>
            <w:r w:rsidRPr="003A349A">
              <w:rPr>
                <w:sz w:val="22"/>
                <w:szCs w:val="22"/>
              </w:rPr>
              <w:t>13,3</w:t>
            </w:r>
          </w:p>
        </w:tc>
        <w:tc>
          <w:tcPr>
            <w:tcW w:w="682" w:type="pct"/>
            <w:tcBorders>
              <w:top w:val="nil"/>
              <w:bottom w:val="nil"/>
            </w:tcBorders>
            <w:vAlign w:val="bottom"/>
          </w:tcPr>
          <w:p w:rsidR="004E2069" w:rsidRPr="003A349A" w:rsidRDefault="004E2069" w:rsidP="0080373F">
            <w:pPr>
              <w:widowControl w:val="0"/>
              <w:ind w:right="254"/>
              <w:jc w:val="right"/>
              <w:rPr>
                <w:sz w:val="22"/>
                <w:szCs w:val="22"/>
              </w:rPr>
            </w:pPr>
            <w:r w:rsidRPr="003A349A">
              <w:rPr>
                <w:sz w:val="22"/>
                <w:szCs w:val="22"/>
              </w:rPr>
              <w:t>114,8</w:t>
            </w:r>
          </w:p>
        </w:tc>
      </w:tr>
      <w:tr w:rsidR="004E2069" w:rsidRPr="003A349A" w:rsidTr="0080373F">
        <w:trPr>
          <w:trHeight w:val="71"/>
        </w:trPr>
        <w:tc>
          <w:tcPr>
            <w:tcW w:w="2955" w:type="pct"/>
            <w:tcBorders>
              <w:top w:val="nil"/>
              <w:bottom w:val="nil"/>
            </w:tcBorders>
            <w:vAlign w:val="bottom"/>
          </w:tcPr>
          <w:p w:rsidR="004E2069" w:rsidRPr="003A349A" w:rsidRDefault="004E2069" w:rsidP="003F3C6E">
            <w:pPr>
              <w:widowControl w:val="0"/>
              <w:tabs>
                <w:tab w:val="left" w:pos="284"/>
                <w:tab w:val="left" w:pos="396"/>
              </w:tabs>
              <w:ind w:left="284"/>
              <w:rPr>
                <w:snapToGrid w:val="0"/>
                <w:sz w:val="22"/>
                <w:szCs w:val="22"/>
              </w:rPr>
            </w:pPr>
            <w:r w:rsidRPr="003A349A">
              <w:rPr>
                <w:snapToGrid w:val="0"/>
                <w:sz w:val="22"/>
                <w:szCs w:val="22"/>
              </w:rPr>
              <w:t>- мукомольно-крупяная и комбикормовая промышленность</w:t>
            </w:r>
          </w:p>
        </w:tc>
        <w:tc>
          <w:tcPr>
            <w:tcW w:w="757" w:type="pct"/>
            <w:tcBorders>
              <w:top w:val="nil"/>
              <w:bottom w:val="nil"/>
            </w:tcBorders>
            <w:vAlign w:val="bottom"/>
          </w:tcPr>
          <w:p w:rsidR="004E2069" w:rsidRPr="003A349A" w:rsidRDefault="004E2069" w:rsidP="0080373F">
            <w:pPr>
              <w:widowControl w:val="0"/>
              <w:ind w:right="254"/>
              <w:jc w:val="right"/>
              <w:rPr>
                <w:sz w:val="22"/>
                <w:szCs w:val="22"/>
              </w:rPr>
            </w:pPr>
            <w:r w:rsidRPr="003A349A">
              <w:rPr>
                <w:sz w:val="22"/>
                <w:szCs w:val="22"/>
              </w:rPr>
              <w:t>122,1</w:t>
            </w:r>
          </w:p>
        </w:tc>
        <w:tc>
          <w:tcPr>
            <w:tcW w:w="606" w:type="pct"/>
            <w:tcBorders>
              <w:top w:val="nil"/>
              <w:bottom w:val="nil"/>
            </w:tcBorders>
            <w:vAlign w:val="bottom"/>
          </w:tcPr>
          <w:p w:rsidR="004E2069" w:rsidRPr="003A349A" w:rsidRDefault="004E2069" w:rsidP="0080373F">
            <w:pPr>
              <w:widowControl w:val="0"/>
              <w:ind w:left="-30" w:right="254"/>
              <w:jc w:val="right"/>
              <w:rPr>
                <w:sz w:val="22"/>
                <w:szCs w:val="22"/>
              </w:rPr>
            </w:pPr>
            <w:r w:rsidRPr="003A349A">
              <w:rPr>
                <w:sz w:val="22"/>
                <w:szCs w:val="22"/>
              </w:rPr>
              <w:t>1,2</w:t>
            </w:r>
          </w:p>
        </w:tc>
        <w:tc>
          <w:tcPr>
            <w:tcW w:w="682" w:type="pct"/>
            <w:tcBorders>
              <w:top w:val="nil"/>
              <w:bottom w:val="nil"/>
            </w:tcBorders>
            <w:vAlign w:val="bottom"/>
          </w:tcPr>
          <w:p w:rsidR="004E2069" w:rsidRPr="003A349A" w:rsidRDefault="004E2069" w:rsidP="0080373F">
            <w:pPr>
              <w:widowControl w:val="0"/>
              <w:ind w:right="254"/>
              <w:jc w:val="right"/>
              <w:rPr>
                <w:sz w:val="22"/>
                <w:szCs w:val="22"/>
              </w:rPr>
            </w:pPr>
            <w:r w:rsidRPr="003A349A">
              <w:rPr>
                <w:sz w:val="22"/>
                <w:szCs w:val="22"/>
              </w:rPr>
              <w:t>119,4</w:t>
            </w:r>
          </w:p>
        </w:tc>
      </w:tr>
      <w:tr w:rsidR="004E2069" w:rsidRPr="003A349A" w:rsidTr="0080373F">
        <w:trPr>
          <w:trHeight w:val="141"/>
        </w:trPr>
        <w:tc>
          <w:tcPr>
            <w:tcW w:w="2955" w:type="pct"/>
            <w:tcBorders>
              <w:top w:val="nil"/>
            </w:tcBorders>
            <w:vAlign w:val="bottom"/>
          </w:tcPr>
          <w:p w:rsidR="004E2069" w:rsidRPr="003A349A" w:rsidRDefault="004E2069" w:rsidP="003F3C6E">
            <w:pPr>
              <w:widowControl w:val="0"/>
              <w:tabs>
                <w:tab w:val="left" w:pos="396"/>
              </w:tabs>
              <w:ind w:left="284"/>
              <w:rPr>
                <w:snapToGrid w:val="0"/>
                <w:sz w:val="22"/>
                <w:szCs w:val="22"/>
              </w:rPr>
            </w:pPr>
            <w:r w:rsidRPr="003A349A">
              <w:rPr>
                <w:snapToGrid w:val="0"/>
                <w:sz w:val="22"/>
                <w:szCs w:val="22"/>
              </w:rPr>
              <w:t>- полиграфическая промышленность</w:t>
            </w:r>
          </w:p>
        </w:tc>
        <w:tc>
          <w:tcPr>
            <w:tcW w:w="757" w:type="pct"/>
            <w:tcBorders>
              <w:top w:val="nil"/>
            </w:tcBorders>
            <w:vAlign w:val="bottom"/>
          </w:tcPr>
          <w:p w:rsidR="004E2069" w:rsidRPr="003A349A" w:rsidRDefault="004E2069" w:rsidP="0080373F">
            <w:pPr>
              <w:widowControl w:val="0"/>
              <w:ind w:right="254"/>
              <w:jc w:val="right"/>
              <w:rPr>
                <w:sz w:val="22"/>
                <w:szCs w:val="22"/>
              </w:rPr>
            </w:pPr>
            <w:r w:rsidRPr="003A349A">
              <w:rPr>
                <w:sz w:val="22"/>
                <w:szCs w:val="22"/>
              </w:rPr>
              <w:t>20,9</w:t>
            </w:r>
          </w:p>
        </w:tc>
        <w:tc>
          <w:tcPr>
            <w:tcW w:w="606" w:type="pct"/>
            <w:tcBorders>
              <w:top w:val="nil"/>
            </w:tcBorders>
            <w:vAlign w:val="bottom"/>
          </w:tcPr>
          <w:p w:rsidR="004E2069" w:rsidRPr="003A349A" w:rsidRDefault="004E2069" w:rsidP="0080373F">
            <w:pPr>
              <w:widowControl w:val="0"/>
              <w:ind w:left="-30" w:right="254"/>
              <w:jc w:val="right"/>
              <w:rPr>
                <w:sz w:val="22"/>
                <w:szCs w:val="22"/>
              </w:rPr>
            </w:pPr>
            <w:r w:rsidRPr="003A349A">
              <w:rPr>
                <w:sz w:val="22"/>
                <w:szCs w:val="22"/>
              </w:rPr>
              <w:t>0,2</w:t>
            </w:r>
          </w:p>
        </w:tc>
        <w:tc>
          <w:tcPr>
            <w:tcW w:w="682" w:type="pct"/>
            <w:tcBorders>
              <w:top w:val="nil"/>
            </w:tcBorders>
            <w:vAlign w:val="bottom"/>
          </w:tcPr>
          <w:p w:rsidR="004E2069" w:rsidRPr="003A349A" w:rsidRDefault="004E2069" w:rsidP="0080373F">
            <w:pPr>
              <w:widowControl w:val="0"/>
              <w:ind w:right="254"/>
              <w:jc w:val="right"/>
              <w:rPr>
                <w:sz w:val="22"/>
                <w:szCs w:val="22"/>
              </w:rPr>
            </w:pPr>
            <w:r w:rsidRPr="003A349A">
              <w:rPr>
                <w:sz w:val="22"/>
                <w:szCs w:val="22"/>
              </w:rPr>
              <w:t>71,6</w:t>
            </w:r>
          </w:p>
        </w:tc>
      </w:tr>
    </w:tbl>
    <w:bookmarkEnd w:id="0"/>
    <w:bookmarkEnd w:id="1"/>
    <w:bookmarkEnd w:id="2"/>
    <w:p w:rsidR="004E2069" w:rsidRPr="003A349A" w:rsidRDefault="004E2069" w:rsidP="00DC0A7D">
      <w:pPr>
        <w:widowControl w:val="0"/>
        <w:spacing w:before="120"/>
        <w:ind w:firstLine="425"/>
        <w:jc w:val="both"/>
        <w:rPr>
          <w:sz w:val="24"/>
          <w:szCs w:val="24"/>
        </w:rPr>
      </w:pPr>
      <w:r w:rsidRPr="003A349A">
        <w:rPr>
          <w:sz w:val="24"/>
          <w:szCs w:val="24"/>
        </w:rPr>
        <w:t>Выпуск в электроэнергетике по итогам года составил 3 068,0 млн руб. (4 048,7 млн руб. годом ранее). Вследствие двухмесячного перерыва в экспортных поставках электроэнергии и уменьшения цены её реализации на внешнем рынке выработка предприятий данной отрасли за первые пять месяцев 2017 года сократилась в 1,3 раза по сравнению со значением сопоставимого периода пр</w:t>
      </w:r>
      <w:r>
        <w:rPr>
          <w:sz w:val="24"/>
          <w:szCs w:val="24"/>
        </w:rPr>
        <w:t>едыдуще</w:t>
      </w:r>
      <w:r w:rsidRPr="003A349A">
        <w:rPr>
          <w:sz w:val="24"/>
          <w:szCs w:val="24"/>
        </w:rPr>
        <w:t>го года. Начиная с июня отмечалось наращивание объёмов производства, что позволило сократить разрыв по итогам года до -17,3%. В натуральном выражении выработка достигла 4 063,2 млн кВт/ч, что на 17,4% ниже значения 201</w:t>
      </w:r>
      <w:r>
        <w:rPr>
          <w:sz w:val="24"/>
          <w:szCs w:val="24"/>
        </w:rPr>
        <w:t>6</w:t>
      </w:r>
      <w:r w:rsidRPr="003A349A">
        <w:rPr>
          <w:sz w:val="24"/>
          <w:szCs w:val="24"/>
        </w:rPr>
        <w:t xml:space="preserve"> года. Долевое представление данной отрасли в совокупном выпуске сократилось на 19,4 п.п.</w:t>
      </w:r>
      <w:r>
        <w:rPr>
          <w:sz w:val="24"/>
          <w:szCs w:val="24"/>
        </w:rPr>
        <w:t xml:space="preserve">, до </w:t>
      </w:r>
      <w:r w:rsidRPr="003A349A">
        <w:rPr>
          <w:sz w:val="24"/>
          <w:szCs w:val="24"/>
        </w:rPr>
        <w:t>30,8%.</w:t>
      </w:r>
    </w:p>
    <w:p w:rsidR="004E2069" w:rsidRDefault="004E2069" w:rsidP="00DC0A7D">
      <w:pPr>
        <w:widowControl w:val="0"/>
        <w:ind w:firstLine="425"/>
        <w:jc w:val="both"/>
        <w:rPr>
          <w:sz w:val="24"/>
          <w:szCs w:val="24"/>
        </w:rPr>
      </w:pPr>
      <w:r w:rsidRPr="003A349A">
        <w:rPr>
          <w:sz w:val="24"/>
          <w:szCs w:val="24"/>
        </w:rPr>
        <w:t xml:space="preserve">На фоне предпринятых государством стимулирующих мер деятельность предприятий лёгкой промышленности в отчётном году характеризовалась активизацией производственных процессов: </w:t>
      </w:r>
      <w:r w:rsidRPr="009576E0">
        <w:rPr>
          <w:sz w:val="24"/>
          <w:szCs w:val="24"/>
        </w:rPr>
        <w:t>совокупный выпуск составил 1 349,5 млн руб. (+4,2%), сформировав тем самым 13,5% (-1,3 п.п.) сводного показателя.</w:t>
      </w:r>
      <w:r w:rsidRPr="003A349A">
        <w:rPr>
          <w:sz w:val="24"/>
          <w:szCs w:val="24"/>
        </w:rPr>
        <w:t xml:space="preserve"> </w:t>
      </w:r>
    </w:p>
    <w:p w:rsidR="004E2069" w:rsidRPr="004615D7" w:rsidRDefault="004E2069" w:rsidP="00DC0A7D">
      <w:pPr>
        <w:widowControl w:val="0"/>
        <w:ind w:firstLine="425"/>
        <w:jc w:val="both"/>
        <w:rPr>
          <w:sz w:val="24"/>
          <w:szCs w:val="24"/>
        </w:rPr>
      </w:pPr>
      <w:r w:rsidRPr="004615D7">
        <w:rPr>
          <w:sz w:val="24"/>
          <w:szCs w:val="24"/>
        </w:rPr>
        <w:t xml:space="preserve">Пищевая и мукомольно-крупяная промышленности нарастили объём производства продовольственных товаров на 14,8% (до 1 324,9 млн руб.) и 19,4% (до 122,1 млн руб.) соответственно. </w:t>
      </w:r>
      <w:r>
        <w:rPr>
          <w:sz w:val="24"/>
          <w:szCs w:val="24"/>
        </w:rPr>
        <w:t>Совокупное структурное представление данных отраслей в сводном выпуске сложилось на уровне 14,5% (+0,1 п.п.)</w:t>
      </w:r>
      <w:r w:rsidRPr="004615D7">
        <w:rPr>
          <w:sz w:val="24"/>
          <w:szCs w:val="24"/>
        </w:rPr>
        <w:t>.</w:t>
      </w:r>
    </w:p>
    <w:p w:rsidR="004E2069" w:rsidRDefault="004E2069" w:rsidP="00DC0A7D">
      <w:pPr>
        <w:widowControl w:val="0"/>
        <w:ind w:firstLine="425"/>
        <w:jc w:val="both"/>
        <w:rPr>
          <w:sz w:val="24"/>
          <w:szCs w:val="24"/>
        </w:rPr>
      </w:pPr>
      <w:r w:rsidRPr="004615D7">
        <w:rPr>
          <w:sz w:val="24"/>
          <w:szCs w:val="24"/>
        </w:rPr>
        <w:t>Положительная динамика выпуска, зафиксированная в большинстве отраслей, позволила</w:t>
      </w:r>
      <w:r w:rsidRPr="003A349A">
        <w:rPr>
          <w:sz w:val="24"/>
          <w:szCs w:val="24"/>
        </w:rPr>
        <w:t xml:space="preserve"> в 2017 году достичь значения объёма промышленного производства близкого к максимальному уровню, </w:t>
      </w:r>
      <w:r>
        <w:rPr>
          <w:sz w:val="24"/>
          <w:szCs w:val="24"/>
        </w:rPr>
        <w:t>отмеченному</w:t>
      </w:r>
      <w:r w:rsidRPr="003A349A">
        <w:rPr>
          <w:sz w:val="24"/>
          <w:szCs w:val="24"/>
        </w:rPr>
        <w:t xml:space="preserve"> в 2014 году. Во многом итоговые результаты были обусловлены проведённой девальвацией приднестровского рубля, способствовавше</w:t>
      </w:r>
      <w:r>
        <w:rPr>
          <w:sz w:val="24"/>
          <w:szCs w:val="24"/>
        </w:rPr>
        <w:t>й</w:t>
      </w:r>
      <w:r w:rsidRPr="003A349A">
        <w:rPr>
          <w:sz w:val="24"/>
          <w:szCs w:val="24"/>
        </w:rPr>
        <w:t xml:space="preserve"> </w:t>
      </w:r>
      <w:r w:rsidRPr="00304621">
        <w:rPr>
          <w:sz w:val="24"/>
          <w:szCs w:val="24"/>
        </w:rPr>
        <w:t>повышению конкурентоспособности товаропроизводителей на зарубежных рынках, а также</w:t>
      </w:r>
      <w:r>
        <w:rPr>
          <w:sz w:val="24"/>
          <w:szCs w:val="24"/>
        </w:rPr>
        <w:t xml:space="preserve"> </w:t>
      </w:r>
      <w:r w:rsidRPr="00304621">
        <w:rPr>
          <w:sz w:val="24"/>
          <w:szCs w:val="24"/>
        </w:rPr>
        <w:t>мерами, предпринятыми органами государственной власти в целях улучшения бизнес-климата в республике</w:t>
      </w:r>
      <w:r>
        <w:rPr>
          <w:sz w:val="24"/>
          <w:szCs w:val="24"/>
        </w:rPr>
        <w:t>, и конъюнктурой внешних рынков сбыта приднестровской продукции</w:t>
      </w:r>
      <w:r w:rsidRPr="00304621">
        <w:rPr>
          <w:sz w:val="24"/>
          <w:szCs w:val="24"/>
        </w:rPr>
        <w:t>.</w:t>
      </w:r>
      <w:r w:rsidRPr="003A349A">
        <w:rPr>
          <w:sz w:val="24"/>
          <w:szCs w:val="24"/>
        </w:rPr>
        <w:t xml:space="preserve"> </w:t>
      </w:r>
    </w:p>
    <w:p w:rsidR="004E2069" w:rsidRPr="003A349A" w:rsidRDefault="004E2069" w:rsidP="00DC0A7D">
      <w:pPr>
        <w:widowControl w:val="0"/>
        <w:ind w:firstLine="425"/>
        <w:jc w:val="both"/>
        <w:rPr>
          <w:sz w:val="24"/>
          <w:szCs w:val="24"/>
        </w:rPr>
      </w:pPr>
      <w:r w:rsidRPr="003A349A">
        <w:rPr>
          <w:sz w:val="24"/>
          <w:szCs w:val="24"/>
        </w:rPr>
        <w:t xml:space="preserve">Результаты деятельности сельскохозяйственных организаций в отчётном периоде формировались при вполне благоприятных погодных условиях, что определило достаточно успешные итоги уборочной кампании. Согласно предварительным данным, в 2017 году в республике было намолочено 457,2 тыс. тонн зерновых и зернобобовых культур. </w:t>
      </w:r>
    </w:p>
    <w:p w:rsidR="004E2069" w:rsidRPr="003A349A" w:rsidRDefault="004E2069" w:rsidP="00DC0A7D">
      <w:pPr>
        <w:widowControl w:val="0"/>
        <w:ind w:firstLine="425"/>
        <w:jc w:val="both"/>
        <w:rPr>
          <w:sz w:val="24"/>
          <w:szCs w:val="24"/>
        </w:rPr>
      </w:pPr>
      <w:r w:rsidRPr="003A349A">
        <w:rPr>
          <w:sz w:val="24"/>
          <w:szCs w:val="24"/>
        </w:rPr>
        <w:t xml:space="preserve">В то же время в сравнении с </w:t>
      </w:r>
      <w:r>
        <w:rPr>
          <w:sz w:val="24"/>
          <w:szCs w:val="24"/>
        </w:rPr>
        <w:t>предыдущим</w:t>
      </w:r>
      <w:r w:rsidRPr="003A349A">
        <w:rPr>
          <w:sz w:val="24"/>
          <w:szCs w:val="24"/>
        </w:rPr>
        <w:t xml:space="preserve">, высокоурожайным, годом, когда был собран рекордный для республики урожай зерновых и зернобобовых, намолот данных культур сократился на 81,4 тыс. тонн. На снижение валового сбора повлияло как уменьшение посевных площадей под зерновые культуры, так и снижение средней урожайности </w:t>
      </w:r>
      <w:r>
        <w:rPr>
          <w:sz w:val="24"/>
          <w:szCs w:val="24"/>
        </w:rPr>
        <w:br/>
      </w:r>
      <w:r w:rsidRPr="003A349A">
        <w:rPr>
          <w:sz w:val="24"/>
          <w:szCs w:val="24"/>
        </w:rPr>
        <w:t xml:space="preserve">(в 2017 году – 40,3 ц/га против 44,1 ц/га в 2016 году). Однако если рассматривать урожай зерновых и зернобобовых в динамике за ряд лет, то показатели 2017 года на 60 тыс. тонн выше уровня 2015 года и на 22 тыс. тонн – 2014 года. При этом пшеницы было намолочено 298,4 тыс. тонн, что является одним из самых высоких показателей за последние пять лет. </w:t>
      </w:r>
    </w:p>
    <w:p w:rsidR="004E2069" w:rsidRPr="003A349A" w:rsidRDefault="004E2069" w:rsidP="00DC0A7D">
      <w:pPr>
        <w:ind w:firstLine="425"/>
        <w:jc w:val="both"/>
        <w:rPr>
          <w:sz w:val="24"/>
          <w:szCs w:val="24"/>
        </w:rPr>
      </w:pPr>
      <w:r w:rsidRPr="003A349A">
        <w:rPr>
          <w:sz w:val="24"/>
          <w:szCs w:val="24"/>
        </w:rPr>
        <w:t>По итогам 2017 года на 8,6%</w:t>
      </w:r>
      <w:r>
        <w:rPr>
          <w:sz w:val="24"/>
          <w:szCs w:val="24"/>
        </w:rPr>
        <w:t xml:space="preserve">, до </w:t>
      </w:r>
      <w:r w:rsidRPr="003A349A">
        <w:rPr>
          <w:sz w:val="24"/>
          <w:szCs w:val="24"/>
        </w:rPr>
        <w:t>43,2 тыс. тонн увеличился сбор овощей открытого грунта, что определялось ростом урожайности на 21,6%</w:t>
      </w:r>
      <w:r>
        <w:rPr>
          <w:sz w:val="24"/>
          <w:szCs w:val="24"/>
        </w:rPr>
        <w:t xml:space="preserve">, до </w:t>
      </w:r>
      <w:r w:rsidRPr="003A349A">
        <w:rPr>
          <w:sz w:val="24"/>
          <w:szCs w:val="24"/>
        </w:rPr>
        <w:t>194,2 ц/га в крупных агрофирмах, формирующ</w:t>
      </w:r>
      <w:r>
        <w:rPr>
          <w:sz w:val="24"/>
          <w:szCs w:val="24"/>
        </w:rPr>
        <w:t>их 87,4% совокупного показателя</w:t>
      </w:r>
      <w:r w:rsidRPr="003A349A">
        <w:rPr>
          <w:sz w:val="24"/>
          <w:szCs w:val="24"/>
        </w:rPr>
        <w:t>. После двукратного роста производства овощей защищённого грунта вследствие запуска крупного тепличного комплекса в 2016 году, в отчётном периоде сбор увеличился ещё на 5,5%</w:t>
      </w:r>
      <w:r>
        <w:rPr>
          <w:sz w:val="24"/>
          <w:szCs w:val="24"/>
        </w:rPr>
        <w:t xml:space="preserve">, до </w:t>
      </w:r>
      <w:r w:rsidRPr="003A349A">
        <w:rPr>
          <w:sz w:val="24"/>
          <w:szCs w:val="24"/>
        </w:rPr>
        <w:t>1 026 тонн, из которых на томаты пришлось 71,6%, огурцы – 27,9%. Грибов было выращено 83,8 тонн, что на 9,6% больше, чем годом ранее.</w:t>
      </w:r>
    </w:p>
    <w:p w:rsidR="004E2069" w:rsidRPr="003A349A" w:rsidRDefault="004E2069" w:rsidP="00DC0A7D">
      <w:pPr>
        <w:ind w:firstLine="425"/>
        <w:jc w:val="both"/>
        <w:rPr>
          <w:sz w:val="24"/>
          <w:szCs w:val="24"/>
        </w:rPr>
      </w:pPr>
      <w:r w:rsidRPr="003A349A">
        <w:rPr>
          <w:sz w:val="24"/>
          <w:szCs w:val="24"/>
        </w:rPr>
        <w:t>В сфере животноводства фиксировался рост выращенных скота и птицы (+15,1%</w:t>
      </w:r>
      <w:r>
        <w:rPr>
          <w:sz w:val="24"/>
          <w:szCs w:val="24"/>
        </w:rPr>
        <w:t xml:space="preserve">, до </w:t>
      </w:r>
      <w:r>
        <w:rPr>
          <w:sz w:val="24"/>
          <w:szCs w:val="24"/>
        </w:rPr>
        <w:br/>
      </w:r>
      <w:r w:rsidRPr="003A349A">
        <w:rPr>
          <w:sz w:val="24"/>
          <w:szCs w:val="24"/>
        </w:rPr>
        <w:t xml:space="preserve">6,1 тыс. тонн). Несмотря на уменьшение среднего поголовья коров (-16,6%), увеличение продуктивности молочного стада на 9,5% позволило не допустить существенного снижения производства молока (-3,9%). </w:t>
      </w:r>
      <w:r>
        <w:rPr>
          <w:sz w:val="24"/>
          <w:szCs w:val="24"/>
        </w:rPr>
        <w:t>Однако п</w:t>
      </w:r>
      <w:r w:rsidRPr="003A349A">
        <w:rPr>
          <w:sz w:val="24"/>
          <w:szCs w:val="24"/>
        </w:rPr>
        <w:t xml:space="preserve">роизводство куриных яиц по сравнению с прошлым годом уменьшилось на 34,8%. </w:t>
      </w:r>
    </w:p>
    <w:p w:rsidR="004E2069" w:rsidRPr="003A349A" w:rsidRDefault="004E2069" w:rsidP="00DC0A7D">
      <w:pPr>
        <w:widowControl w:val="0"/>
        <w:ind w:firstLine="425"/>
        <w:jc w:val="both"/>
        <w:rPr>
          <w:sz w:val="24"/>
          <w:szCs w:val="24"/>
        </w:rPr>
      </w:pPr>
      <w:r w:rsidRPr="003A349A">
        <w:rPr>
          <w:sz w:val="24"/>
          <w:szCs w:val="24"/>
        </w:rPr>
        <w:t>Несмотря на сохранение во внутригодовой динамике повышательного тренда, объём инвестиций по-прежнему отставал от базисного уровня. По итогам 2017 года сумма инвестиций в основной капитал (с учётом субъектов малого предпринимательства и индивидуальных застройщиков), согласно предварительной оценке Государственной службы статистики ПМР, составил</w:t>
      </w:r>
      <w:r>
        <w:rPr>
          <w:sz w:val="24"/>
          <w:szCs w:val="24"/>
        </w:rPr>
        <w:t>а</w:t>
      </w:r>
      <w:r w:rsidRPr="003A349A">
        <w:rPr>
          <w:sz w:val="24"/>
          <w:szCs w:val="24"/>
        </w:rPr>
        <w:t xml:space="preserve"> 939,1 млн руб., что на 30,9% уступило базисному показателю. Наибольшая инвестиционная активность традиционно была зафиксирована в IV квартале, на который пришлось более трети годового объёма инвестиций. Однако этого оказалось недостаточно для достижения базисных </w:t>
      </w:r>
      <w:r w:rsidRPr="00EB4D78">
        <w:rPr>
          <w:sz w:val="24"/>
          <w:szCs w:val="24"/>
        </w:rPr>
        <w:t>параметров (-21,1%).</w:t>
      </w:r>
      <w:r w:rsidRPr="003A349A">
        <w:rPr>
          <w:sz w:val="24"/>
          <w:szCs w:val="24"/>
        </w:rPr>
        <w:t xml:space="preserve"> </w:t>
      </w:r>
    </w:p>
    <w:p w:rsidR="004E2069" w:rsidRPr="003A349A" w:rsidRDefault="004E2069" w:rsidP="00DC0A7D">
      <w:pPr>
        <w:widowControl w:val="0"/>
        <w:ind w:firstLine="425"/>
        <w:jc w:val="both"/>
        <w:rPr>
          <w:sz w:val="24"/>
          <w:szCs w:val="24"/>
        </w:rPr>
      </w:pPr>
      <w:r w:rsidRPr="003A349A">
        <w:rPr>
          <w:sz w:val="24"/>
          <w:szCs w:val="24"/>
        </w:rPr>
        <w:t xml:space="preserve">На строительство, реконструкцию и техническое перевооружение объектов производственного назначения было использовано 573,1 млн руб. (-30,9%). Объём инвестиций </w:t>
      </w:r>
      <w:r w:rsidRPr="00EB4D78">
        <w:rPr>
          <w:sz w:val="24"/>
          <w:szCs w:val="24"/>
        </w:rPr>
        <w:t>в социальную инфраструктуру ввиду завершения ряда некоммерческих программ сузился на 21,0%, до 201,4 млн</w:t>
      </w:r>
      <w:r w:rsidRPr="003A349A">
        <w:rPr>
          <w:sz w:val="24"/>
          <w:szCs w:val="24"/>
        </w:rPr>
        <w:t xml:space="preserve"> руб.</w:t>
      </w:r>
    </w:p>
    <w:p w:rsidR="004E2069" w:rsidRPr="00DB67B7" w:rsidRDefault="004E2069" w:rsidP="00DC0A7D">
      <w:pPr>
        <w:widowControl w:val="0"/>
        <w:ind w:firstLine="425"/>
        <w:jc w:val="both"/>
        <w:rPr>
          <w:sz w:val="24"/>
          <w:szCs w:val="24"/>
        </w:rPr>
      </w:pPr>
      <w:r w:rsidRPr="00DB67B7">
        <w:rPr>
          <w:sz w:val="24"/>
          <w:szCs w:val="24"/>
        </w:rPr>
        <w:t xml:space="preserve">В отраслевом разрезе динамика капитальных вложений была разнонаправленной. Отдельные сегменты экономики характеризовались ростом инвестиционной активности. Так, в сельском хозяйстве на проекты долгосрочного развития было выделено 102,0 млн руб., что в 1,5 раза превысило базисное значение. Также в 1,5 раза, до 66,5 млн руб., расширилось инвестиционное финансирование здравоохранения. Увеличение объёмов </w:t>
      </w:r>
      <w:r w:rsidRPr="006E047D">
        <w:rPr>
          <w:sz w:val="24"/>
          <w:szCs w:val="24"/>
        </w:rPr>
        <w:t>капитальных вложений</w:t>
      </w:r>
      <w:r w:rsidRPr="00DB67B7">
        <w:rPr>
          <w:sz w:val="24"/>
          <w:szCs w:val="24"/>
        </w:rPr>
        <w:t xml:space="preserve"> отмечалось в сфере жилищного строительства (рост в 2,4 раза</w:t>
      </w:r>
      <w:r>
        <w:rPr>
          <w:sz w:val="24"/>
          <w:szCs w:val="24"/>
        </w:rPr>
        <w:t xml:space="preserve">, до </w:t>
      </w:r>
      <w:r w:rsidRPr="00DB67B7">
        <w:rPr>
          <w:sz w:val="24"/>
          <w:szCs w:val="24"/>
        </w:rPr>
        <w:t>9,4 млн руб.).</w:t>
      </w:r>
    </w:p>
    <w:p w:rsidR="004E2069" w:rsidRPr="00DB67B7" w:rsidRDefault="004E2069" w:rsidP="00DC0A7D">
      <w:pPr>
        <w:ind w:firstLine="425"/>
        <w:jc w:val="both"/>
        <w:rPr>
          <w:sz w:val="24"/>
          <w:szCs w:val="24"/>
        </w:rPr>
      </w:pPr>
      <w:r w:rsidRPr="00DB67B7">
        <w:rPr>
          <w:sz w:val="24"/>
          <w:szCs w:val="24"/>
        </w:rPr>
        <w:t xml:space="preserve">Наибольший объём </w:t>
      </w:r>
      <w:r>
        <w:rPr>
          <w:sz w:val="24"/>
          <w:szCs w:val="24"/>
        </w:rPr>
        <w:t>инвестиций в основной капитал</w:t>
      </w:r>
      <w:r w:rsidRPr="00DB67B7">
        <w:rPr>
          <w:sz w:val="24"/>
          <w:szCs w:val="24"/>
        </w:rPr>
        <w:t xml:space="preserve"> (37,4%), несмотря на спад к базисному уровню, традиционно характерен для хозяйствующих субъектов индустрии: за 2017 год </w:t>
      </w:r>
      <w:r>
        <w:rPr>
          <w:sz w:val="24"/>
          <w:szCs w:val="24"/>
        </w:rPr>
        <w:t>он</w:t>
      </w:r>
      <w:r w:rsidRPr="00DB67B7">
        <w:rPr>
          <w:sz w:val="24"/>
          <w:szCs w:val="24"/>
        </w:rPr>
        <w:t xml:space="preserve"> сократил</w:t>
      </w:r>
      <w:r>
        <w:rPr>
          <w:sz w:val="24"/>
          <w:szCs w:val="24"/>
        </w:rPr>
        <w:t>ся</w:t>
      </w:r>
      <w:r w:rsidRPr="00DB67B7">
        <w:rPr>
          <w:sz w:val="24"/>
          <w:szCs w:val="24"/>
        </w:rPr>
        <w:t xml:space="preserve"> на 33,8%</w:t>
      </w:r>
      <w:r>
        <w:rPr>
          <w:sz w:val="24"/>
          <w:szCs w:val="24"/>
        </w:rPr>
        <w:t xml:space="preserve">, до </w:t>
      </w:r>
      <w:r w:rsidRPr="00DB67B7">
        <w:rPr>
          <w:sz w:val="24"/>
          <w:szCs w:val="24"/>
        </w:rPr>
        <w:t>289,4 млн руб. Отставание показателя от прошлогоднего уровня более чем в 2,5 раза фиксировалось на предприятиях связи (47,6 млн руб.) и строительства (3,9 млн руб.). Понижательная динамика также отмечена в сфере образования (в 2,1 раза</w:t>
      </w:r>
      <w:r>
        <w:rPr>
          <w:sz w:val="24"/>
          <w:szCs w:val="24"/>
        </w:rPr>
        <w:t xml:space="preserve">, до </w:t>
      </w:r>
      <w:r w:rsidRPr="00DB67B7">
        <w:rPr>
          <w:sz w:val="24"/>
          <w:szCs w:val="24"/>
        </w:rPr>
        <w:t>51,1 млн руб.), транспорта (в 1,6 раза</w:t>
      </w:r>
      <w:r>
        <w:rPr>
          <w:sz w:val="24"/>
          <w:szCs w:val="24"/>
        </w:rPr>
        <w:t xml:space="preserve">, до </w:t>
      </w:r>
      <w:r w:rsidRPr="00DB67B7">
        <w:rPr>
          <w:sz w:val="24"/>
          <w:szCs w:val="24"/>
        </w:rPr>
        <w:t>35,9 млн руб.), социального обеспечения (в 1,4 раза</w:t>
      </w:r>
      <w:r>
        <w:rPr>
          <w:sz w:val="24"/>
          <w:szCs w:val="24"/>
        </w:rPr>
        <w:t xml:space="preserve">, до </w:t>
      </w:r>
      <w:r w:rsidRPr="00DB67B7">
        <w:rPr>
          <w:sz w:val="24"/>
          <w:szCs w:val="24"/>
        </w:rPr>
        <w:t>0,6 млн руб.) и торговли (в 1,2 раза</w:t>
      </w:r>
      <w:r>
        <w:rPr>
          <w:sz w:val="24"/>
          <w:szCs w:val="24"/>
        </w:rPr>
        <w:t xml:space="preserve">, до </w:t>
      </w:r>
      <w:r w:rsidRPr="00DB67B7">
        <w:rPr>
          <w:sz w:val="24"/>
          <w:szCs w:val="24"/>
        </w:rPr>
        <w:t xml:space="preserve">88,6 млн руб.). </w:t>
      </w:r>
    </w:p>
    <w:p w:rsidR="004E2069" w:rsidRPr="008F3857" w:rsidRDefault="004E2069" w:rsidP="00DC0A7D">
      <w:pPr>
        <w:widowControl w:val="0"/>
        <w:autoSpaceDE w:val="0"/>
        <w:autoSpaceDN w:val="0"/>
        <w:adjustRightInd w:val="0"/>
        <w:spacing w:before="120" w:after="120"/>
        <w:ind w:firstLine="425"/>
        <w:jc w:val="both"/>
        <w:rPr>
          <w:i/>
          <w:iCs/>
          <w:sz w:val="24"/>
          <w:szCs w:val="24"/>
        </w:rPr>
      </w:pPr>
      <w:r w:rsidRPr="008F3857">
        <w:rPr>
          <w:i/>
          <w:iCs/>
          <w:sz w:val="24"/>
          <w:szCs w:val="24"/>
        </w:rPr>
        <w:t>Динамика цен</w:t>
      </w:r>
    </w:p>
    <w:p w:rsidR="004E2069" w:rsidRPr="008F3857" w:rsidRDefault="004E2069" w:rsidP="00DC0A7D">
      <w:pPr>
        <w:widowControl w:val="0"/>
        <w:spacing w:before="120"/>
        <w:ind w:firstLine="425"/>
        <w:jc w:val="both"/>
        <w:rPr>
          <w:sz w:val="24"/>
          <w:szCs w:val="24"/>
        </w:rPr>
      </w:pPr>
      <w:r w:rsidRPr="008F3857">
        <w:rPr>
          <w:sz w:val="24"/>
          <w:szCs w:val="24"/>
        </w:rPr>
        <w:t>По данным Государственной службы статистики ПМР, сводный индекс</w:t>
      </w:r>
      <w:r>
        <w:rPr>
          <w:sz w:val="24"/>
          <w:szCs w:val="24"/>
        </w:rPr>
        <w:t xml:space="preserve"> потребительских</w:t>
      </w:r>
      <w:r w:rsidRPr="008F3857">
        <w:rPr>
          <w:sz w:val="24"/>
          <w:szCs w:val="24"/>
        </w:rPr>
        <w:t xml:space="preserve"> цен по итогам 2017 года достиг 111,8% (</w:t>
      </w:r>
      <w:r>
        <w:rPr>
          <w:sz w:val="24"/>
          <w:szCs w:val="24"/>
        </w:rPr>
        <w:t>табл. 1.2</w:t>
      </w:r>
      <w:r w:rsidRPr="008F3857">
        <w:rPr>
          <w:sz w:val="24"/>
          <w:szCs w:val="24"/>
        </w:rPr>
        <w:t xml:space="preserve">). </w:t>
      </w:r>
    </w:p>
    <w:p w:rsidR="004E2069" w:rsidRPr="008F3857" w:rsidRDefault="004E2069" w:rsidP="00DC0A7D">
      <w:pPr>
        <w:widowControl w:val="0"/>
        <w:ind w:firstLine="425"/>
        <w:jc w:val="both"/>
        <w:rPr>
          <w:sz w:val="24"/>
          <w:szCs w:val="24"/>
        </w:rPr>
      </w:pPr>
      <w:r w:rsidRPr="008F3857">
        <w:rPr>
          <w:sz w:val="24"/>
          <w:szCs w:val="24"/>
        </w:rPr>
        <w:t>Расширение масштаба цен во многом коррелировало со стоимостной динамикой на рынках стран – поставщиков товаров народного потребления. Наибольшее влияние на сводный показатель оказал продовольственный сегмент (+8,1 п.п.). В то же время государственное регулирование в сфере естественных монополий позволило минимизировать инфляционное давление на бюджет</w:t>
      </w:r>
      <w:r>
        <w:rPr>
          <w:sz w:val="24"/>
          <w:szCs w:val="24"/>
        </w:rPr>
        <w:t>ы</w:t>
      </w:r>
      <w:r w:rsidRPr="008F3857">
        <w:rPr>
          <w:sz w:val="24"/>
          <w:szCs w:val="24"/>
        </w:rPr>
        <w:t xml:space="preserve"> домохозяйств со стороны сегмента услуг. </w:t>
      </w:r>
    </w:p>
    <w:p w:rsidR="004E2069" w:rsidRPr="008F3857" w:rsidRDefault="004E2069" w:rsidP="00DC0A7D">
      <w:pPr>
        <w:widowControl w:val="0"/>
        <w:spacing w:before="120"/>
        <w:ind w:firstLine="425"/>
        <w:jc w:val="right"/>
        <w:rPr>
          <w:b/>
          <w:i/>
          <w:sz w:val="24"/>
          <w:szCs w:val="24"/>
        </w:rPr>
      </w:pPr>
      <w:r w:rsidRPr="008F3857">
        <w:rPr>
          <w:b/>
          <w:i/>
          <w:sz w:val="24"/>
          <w:szCs w:val="24"/>
        </w:rPr>
        <w:t>Таблица 1.2</w:t>
      </w:r>
    </w:p>
    <w:p w:rsidR="004E2069" w:rsidRPr="008F3857" w:rsidRDefault="004E2069" w:rsidP="00DC0A7D">
      <w:pPr>
        <w:widowControl w:val="0"/>
        <w:spacing w:after="120"/>
        <w:jc w:val="center"/>
        <w:outlineLvl w:val="0"/>
        <w:rPr>
          <w:b/>
          <w:i/>
          <w:sz w:val="24"/>
          <w:szCs w:val="24"/>
        </w:rPr>
      </w:pPr>
      <w:r w:rsidRPr="008F3857">
        <w:rPr>
          <w:b/>
          <w:i/>
          <w:sz w:val="24"/>
          <w:szCs w:val="24"/>
        </w:rPr>
        <w:t>Темпы роста потребительских цен, %</w:t>
      </w:r>
      <w:r w:rsidRPr="008F3857">
        <w:rPr>
          <w:rStyle w:val="FootnoteReference"/>
          <w:b/>
          <w:i/>
          <w:sz w:val="24"/>
          <w:szCs w:val="24"/>
        </w:rPr>
        <w:footnoteReference w:id="4"/>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1192"/>
        <w:gridCol w:w="1193"/>
        <w:gridCol w:w="1193"/>
        <w:gridCol w:w="1193"/>
      </w:tblGrid>
      <w:tr w:rsidR="004E2069" w:rsidRPr="008F3857" w:rsidTr="0080373F">
        <w:trPr>
          <w:cantSplit/>
          <w:trHeight w:val="74"/>
        </w:trPr>
        <w:tc>
          <w:tcPr>
            <w:tcW w:w="4860" w:type="dxa"/>
            <w:shd w:val="clear" w:color="auto" w:fill="CCCCCC"/>
          </w:tcPr>
          <w:p w:rsidR="004E2069" w:rsidRPr="008F3857" w:rsidRDefault="004E2069" w:rsidP="0080373F">
            <w:pPr>
              <w:widowControl w:val="0"/>
              <w:jc w:val="center"/>
              <w:rPr>
                <w:sz w:val="22"/>
                <w:szCs w:val="22"/>
              </w:rPr>
            </w:pPr>
          </w:p>
        </w:tc>
        <w:tc>
          <w:tcPr>
            <w:tcW w:w="1192" w:type="dxa"/>
            <w:tcBorders>
              <w:bottom w:val="double" w:sz="4" w:space="0" w:color="auto"/>
            </w:tcBorders>
            <w:shd w:val="clear" w:color="auto" w:fill="CCCCCC"/>
          </w:tcPr>
          <w:p w:rsidR="004E2069" w:rsidRPr="008F3857" w:rsidRDefault="004E2069" w:rsidP="0080373F">
            <w:pPr>
              <w:widowControl w:val="0"/>
              <w:jc w:val="center"/>
              <w:rPr>
                <w:sz w:val="22"/>
                <w:szCs w:val="22"/>
              </w:rPr>
            </w:pPr>
            <w:r w:rsidRPr="008F3857">
              <w:rPr>
                <w:sz w:val="22"/>
                <w:szCs w:val="22"/>
              </w:rPr>
              <w:t>2014 год</w:t>
            </w:r>
          </w:p>
        </w:tc>
        <w:tc>
          <w:tcPr>
            <w:tcW w:w="1193" w:type="dxa"/>
            <w:tcBorders>
              <w:bottom w:val="double" w:sz="4" w:space="0" w:color="auto"/>
            </w:tcBorders>
            <w:shd w:val="clear" w:color="auto" w:fill="CCCCCC"/>
          </w:tcPr>
          <w:p w:rsidR="004E2069" w:rsidRPr="008F3857" w:rsidRDefault="004E2069" w:rsidP="0080373F">
            <w:pPr>
              <w:widowControl w:val="0"/>
              <w:jc w:val="center"/>
              <w:rPr>
                <w:sz w:val="22"/>
                <w:szCs w:val="22"/>
              </w:rPr>
            </w:pPr>
            <w:r w:rsidRPr="008F3857">
              <w:rPr>
                <w:sz w:val="22"/>
                <w:szCs w:val="22"/>
              </w:rPr>
              <w:t>2015 год</w:t>
            </w:r>
          </w:p>
        </w:tc>
        <w:tc>
          <w:tcPr>
            <w:tcW w:w="1193" w:type="dxa"/>
            <w:tcBorders>
              <w:bottom w:val="double" w:sz="4" w:space="0" w:color="auto"/>
            </w:tcBorders>
            <w:shd w:val="clear" w:color="auto" w:fill="CCCCCC"/>
          </w:tcPr>
          <w:p w:rsidR="004E2069" w:rsidRPr="008F3857" w:rsidRDefault="004E2069" w:rsidP="0080373F">
            <w:pPr>
              <w:widowControl w:val="0"/>
              <w:jc w:val="center"/>
              <w:rPr>
                <w:sz w:val="22"/>
                <w:szCs w:val="22"/>
              </w:rPr>
            </w:pPr>
            <w:r w:rsidRPr="008F3857">
              <w:rPr>
                <w:sz w:val="22"/>
                <w:szCs w:val="22"/>
              </w:rPr>
              <w:t>2016 год</w:t>
            </w:r>
          </w:p>
        </w:tc>
        <w:tc>
          <w:tcPr>
            <w:tcW w:w="1193" w:type="dxa"/>
            <w:tcBorders>
              <w:bottom w:val="double" w:sz="4" w:space="0" w:color="auto"/>
            </w:tcBorders>
            <w:shd w:val="clear" w:color="auto" w:fill="CCCCCC"/>
          </w:tcPr>
          <w:p w:rsidR="004E2069" w:rsidRPr="008F3857" w:rsidRDefault="004E2069" w:rsidP="0080373F">
            <w:pPr>
              <w:widowControl w:val="0"/>
              <w:jc w:val="center"/>
              <w:rPr>
                <w:sz w:val="22"/>
                <w:szCs w:val="22"/>
              </w:rPr>
            </w:pPr>
            <w:r w:rsidRPr="008F3857">
              <w:rPr>
                <w:sz w:val="22"/>
                <w:szCs w:val="22"/>
              </w:rPr>
              <w:t>2017 год</w:t>
            </w:r>
          </w:p>
        </w:tc>
      </w:tr>
      <w:tr w:rsidR="004E2069" w:rsidRPr="008F3857" w:rsidTr="0080373F">
        <w:tc>
          <w:tcPr>
            <w:tcW w:w="4860" w:type="dxa"/>
            <w:tcBorders>
              <w:top w:val="double" w:sz="4" w:space="0" w:color="auto"/>
            </w:tcBorders>
            <w:vAlign w:val="center"/>
          </w:tcPr>
          <w:p w:rsidR="004E2069" w:rsidRPr="008F3857" w:rsidRDefault="004E2069" w:rsidP="0080373F">
            <w:pPr>
              <w:widowControl w:val="0"/>
              <w:jc w:val="both"/>
              <w:rPr>
                <w:sz w:val="22"/>
                <w:szCs w:val="22"/>
              </w:rPr>
            </w:pPr>
            <w:bookmarkStart w:id="3" w:name="_Hlk212860592"/>
            <w:r w:rsidRPr="008F3857">
              <w:rPr>
                <w:sz w:val="22"/>
                <w:szCs w:val="22"/>
              </w:rPr>
              <w:t>Темпы роста цен на продовольственные товары</w:t>
            </w:r>
          </w:p>
        </w:tc>
        <w:tc>
          <w:tcPr>
            <w:tcW w:w="1192" w:type="dxa"/>
            <w:tcBorders>
              <w:top w:val="double" w:sz="4" w:space="0" w:color="auto"/>
            </w:tcBorders>
          </w:tcPr>
          <w:p w:rsidR="004E2069" w:rsidRPr="008F3857" w:rsidRDefault="004E2069" w:rsidP="0080373F">
            <w:pPr>
              <w:widowControl w:val="0"/>
              <w:ind w:right="175"/>
              <w:jc w:val="right"/>
              <w:rPr>
                <w:sz w:val="22"/>
                <w:szCs w:val="22"/>
              </w:rPr>
            </w:pPr>
            <w:r w:rsidRPr="008F3857">
              <w:rPr>
                <w:sz w:val="22"/>
                <w:szCs w:val="22"/>
              </w:rPr>
              <w:t>101,7</w:t>
            </w:r>
          </w:p>
        </w:tc>
        <w:tc>
          <w:tcPr>
            <w:tcW w:w="1193" w:type="dxa"/>
            <w:tcBorders>
              <w:top w:val="double" w:sz="4" w:space="0" w:color="auto"/>
            </w:tcBorders>
          </w:tcPr>
          <w:p w:rsidR="004E2069" w:rsidRPr="008F3857" w:rsidRDefault="004E2069" w:rsidP="0080373F">
            <w:pPr>
              <w:widowControl w:val="0"/>
              <w:ind w:right="175"/>
              <w:jc w:val="right"/>
              <w:rPr>
                <w:sz w:val="22"/>
                <w:szCs w:val="22"/>
              </w:rPr>
            </w:pPr>
            <w:r w:rsidRPr="008F3857">
              <w:rPr>
                <w:sz w:val="22"/>
                <w:szCs w:val="22"/>
              </w:rPr>
              <w:t>95,4</w:t>
            </w:r>
          </w:p>
        </w:tc>
        <w:tc>
          <w:tcPr>
            <w:tcW w:w="1193" w:type="dxa"/>
            <w:tcBorders>
              <w:top w:val="double" w:sz="4" w:space="0" w:color="auto"/>
            </w:tcBorders>
          </w:tcPr>
          <w:p w:rsidR="004E2069" w:rsidRPr="008F3857" w:rsidRDefault="004E2069" w:rsidP="0080373F">
            <w:pPr>
              <w:widowControl w:val="0"/>
              <w:ind w:right="175"/>
              <w:jc w:val="right"/>
              <w:rPr>
                <w:sz w:val="22"/>
                <w:szCs w:val="22"/>
              </w:rPr>
            </w:pPr>
            <w:r w:rsidRPr="008F3857">
              <w:rPr>
                <w:sz w:val="22"/>
                <w:szCs w:val="22"/>
              </w:rPr>
              <w:t>103,8</w:t>
            </w:r>
          </w:p>
        </w:tc>
        <w:tc>
          <w:tcPr>
            <w:tcW w:w="1193" w:type="dxa"/>
            <w:tcBorders>
              <w:top w:val="double" w:sz="4" w:space="0" w:color="auto"/>
            </w:tcBorders>
          </w:tcPr>
          <w:p w:rsidR="004E2069" w:rsidRPr="008F3857" w:rsidRDefault="004E2069" w:rsidP="0080373F">
            <w:pPr>
              <w:widowControl w:val="0"/>
              <w:ind w:right="175"/>
              <w:jc w:val="right"/>
              <w:rPr>
                <w:sz w:val="22"/>
                <w:szCs w:val="22"/>
              </w:rPr>
            </w:pPr>
            <w:r w:rsidRPr="008F3857">
              <w:rPr>
                <w:sz w:val="22"/>
                <w:szCs w:val="22"/>
              </w:rPr>
              <w:t>119,7</w:t>
            </w:r>
          </w:p>
        </w:tc>
      </w:tr>
      <w:tr w:rsidR="004E2069" w:rsidRPr="008F3857" w:rsidTr="0080373F">
        <w:trPr>
          <w:trHeight w:val="62"/>
        </w:trPr>
        <w:tc>
          <w:tcPr>
            <w:tcW w:w="4860" w:type="dxa"/>
            <w:vAlign w:val="center"/>
          </w:tcPr>
          <w:p w:rsidR="004E2069" w:rsidRPr="008F3857" w:rsidRDefault="004E2069" w:rsidP="0080373F">
            <w:pPr>
              <w:widowControl w:val="0"/>
              <w:jc w:val="both"/>
              <w:rPr>
                <w:sz w:val="22"/>
                <w:szCs w:val="22"/>
              </w:rPr>
            </w:pPr>
            <w:r w:rsidRPr="008F3857">
              <w:rPr>
                <w:sz w:val="22"/>
                <w:szCs w:val="22"/>
              </w:rPr>
              <w:t>Темпы роста цен на непродовольственные товары</w:t>
            </w:r>
          </w:p>
        </w:tc>
        <w:tc>
          <w:tcPr>
            <w:tcW w:w="1192" w:type="dxa"/>
            <w:vAlign w:val="bottom"/>
          </w:tcPr>
          <w:p w:rsidR="004E2069" w:rsidRPr="008F3857" w:rsidRDefault="004E2069" w:rsidP="0080373F">
            <w:pPr>
              <w:widowControl w:val="0"/>
              <w:ind w:right="175"/>
              <w:jc w:val="right"/>
              <w:rPr>
                <w:sz w:val="22"/>
                <w:szCs w:val="22"/>
              </w:rPr>
            </w:pPr>
            <w:r w:rsidRPr="008F3857">
              <w:rPr>
                <w:sz w:val="22"/>
                <w:szCs w:val="22"/>
              </w:rPr>
              <w:t>96,6</w:t>
            </w:r>
          </w:p>
        </w:tc>
        <w:tc>
          <w:tcPr>
            <w:tcW w:w="1193" w:type="dxa"/>
            <w:vAlign w:val="bottom"/>
          </w:tcPr>
          <w:p w:rsidR="004E2069" w:rsidRPr="008F3857" w:rsidRDefault="004E2069" w:rsidP="0080373F">
            <w:pPr>
              <w:widowControl w:val="0"/>
              <w:ind w:right="175"/>
              <w:jc w:val="right"/>
              <w:rPr>
                <w:sz w:val="22"/>
                <w:szCs w:val="22"/>
              </w:rPr>
            </w:pPr>
            <w:r w:rsidRPr="008F3857">
              <w:rPr>
                <w:sz w:val="22"/>
                <w:szCs w:val="22"/>
              </w:rPr>
              <w:t>96,9</w:t>
            </w:r>
          </w:p>
        </w:tc>
        <w:tc>
          <w:tcPr>
            <w:tcW w:w="1193" w:type="dxa"/>
            <w:vAlign w:val="bottom"/>
          </w:tcPr>
          <w:p w:rsidR="004E2069" w:rsidRPr="008F3857" w:rsidRDefault="004E2069" w:rsidP="0080373F">
            <w:pPr>
              <w:widowControl w:val="0"/>
              <w:ind w:right="175"/>
              <w:jc w:val="right"/>
              <w:rPr>
                <w:sz w:val="22"/>
                <w:szCs w:val="22"/>
              </w:rPr>
            </w:pPr>
            <w:r w:rsidRPr="008F3857">
              <w:rPr>
                <w:sz w:val="22"/>
                <w:szCs w:val="22"/>
              </w:rPr>
              <w:t>106,9</w:t>
            </w:r>
          </w:p>
        </w:tc>
        <w:tc>
          <w:tcPr>
            <w:tcW w:w="1193" w:type="dxa"/>
            <w:vAlign w:val="bottom"/>
          </w:tcPr>
          <w:p w:rsidR="004E2069" w:rsidRPr="008F3857" w:rsidRDefault="004E2069" w:rsidP="0080373F">
            <w:pPr>
              <w:widowControl w:val="0"/>
              <w:ind w:right="175"/>
              <w:jc w:val="right"/>
              <w:rPr>
                <w:sz w:val="22"/>
                <w:szCs w:val="22"/>
              </w:rPr>
            </w:pPr>
            <w:r w:rsidRPr="008F3857">
              <w:rPr>
                <w:sz w:val="22"/>
                <w:szCs w:val="22"/>
              </w:rPr>
              <w:t>109,9</w:t>
            </w:r>
          </w:p>
        </w:tc>
      </w:tr>
      <w:tr w:rsidR="004E2069" w:rsidRPr="008F3857" w:rsidTr="0080373F">
        <w:trPr>
          <w:trHeight w:val="62"/>
        </w:trPr>
        <w:tc>
          <w:tcPr>
            <w:tcW w:w="4860" w:type="dxa"/>
          </w:tcPr>
          <w:p w:rsidR="004E2069" w:rsidRPr="008F3857" w:rsidRDefault="004E2069" w:rsidP="0080373F">
            <w:pPr>
              <w:widowControl w:val="0"/>
              <w:jc w:val="both"/>
              <w:rPr>
                <w:sz w:val="22"/>
                <w:szCs w:val="22"/>
              </w:rPr>
            </w:pPr>
            <w:r w:rsidRPr="008F3857">
              <w:rPr>
                <w:sz w:val="22"/>
                <w:szCs w:val="22"/>
              </w:rPr>
              <w:t>Темпы роста тарифов на услуги</w:t>
            </w:r>
          </w:p>
        </w:tc>
        <w:tc>
          <w:tcPr>
            <w:tcW w:w="1192" w:type="dxa"/>
          </w:tcPr>
          <w:p w:rsidR="004E2069" w:rsidRPr="008F3857" w:rsidRDefault="004E2069" w:rsidP="0080373F">
            <w:pPr>
              <w:widowControl w:val="0"/>
              <w:ind w:right="175"/>
              <w:jc w:val="right"/>
              <w:rPr>
                <w:sz w:val="22"/>
                <w:szCs w:val="22"/>
              </w:rPr>
            </w:pPr>
            <w:r w:rsidRPr="008F3857">
              <w:rPr>
                <w:sz w:val="22"/>
                <w:szCs w:val="22"/>
              </w:rPr>
              <w:t>107,7</w:t>
            </w:r>
          </w:p>
        </w:tc>
        <w:tc>
          <w:tcPr>
            <w:tcW w:w="1193" w:type="dxa"/>
          </w:tcPr>
          <w:p w:rsidR="004E2069" w:rsidRPr="008F3857" w:rsidRDefault="004E2069" w:rsidP="0080373F">
            <w:pPr>
              <w:widowControl w:val="0"/>
              <w:ind w:right="175"/>
              <w:jc w:val="right"/>
              <w:rPr>
                <w:sz w:val="22"/>
                <w:szCs w:val="22"/>
              </w:rPr>
            </w:pPr>
            <w:r w:rsidRPr="008F3857">
              <w:rPr>
                <w:sz w:val="22"/>
                <w:szCs w:val="22"/>
              </w:rPr>
              <w:t>105,9</w:t>
            </w:r>
          </w:p>
        </w:tc>
        <w:tc>
          <w:tcPr>
            <w:tcW w:w="1193" w:type="dxa"/>
          </w:tcPr>
          <w:p w:rsidR="004E2069" w:rsidRPr="008F3857" w:rsidRDefault="004E2069" w:rsidP="0080373F">
            <w:pPr>
              <w:widowControl w:val="0"/>
              <w:ind w:right="175"/>
              <w:jc w:val="right"/>
              <w:rPr>
                <w:sz w:val="22"/>
                <w:szCs w:val="22"/>
              </w:rPr>
            </w:pPr>
            <w:r w:rsidRPr="008F3857">
              <w:rPr>
                <w:sz w:val="22"/>
                <w:szCs w:val="22"/>
              </w:rPr>
              <w:t>101,5</w:t>
            </w:r>
          </w:p>
        </w:tc>
        <w:tc>
          <w:tcPr>
            <w:tcW w:w="1193" w:type="dxa"/>
          </w:tcPr>
          <w:p w:rsidR="004E2069" w:rsidRPr="008F3857" w:rsidRDefault="004E2069" w:rsidP="0080373F">
            <w:pPr>
              <w:widowControl w:val="0"/>
              <w:ind w:right="175"/>
              <w:jc w:val="right"/>
              <w:rPr>
                <w:sz w:val="22"/>
                <w:szCs w:val="22"/>
              </w:rPr>
            </w:pPr>
            <w:r w:rsidRPr="008F3857">
              <w:rPr>
                <w:sz w:val="22"/>
                <w:szCs w:val="22"/>
              </w:rPr>
              <w:t>101,7</w:t>
            </w:r>
          </w:p>
        </w:tc>
      </w:tr>
      <w:bookmarkEnd w:id="3"/>
      <w:tr w:rsidR="004E2069" w:rsidRPr="008F3857" w:rsidTr="0080373F">
        <w:trPr>
          <w:trHeight w:val="62"/>
        </w:trPr>
        <w:tc>
          <w:tcPr>
            <w:tcW w:w="4860" w:type="dxa"/>
            <w:shd w:val="clear" w:color="auto" w:fill="E0E0E0"/>
            <w:vAlign w:val="center"/>
          </w:tcPr>
          <w:p w:rsidR="004E2069" w:rsidRPr="008F3857" w:rsidRDefault="004E2069" w:rsidP="0080373F">
            <w:pPr>
              <w:widowControl w:val="0"/>
              <w:jc w:val="both"/>
              <w:rPr>
                <w:sz w:val="22"/>
                <w:szCs w:val="22"/>
              </w:rPr>
            </w:pPr>
            <w:r w:rsidRPr="008F3857">
              <w:rPr>
                <w:sz w:val="22"/>
                <w:szCs w:val="22"/>
              </w:rPr>
              <w:t>Сводный индекс потребительских цен</w:t>
            </w:r>
          </w:p>
        </w:tc>
        <w:tc>
          <w:tcPr>
            <w:tcW w:w="1192" w:type="dxa"/>
            <w:shd w:val="clear" w:color="auto" w:fill="E0E0E0"/>
          </w:tcPr>
          <w:p w:rsidR="004E2069" w:rsidRPr="008F3857" w:rsidRDefault="004E2069" w:rsidP="0080373F">
            <w:pPr>
              <w:widowControl w:val="0"/>
              <w:ind w:right="175"/>
              <w:jc w:val="right"/>
              <w:rPr>
                <w:sz w:val="22"/>
                <w:szCs w:val="22"/>
              </w:rPr>
            </w:pPr>
            <w:r w:rsidRPr="008F3857">
              <w:rPr>
                <w:sz w:val="22"/>
                <w:szCs w:val="22"/>
              </w:rPr>
              <w:t>101,0</w:t>
            </w:r>
          </w:p>
        </w:tc>
        <w:tc>
          <w:tcPr>
            <w:tcW w:w="1193" w:type="dxa"/>
            <w:shd w:val="clear" w:color="auto" w:fill="E0E0E0"/>
          </w:tcPr>
          <w:p w:rsidR="004E2069" w:rsidRPr="008F3857" w:rsidRDefault="004E2069" w:rsidP="0080373F">
            <w:pPr>
              <w:widowControl w:val="0"/>
              <w:ind w:right="175"/>
              <w:jc w:val="right"/>
              <w:rPr>
                <w:sz w:val="22"/>
                <w:szCs w:val="22"/>
              </w:rPr>
            </w:pPr>
            <w:r w:rsidRPr="008F3857">
              <w:rPr>
                <w:sz w:val="22"/>
                <w:szCs w:val="22"/>
              </w:rPr>
              <w:t>98,2</w:t>
            </w:r>
          </w:p>
        </w:tc>
        <w:tc>
          <w:tcPr>
            <w:tcW w:w="1193" w:type="dxa"/>
            <w:shd w:val="clear" w:color="auto" w:fill="E0E0E0"/>
          </w:tcPr>
          <w:p w:rsidR="004E2069" w:rsidRPr="008F3857" w:rsidRDefault="004E2069" w:rsidP="0080373F">
            <w:pPr>
              <w:widowControl w:val="0"/>
              <w:ind w:right="175"/>
              <w:jc w:val="right"/>
              <w:rPr>
                <w:sz w:val="22"/>
                <w:szCs w:val="22"/>
              </w:rPr>
            </w:pPr>
            <w:r w:rsidRPr="008F3857">
              <w:rPr>
                <w:sz w:val="22"/>
                <w:szCs w:val="22"/>
              </w:rPr>
              <w:t>104,4</w:t>
            </w:r>
          </w:p>
        </w:tc>
        <w:tc>
          <w:tcPr>
            <w:tcW w:w="1193" w:type="dxa"/>
            <w:shd w:val="clear" w:color="auto" w:fill="E0E0E0"/>
          </w:tcPr>
          <w:p w:rsidR="004E2069" w:rsidRPr="008F3857" w:rsidRDefault="004E2069" w:rsidP="0080373F">
            <w:pPr>
              <w:widowControl w:val="0"/>
              <w:ind w:right="175"/>
              <w:jc w:val="right"/>
              <w:rPr>
                <w:sz w:val="22"/>
                <w:szCs w:val="22"/>
              </w:rPr>
            </w:pPr>
            <w:r w:rsidRPr="008F3857">
              <w:rPr>
                <w:sz w:val="22"/>
                <w:szCs w:val="22"/>
              </w:rPr>
              <w:t>11</w:t>
            </w:r>
            <w:r>
              <w:rPr>
                <w:sz w:val="22"/>
                <w:szCs w:val="22"/>
              </w:rPr>
              <w:t>1,</w:t>
            </w:r>
            <w:r w:rsidRPr="008F3857">
              <w:rPr>
                <w:sz w:val="22"/>
                <w:szCs w:val="22"/>
              </w:rPr>
              <w:t>8</w:t>
            </w:r>
          </w:p>
        </w:tc>
      </w:tr>
      <w:tr w:rsidR="004E2069" w:rsidRPr="008F3857" w:rsidTr="0080373F">
        <w:trPr>
          <w:trHeight w:val="62"/>
        </w:trPr>
        <w:tc>
          <w:tcPr>
            <w:tcW w:w="4860" w:type="dxa"/>
            <w:vAlign w:val="center"/>
          </w:tcPr>
          <w:p w:rsidR="004E2069" w:rsidRPr="008F3857" w:rsidRDefault="004E2069" w:rsidP="0080373F">
            <w:pPr>
              <w:widowControl w:val="0"/>
              <w:jc w:val="both"/>
              <w:rPr>
                <w:sz w:val="22"/>
                <w:szCs w:val="22"/>
              </w:rPr>
            </w:pPr>
            <w:r w:rsidRPr="008F3857">
              <w:rPr>
                <w:sz w:val="22"/>
                <w:szCs w:val="22"/>
              </w:rPr>
              <w:t>Базовая инфляция</w:t>
            </w:r>
            <w:r w:rsidRPr="008F3857">
              <w:rPr>
                <w:rStyle w:val="FootnoteReference"/>
                <w:sz w:val="22"/>
                <w:szCs w:val="22"/>
              </w:rPr>
              <w:footnoteReference w:id="5"/>
            </w:r>
          </w:p>
        </w:tc>
        <w:tc>
          <w:tcPr>
            <w:tcW w:w="1192" w:type="dxa"/>
          </w:tcPr>
          <w:p w:rsidR="004E2069" w:rsidRPr="008F3857" w:rsidRDefault="004E2069" w:rsidP="0080373F">
            <w:pPr>
              <w:widowControl w:val="0"/>
              <w:ind w:right="175"/>
              <w:jc w:val="right"/>
              <w:rPr>
                <w:sz w:val="22"/>
                <w:szCs w:val="22"/>
              </w:rPr>
            </w:pPr>
            <w:r w:rsidRPr="008F3857">
              <w:rPr>
                <w:sz w:val="22"/>
                <w:szCs w:val="22"/>
              </w:rPr>
              <w:t>97,2</w:t>
            </w:r>
          </w:p>
        </w:tc>
        <w:tc>
          <w:tcPr>
            <w:tcW w:w="1193" w:type="dxa"/>
          </w:tcPr>
          <w:p w:rsidR="004E2069" w:rsidRPr="008F3857" w:rsidRDefault="004E2069" w:rsidP="0080373F">
            <w:pPr>
              <w:widowControl w:val="0"/>
              <w:ind w:right="175"/>
              <w:jc w:val="right"/>
              <w:rPr>
                <w:sz w:val="22"/>
                <w:szCs w:val="22"/>
              </w:rPr>
            </w:pPr>
            <w:r w:rsidRPr="008F3857">
              <w:rPr>
                <w:sz w:val="22"/>
                <w:szCs w:val="22"/>
              </w:rPr>
              <w:t>93,9</w:t>
            </w:r>
          </w:p>
        </w:tc>
        <w:tc>
          <w:tcPr>
            <w:tcW w:w="1193" w:type="dxa"/>
          </w:tcPr>
          <w:p w:rsidR="004E2069" w:rsidRPr="008F3857" w:rsidRDefault="004E2069" w:rsidP="0080373F">
            <w:pPr>
              <w:widowControl w:val="0"/>
              <w:ind w:right="175"/>
              <w:jc w:val="right"/>
              <w:rPr>
                <w:sz w:val="22"/>
                <w:szCs w:val="22"/>
              </w:rPr>
            </w:pPr>
            <w:r w:rsidRPr="008F3857">
              <w:rPr>
                <w:sz w:val="22"/>
                <w:szCs w:val="22"/>
              </w:rPr>
              <w:t>107,1</w:t>
            </w:r>
          </w:p>
        </w:tc>
        <w:tc>
          <w:tcPr>
            <w:tcW w:w="1193" w:type="dxa"/>
          </w:tcPr>
          <w:p w:rsidR="004E2069" w:rsidRPr="008F3857" w:rsidRDefault="004E2069" w:rsidP="0080373F">
            <w:pPr>
              <w:widowControl w:val="0"/>
              <w:ind w:right="175"/>
              <w:jc w:val="right"/>
              <w:rPr>
                <w:sz w:val="22"/>
                <w:szCs w:val="22"/>
              </w:rPr>
            </w:pPr>
            <w:r w:rsidRPr="008F3857">
              <w:rPr>
                <w:sz w:val="22"/>
                <w:szCs w:val="22"/>
              </w:rPr>
              <w:t>112,6</w:t>
            </w:r>
          </w:p>
        </w:tc>
      </w:tr>
      <w:tr w:rsidR="004E2069" w:rsidRPr="008F3857" w:rsidTr="0080373F">
        <w:trPr>
          <w:trHeight w:val="62"/>
        </w:trPr>
        <w:tc>
          <w:tcPr>
            <w:tcW w:w="4860" w:type="dxa"/>
            <w:vAlign w:val="center"/>
          </w:tcPr>
          <w:p w:rsidR="004E2069" w:rsidRPr="008F3857" w:rsidRDefault="004E2069" w:rsidP="0080373F">
            <w:pPr>
              <w:widowControl w:val="0"/>
              <w:jc w:val="both"/>
              <w:rPr>
                <w:sz w:val="22"/>
                <w:szCs w:val="22"/>
              </w:rPr>
            </w:pPr>
            <w:r w:rsidRPr="008F3857">
              <w:rPr>
                <w:sz w:val="22"/>
                <w:szCs w:val="22"/>
              </w:rPr>
              <w:t>Небазовая инфляция</w:t>
            </w:r>
            <w:r w:rsidRPr="008F3857">
              <w:rPr>
                <w:rStyle w:val="FootnoteReference"/>
                <w:sz w:val="22"/>
                <w:szCs w:val="22"/>
              </w:rPr>
              <w:footnoteReference w:id="6"/>
            </w:r>
          </w:p>
        </w:tc>
        <w:tc>
          <w:tcPr>
            <w:tcW w:w="1192" w:type="dxa"/>
          </w:tcPr>
          <w:p w:rsidR="004E2069" w:rsidRPr="008F3857" w:rsidRDefault="004E2069" w:rsidP="0080373F">
            <w:pPr>
              <w:widowControl w:val="0"/>
              <w:ind w:right="175"/>
              <w:jc w:val="right"/>
              <w:rPr>
                <w:sz w:val="22"/>
                <w:szCs w:val="22"/>
              </w:rPr>
            </w:pPr>
            <w:r w:rsidRPr="008F3857">
              <w:rPr>
                <w:sz w:val="22"/>
                <w:szCs w:val="22"/>
              </w:rPr>
              <w:t>107,0</w:t>
            </w:r>
          </w:p>
        </w:tc>
        <w:tc>
          <w:tcPr>
            <w:tcW w:w="1193" w:type="dxa"/>
          </w:tcPr>
          <w:p w:rsidR="004E2069" w:rsidRPr="008F3857" w:rsidRDefault="004E2069" w:rsidP="0080373F">
            <w:pPr>
              <w:widowControl w:val="0"/>
              <w:ind w:right="175"/>
              <w:jc w:val="right"/>
              <w:rPr>
                <w:sz w:val="22"/>
                <w:szCs w:val="22"/>
              </w:rPr>
            </w:pPr>
            <w:r w:rsidRPr="008F3857">
              <w:rPr>
                <w:sz w:val="22"/>
                <w:szCs w:val="22"/>
              </w:rPr>
              <w:t>104,9</w:t>
            </w:r>
          </w:p>
        </w:tc>
        <w:tc>
          <w:tcPr>
            <w:tcW w:w="1193" w:type="dxa"/>
          </w:tcPr>
          <w:p w:rsidR="004E2069" w:rsidRPr="008F3857" w:rsidRDefault="004E2069" w:rsidP="0080373F">
            <w:pPr>
              <w:widowControl w:val="0"/>
              <w:ind w:right="175"/>
              <w:jc w:val="right"/>
              <w:rPr>
                <w:sz w:val="22"/>
                <w:szCs w:val="22"/>
              </w:rPr>
            </w:pPr>
            <w:r w:rsidRPr="008F3857">
              <w:rPr>
                <w:sz w:val="22"/>
                <w:szCs w:val="22"/>
              </w:rPr>
              <w:t>100,5</w:t>
            </w:r>
          </w:p>
        </w:tc>
        <w:tc>
          <w:tcPr>
            <w:tcW w:w="1193" w:type="dxa"/>
          </w:tcPr>
          <w:p w:rsidR="004E2069" w:rsidRPr="008F3857" w:rsidRDefault="004E2069" w:rsidP="0080373F">
            <w:pPr>
              <w:widowControl w:val="0"/>
              <w:ind w:right="175"/>
              <w:jc w:val="right"/>
              <w:rPr>
                <w:sz w:val="22"/>
                <w:szCs w:val="22"/>
              </w:rPr>
            </w:pPr>
            <w:r w:rsidRPr="008F3857">
              <w:rPr>
                <w:sz w:val="22"/>
                <w:szCs w:val="22"/>
              </w:rPr>
              <w:t>110,6</w:t>
            </w:r>
          </w:p>
        </w:tc>
      </w:tr>
    </w:tbl>
    <w:p w:rsidR="004E2069" w:rsidRPr="008F3857" w:rsidRDefault="004E2069" w:rsidP="00DC0A7D">
      <w:pPr>
        <w:widowControl w:val="0"/>
        <w:spacing w:before="120"/>
        <w:ind w:firstLine="425"/>
        <w:jc w:val="both"/>
        <w:rPr>
          <w:rStyle w:val="FontStyle64"/>
          <w:rFonts w:ascii="Times New Roman" w:hAnsi="Times New Roman" w:cs="Times New Roman"/>
          <w:sz w:val="24"/>
          <w:szCs w:val="24"/>
        </w:rPr>
      </w:pPr>
      <w:r w:rsidRPr="008F3857">
        <w:rPr>
          <w:sz w:val="24"/>
          <w:szCs w:val="24"/>
        </w:rPr>
        <w:t xml:space="preserve">Основным генератором роста в продовольственном сегменте стали товары, цены на которые складывались </w:t>
      </w:r>
      <w:r>
        <w:rPr>
          <w:rStyle w:val="FontStyle64"/>
          <w:rFonts w:ascii="Times New Roman" w:hAnsi="Times New Roman" w:cs="Times New Roman"/>
          <w:sz w:val="24"/>
          <w:szCs w:val="24"/>
        </w:rPr>
        <w:t>под воздействием</w:t>
      </w:r>
      <w:r w:rsidRPr="008F3857">
        <w:rPr>
          <w:rStyle w:val="FontStyle64"/>
          <w:rFonts w:ascii="Times New Roman" w:hAnsi="Times New Roman" w:cs="Times New Roman"/>
          <w:sz w:val="24"/>
          <w:szCs w:val="24"/>
        </w:rPr>
        <w:t xml:space="preserve"> сезонных факторов. В разрезе группы, как и на рынках стран-партнёров, дорожала плодоовощная продукция (+24,4%): </w:t>
      </w:r>
      <w:r>
        <w:rPr>
          <w:rStyle w:val="FontStyle64"/>
          <w:rFonts w:ascii="Times New Roman" w:hAnsi="Times New Roman" w:cs="Times New Roman"/>
          <w:sz w:val="24"/>
          <w:szCs w:val="24"/>
        </w:rPr>
        <w:t>овощи</w:t>
      </w:r>
      <w:r w:rsidRPr="008F3857">
        <w:rPr>
          <w:rStyle w:val="FontStyle64"/>
          <w:rFonts w:ascii="Times New Roman" w:hAnsi="Times New Roman" w:cs="Times New Roman"/>
          <w:sz w:val="24"/>
          <w:szCs w:val="24"/>
        </w:rPr>
        <w:t xml:space="preserve"> (+33,2%)</w:t>
      </w:r>
      <w:r>
        <w:rPr>
          <w:rStyle w:val="FontStyle64"/>
          <w:rFonts w:ascii="Times New Roman" w:hAnsi="Times New Roman" w:cs="Times New Roman"/>
          <w:sz w:val="24"/>
          <w:szCs w:val="24"/>
        </w:rPr>
        <w:t>;</w:t>
      </w:r>
      <w:r w:rsidRPr="008F3857">
        <w:rPr>
          <w:rStyle w:val="FontStyle64"/>
          <w:rFonts w:ascii="Times New Roman" w:hAnsi="Times New Roman" w:cs="Times New Roman"/>
          <w:sz w:val="24"/>
          <w:szCs w:val="24"/>
        </w:rPr>
        <w:t xml:space="preserve"> фрукт</w:t>
      </w:r>
      <w:r>
        <w:rPr>
          <w:rStyle w:val="FontStyle64"/>
          <w:rFonts w:ascii="Times New Roman" w:hAnsi="Times New Roman" w:cs="Times New Roman"/>
          <w:sz w:val="24"/>
          <w:szCs w:val="24"/>
        </w:rPr>
        <w:t>ы</w:t>
      </w:r>
      <w:r w:rsidRPr="008F3857">
        <w:rPr>
          <w:rStyle w:val="FontStyle64"/>
          <w:rFonts w:ascii="Times New Roman" w:hAnsi="Times New Roman" w:cs="Times New Roman"/>
          <w:sz w:val="24"/>
          <w:szCs w:val="24"/>
        </w:rPr>
        <w:t xml:space="preserve"> (+18,5%), что было связано с увеличением их стоимости во втором квартале, который стал отражением повышательной корректировки цен на продукцию предыдущего года. Внутригодовая динамика цен на картофель в основном была восходящей, однако снижение в третьем квартале в 1,8 раза обусловило его удешевление на 9,0% по итогам года.</w:t>
      </w:r>
    </w:p>
    <w:p w:rsidR="004E2069" w:rsidRPr="008F3857" w:rsidRDefault="004E2069" w:rsidP="00DC0A7D">
      <w:pPr>
        <w:widowControl w:val="0"/>
        <w:ind w:firstLine="425"/>
        <w:jc w:val="both"/>
        <w:rPr>
          <w:rStyle w:val="FontStyle64"/>
          <w:rFonts w:ascii="Times New Roman" w:hAnsi="Times New Roman" w:cs="Times New Roman"/>
          <w:sz w:val="24"/>
          <w:szCs w:val="24"/>
        </w:rPr>
      </w:pPr>
      <w:r w:rsidRPr="008F3857">
        <w:rPr>
          <w:rStyle w:val="FontStyle64"/>
          <w:rFonts w:ascii="Times New Roman" w:hAnsi="Times New Roman" w:cs="Times New Roman"/>
          <w:sz w:val="24"/>
          <w:szCs w:val="24"/>
        </w:rPr>
        <w:t xml:space="preserve">Корректировки цен в сторону повышения зафиксированы и по продукции животного происхождения. Так, вспышка африканской чумы свиней на рынках стран-экспортёров привела к росту цен на мясную продукцию на 17,7%. Снижение производства молока в республике, связанное с сокращением поголовья коров, а также повышение его стоимости на рынках стран-партнёров обусловило удорожание молока и молочных продуктов по итогам 2017 года на 14,0%, а также сливочного масла (+37,2%) и сыров (+16,9%). </w:t>
      </w:r>
    </w:p>
    <w:p w:rsidR="004E2069" w:rsidRPr="008F3857" w:rsidRDefault="004E2069" w:rsidP="00DC0A7D">
      <w:pPr>
        <w:widowControl w:val="0"/>
        <w:ind w:firstLine="425"/>
        <w:jc w:val="both"/>
        <w:rPr>
          <w:rStyle w:val="FontStyle64"/>
          <w:rFonts w:ascii="Times New Roman" w:hAnsi="Times New Roman" w:cs="Times New Roman"/>
          <w:sz w:val="24"/>
          <w:szCs w:val="24"/>
        </w:rPr>
      </w:pPr>
      <w:r w:rsidRPr="008F3857">
        <w:rPr>
          <w:sz w:val="24"/>
          <w:szCs w:val="24"/>
        </w:rPr>
        <w:t>В части продуктов питания, стоимость которых в большей степени подвержена колебаниям рыночной конъюнктуры, цены у</w:t>
      </w:r>
      <w:r>
        <w:rPr>
          <w:sz w:val="24"/>
          <w:szCs w:val="24"/>
        </w:rPr>
        <w:t xml:space="preserve">величились на 17,6%. Наибольший рост </w:t>
      </w:r>
      <w:r w:rsidRPr="008F3857">
        <w:rPr>
          <w:sz w:val="24"/>
          <w:szCs w:val="24"/>
        </w:rPr>
        <w:t xml:space="preserve">цен зафиксирован в отношении алкогольных напитков (+20,6%), что главным образом обуславливалось удорожанием вина (+31,2%) и шампанского (+35,3%). </w:t>
      </w:r>
    </w:p>
    <w:p w:rsidR="004E2069" w:rsidRPr="008F3857" w:rsidRDefault="004E2069" w:rsidP="00DC0A7D">
      <w:pPr>
        <w:widowControl w:val="0"/>
        <w:ind w:firstLine="425"/>
        <w:jc w:val="both"/>
        <w:rPr>
          <w:rStyle w:val="FontStyle64"/>
          <w:rFonts w:ascii="Times New Roman" w:hAnsi="Times New Roman" w:cs="Times New Roman"/>
          <w:sz w:val="24"/>
          <w:szCs w:val="24"/>
        </w:rPr>
      </w:pPr>
      <w:r w:rsidRPr="008F3857">
        <w:rPr>
          <w:rStyle w:val="FontStyle64"/>
          <w:rFonts w:ascii="Times New Roman" w:hAnsi="Times New Roman" w:cs="Times New Roman"/>
          <w:sz w:val="24"/>
          <w:szCs w:val="24"/>
        </w:rPr>
        <w:t>Весомое влияние на итоговый показатель оказал сегмент непродовольственных товаров. Рост цен главным образом генерировался со стороны топливной составляющей, которая в свою очередь сформировала 10,6% сводного индекса и 36,2% внутригруппового показателя. В целом по итогам года стоимость топлива повысилась на 35,4%, что явилось отражением мировой динамики цен на нефть.</w:t>
      </w:r>
    </w:p>
    <w:p w:rsidR="004E2069" w:rsidRPr="008F3857" w:rsidRDefault="004E2069" w:rsidP="00DC0A7D">
      <w:pPr>
        <w:widowControl w:val="0"/>
        <w:ind w:firstLine="425"/>
        <w:jc w:val="both"/>
        <w:rPr>
          <w:sz w:val="24"/>
          <w:szCs w:val="24"/>
        </w:rPr>
      </w:pPr>
      <w:r w:rsidRPr="008F3857">
        <w:rPr>
          <w:sz w:val="24"/>
          <w:szCs w:val="24"/>
        </w:rPr>
        <w:t xml:space="preserve">В рамках общего с соседними странами тренда значительно подорожали табачные изделия (+29,3%). Также повышательной корректировке подверглись цены на моющие средства (+14,4%) и товары бытовой химии (+15,9%). В близлежащих странах максимальный рост по данным позициям был отмечен в Беларуси (+7,7% и +6,0% соответственно). Вслед за увеличением стоимости строительных материалов на рынках стран-партнёров (от +1,2% в Беларуси до +3,1% в России) их стоимость в республике возросла на 7,0%. </w:t>
      </w:r>
    </w:p>
    <w:p w:rsidR="004E2069" w:rsidRPr="008F3857" w:rsidRDefault="004E2069" w:rsidP="00DC0A7D">
      <w:pPr>
        <w:widowControl w:val="0"/>
        <w:ind w:firstLine="425"/>
        <w:jc w:val="both"/>
        <w:rPr>
          <w:sz w:val="24"/>
          <w:szCs w:val="24"/>
        </w:rPr>
      </w:pPr>
      <w:r w:rsidRPr="008F3857">
        <w:rPr>
          <w:sz w:val="24"/>
          <w:szCs w:val="24"/>
        </w:rPr>
        <w:t>Сегмент продаж фармацевтической продукции характеризовался увеличением цен в среднем на 11,1%, что отчасти было связано с повышательной динамикой на Украине, являющейся одной из основных стран, откуда импортир</w:t>
      </w:r>
      <w:r>
        <w:rPr>
          <w:sz w:val="24"/>
          <w:szCs w:val="24"/>
        </w:rPr>
        <w:t>уются</w:t>
      </w:r>
      <w:r w:rsidRPr="008F3857">
        <w:rPr>
          <w:sz w:val="24"/>
          <w:szCs w:val="24"/>
        </w:rPr>
        <w:t xml:space="preserve"> лекарственные препараты. </w:t>
      </w:r>
    </w:p>
    <w:p w:rsidR="004E2069" w:rsidRDefault="004E2069" w:rsidP="00DC0A7D">
      <w:pPr>
        <w:widowControl w:val="0"/>
        <w:ind w:firstLine="425"/>
        <w:jc w:val="both"/>
        <w:rPr>
          <w:sz w:val="24"/>
          <w:szCs w:val="24"/>
        </w:rPr>
      </w:pPr>
      <w:r w:rsidRPr="008F3857">
        <w:rPr>
          <w:sz w:val="24"/>
          <w:szCs w:val="24"/>
        </w:rPr>
        <w:t>В сравнении с ценовой динамикой на рынке товаров изменение масштаба цен в сегменте услуг был</w:t>
      </w:r>
      <w:r>
        <w:rPr>
          <w:sz w:val="24"/>
          <w:szCs w:val="24"/>
        </w:rPr>
        <w:t>о</w:t>
      </w:r>
      <w:r w:rsidRPr="008F3857">
        <w:rPr>
          <w:sz w:val="24"/>
          <w:szCs w:val="24"/>
        </w:rPr>
        <w:t xml:space="preserve"> значительно ниже. Сохранение социально ориентированного подхода в сфере ценообразования на жилищно-коммунальные услуги</w:t>
      </w:r>
      <w:r>
        <w:rPr>
          <w:sz w:val="24"/>
          <w:szCs w:val="24"/>
        </w:rPr>
        <w:t xml:space="preserve">, где средний уровень цен снизился на 0,1%, </w:t>
      </w:r>
      <w:r w:rsidRPr="008F3857">
        <w:rPr>
          <w:sz w:val="24"/>
          <w:szCs w:val="24"/>
        </w:rPr>
        <w:t xml:space="preserve">позволило ограничить рост тарифов в </w:t>
      </w:r>
      <w:r>
        <w:rPr>
          <w:sz w:val="24"/>
          <w:szCs w:val="24"/>
        </w:rPr>
        <w:t>сфере услуг</w:t>
      </w:r>
      <w:r w:rsidRPr="008F3857">
        <w:rPr>
          <w:sz w:val="24"/>
          <w:szCs w:val="24"/>
        </w:rPr>
        <w:t xml:space="preserve"> в пределах 1,7%. </w:t>
      </w:r>
    </w:p>
    <w:p w:rsidR="004E2069" w:rsidRPr="008F3857" w:rsidRDefault="004E2069" w:rsidP="00DC0A7D">
      <w:pPr>
        <w:widowControl w:val="0"/>
        <w:ind w:firstLine="425"/>
        <w:jc w:val="both"/>
        <w:rPr>
          <w:sz w:val="24"/>
          <w:szCs w:val="24"/>
        </w:rPr>
      </w:pPr>
      <w:r w:rsidRPr="008F3857">
        <w:rPr>
          <w:sz w:val="24"/>
          <w:szCs w:val="24"/>
        </w:rPr>
        <w:t>В разрезе других услуг,</w:t>
      </w:r>
      <w:r>
        <w:rPr>
          <w:sz w:val="24"/>
          <w:szCs w:val="24"/>
        </w:rPr>
        <w:t xml:space="preserve"> частично</w:t>
      </w:r>
      <w:r w:rsidRPr="008F3857">
        <w:rPr>
          <w:sz w:val="24"/>
          <w:szCs w:val="24"/>
        </w:rPr>
        <w:t xml:space="preserve"> подлежащих административному регулированию, отмечалось повышение стоимости транспортных и образовательных услуг. Основным периодом корректировки действующих тарифов по рассматриваемым позициям стал июнь (+5,6%, +3,4% соответственно), что было связано с изменением цен в частных компаниях, предоставляющих данные услуги. В то же время по таким социально значимым статьям, как услуги дошкольного образования и медицины, напротив, наблюдалась дефляция (-4,9% и </w:t>
      </w:r>
      <w:r>
        <w:rPr>
          <w:sz w:val="24"/>
          <w:szCs w:val="24"/>
        </w:rPr>
        <w:br/>
      </w:r>
      <w:r w:rsidRPr="008F3857">
        <w:rPr>
          <w:sz w:val="24"/>
          <w:szCs w:val="24"/>
        </w:rPr>
        <w:t>-0,4% соответственно).</w:t>
      </w:r>
    </w:p>
    <w:p w:rsidR="004E2069" w:rsidRPr="008F3857" w:rsidRDefault="004E2069" w:rsidP="00DC0A7D">
      <w:pPr>
        <w:widowControl w:val="0"/>
        <w:ind w:firstLine="425"/>
        <w:jc w:val="both"/>
        <w:rPr>
          <w:sz w:val="24"/>
          <w:szCs w:val="24"/>
        </w:rPr>
      </w:pPr>
      <w:r w:rsidRPr="008F3857">
        <w:rPr>
          <w:sz w:val="24"/>
          <w:szCs w:val="24"/>
        </w:rPr>
        <w:t xml:space="preserve">Таким образом, общий уровень цен в 2017 году преимущественно определялся действием рыночных факторов: товары и услуги, входящие в расчёт базовой компоненты, в совокупности подорожали на 12,6%. </w:t>
      </w:r>
      <w:r>
        <w:rPr>
          <w:sz w:val="24"/>
          <w:szCs w:val="24"/>
        </w:rPr>
        <w:t>З</w:t>
      </w:r>
      <w:r w:rsidRPr="008F3857">
        <w:rPr>
          <w:sz w:val="24"/>
          <w:szCs w:val="24"/>
        </w:rPr>
        <w:t>начение показателя «небазовой инфляции» (набор товаров и услуг, стоимость которых изменяется под влиянием сезонных и административных фактор</w:t>
      </w:r>
      <w:r>
        <w:rPr>
          <w:sz w:val="24"/>
          <w:szCs w:val="24"/>
        </w:rPr>
        <w:t>ов), сложилось на уровне 10,6%</w:t>
      </w:r>
      <w:r w:rsidRPr="008F3857">
        <w:rPr>
          <w:sz w:val="24"/>
          <w:szCs w:val="24"/>
        </w:rPr>
        <w:t xml:space="preserve">. </w:t>
      </w:r>
    </w:p>
    <w:p w:rsidR="004E2069" w:rsidRPr="008F3857" w:rsidRDefault="004E2069" w:rsidP="00DC0A7D">
      <w:pPr>
        <w:widowControl w:val="0"/>
        <w:ind w:firstLine="425"/>
        <w:jc w:val="both"/>
        <w:rPr>
          <w:sz w:val="24"/>
          <w:szCs w:val="24"/>
        </w:rPr>
      </w:pPr>
      <w:r w:rsidRPr="008F3857">
        <w:rPr>
          <w:sz w:val="24"/>
          <w:szCs w:val="24"/>
        </w:rPr>
        <w:t xml:space="preserve">Для индустриального комплекса республики 2017 год стал периодом коррекции отпускных цен, что было характерно для большинства отраслей. Сводный ценовой индекс в промышленности составил 18,5% (табл. </w:t>
      </w:r>
      <w:r>
        <w:rPr>
          <w:sz w:val="24"/>
          <w:szCs w:val="24"/>
        </w:rPr>
        <w:t>1.</w:t>
      </w:r>
      <w:r w:rsidRPr="008F3857">
        <w:rPr>
          <w:sz w:val="24"/>
          <w:szCs w:val="24"/>
        </w:rPr>
        <w:t xml:space="preserve">3). Динамика цен на внутреннем рынке республики была сонаправлена с ценовыми корректировками на рынках соседних стран. </w:t>
      </w:r>
    </w:p>
    <w:p w:rsidR="004E2069" w:rsidRPr="008F3857" w:rsidRDefault="004E2069" w:rsidP="00DC0A7D">
      <w:pPr>
        <w:widowControl w:val="0"/>
        <w:spacing w:before="120"/>
        <w:ind w:firstLine="425"/>
        <w:jc w:val="right"/>
        <w:outlineLvl w:val="0"/>
        <w:rPr>
          <w:b/>
          <w:i/>
          <w:sz w:val="24"/>
          <w:szCs w:val="24"/>
        </w:rPr>
      </w:pPr>
      <w:r w:rsidRPr="008F3857">
        <w:rPr>
          <w:b/>
          <w:i/>
          <w:sz w:val="24"/>
          <w:szCs w:val="24"/>
        </w:rPr>
        <w:t xml:space="preserve">Таблица </w:t>
      </w:r>
      <w:r>
        <w:rPr>
          <w:b/>
          <w:i/>
          <w:sz w:val="24"/>
          <w:szCs w:val="24"/>
        </w:rPr>
        <w:t>1.</w:t>
      </w:r>
      <w:r w:rsidRPr="008F3857">
        <w:rPr>
          <w:b/>
          <w:i/>
          <w:sz w:val="24"/>
          <w:szCs w:val="24"/>
        </w:rPr>
        <w:t>3</w:t>
      </w:r>
    </w:p>
    <w:p w:rsidR="004E2069" w:rsidRPr="008F3857" w:rsidRDefault="004E2069" w:rsidP="00DC0A7D">
      <w:pPr>
        <w:widowControl w:val="0"/>
        <w:spacing w:after="120"/>
        <w:jc w:val="center"/>
        <w:outlineLvl w:val="0"/>
        <w:rPr>
          <w:b/>
          <w:i/>
          <w:sz w:val="24"/>
          <w:szCs w:val="24"/>
        </w:rPr>
      </w:pPr>
      <w:r w:rsidRPr="008F3857">
        <w:rPr>
          <w:b/>
          <w:i/>
          <w:sz w:val="24"/>
          <w:szCs w:val="24"/>
        </w:rPr>
        <w:t>Темпы роста отпускных цен в отраслях промышленности, %</w:t>
      </w:r>
    </w:p>
    <w:tbl>
      <w:tblPr>
        <w:tblW w:w="9596"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3"/>
        <w:gridCol w:w="1134"/>
        <w:gridCol w:w="1134"/>
        <w:gridCol w:w="1134"/>
        <w:gridCol w:w="1111"/>
      </w:tblGrid>
      <w:tr w:rsidR="004E2069" w:rsidRPr="008F3857" w:rsidTr="0080373F">
        <w:trPr>
          <w:cantSplit/>
          <w:trHeight w:val="61"/>
          <w:jc w:val="center"/>
        </w:trPr>
        <w:tc>
          <w:tcPr>
            <w:tcW w:w="5083" w:type="dxa"/>
            <w:shd w:val="clear" w:color="auto" w:fill="CCCCCC"/>
          </w:tcPr>
          <w:p w:rsidR="004E2069" w:rsidRPr="008F3857" w:rsidRDefault="004E2069" w:rsidP="0080373F">
            <w:pPr>
              <w:widowControl w:val="0"/>
              <w:rPr>
                <w:sz w:val="22"/>
                <w:szCs w:val="22"/>
              </w:rPr>
            </w:pPr>
          </w:p>
        </w:tc>
        <w:tc>
          <w:tcPr>
            <w:tcW w:w="1134" w:type="dxa"/>
            <w:shd w:val="clear" w:color="auto" w:fill="CCCCCC"/>
          </w:tcPr>
          <w:p w:rsidR="004E2069" w:rsidRPr="008F3857" w:rsidRDefault="004E2069" w:rsidP="0080373F">
            <w:pPr>
              <w:widowControl w:val="0"/>
              <w:ind w:left="-109" w:right="-97"/>
              <w:jc w:val="center"/>
              <w:rPr>
                <w:sz w:val="22"/>
                <w:szCs w:val="22"/>
              </w:rPr>
            </w:pPr>
            <w:r w:rsidRPr="008F3857">
              <w:rPr>
                <w:sz w:val="22"/>
                <w:szCs w:val="22"/>
              </w:rPr>
              <w:t>2014 год</w:t>
            </w:r>
          </w:p>
        </w:tc>
        <w:tc>
          <w:tcPr>
            <w:tcW w:w="1134" w:type="dxa"/>
            <w:shd w:val="clear" w:color="auto" w:fill="CCCCCC"/>
          </w:tcPr>
          <w:p w:rsidR="004E2069" w:rsidRPr="008F3857" w:rsidRDefault="004E2069" w:rsidP="0080373F">
            <w:pPr>
              <w:widowControl w:val="0"/>
              <w:ind w:left="-109" w:right="-97"/>
              <w:jc w:val="center"/>
              <w:rPr>
                <w:sz w:val="22"/>
                <w:szCs w:val="22"/>
              </w:rPr>
            </w:pPr>
            <w:r w:rsidRPr="008F3857">
              <w:rPr>
                <w:sz w:val="22"/>
                <w:szCs w:val="22"/>
              </w:rPr>
              <w:t>2015 год</w:t>
            </w:r>
          </w:p>
        </w:tc>
        <w:tc>
          <w:tcPr>
            <w:tcW w:w="1134" w:type="dxa"/>
            <w:shd w:val="clear" w:color="auto" w:fill="CCCCCC"/>
          </w:tcPr>
          <w:p w:rsidR="004E2069" w:rsidRPr="008F3857" w:rsidRDefault="004E2069" w:rsidP="0080373F">
            <w:pPr>
              <w:widowControl w:val="0"/>
              <w:ind w:left="-109" w:right="-97"/>
              <w:jc w:val="center"/>
              <w:rPr>
                <w:sz w:val="22"/>
                <w:szCs w:val="22"/>
              </w:rPr>
            </w:pPr>
            <w:r w:rsidRPr="008F3857">
              <w:rPr>
                <w:sz w:val="22"/>
                <w:szCs w:val="22"/>
              </w:rPr>
              <w:t>2016 год</w:t>
            </w:r>
          </w:p>
        </w:tc>
        <w:tc>
          <w:tcPr>
            <w:tcW w:w="1111" w:type="dxa"/>
            <w:shd w:val="clear" w:color="auto" w:fill="CCCCCC"/>
            <w:vAlign w:val="center"/>
          </w:tcPr>
          <w:p w:rsidR="004E2069" w:rsidRPr="008F3857" w:rsidRDefault="004E2069" w:rsidP="0080373F">
            <w:pPr>
              <w:widowControl w:val="0"/>
              <w:ind w:left="-109" w:right="-97"/>
              <w:jc w:val="center"/>
              <w:rPr>
                <w:sz w:val="22"/>
                <w:szCs w:val="22"/>
              </w:rPr>
            </w:pPr>
            <w:r w:rsidRPr="008F3857">
              <w:rPr>
                <w:sz w:val="22"/>
                <w:szCs w:val="22"/>
              </w:rPr>
              <w:t>2017 год</w:t>
            </w:r>
          </w:p>
        </w:tc>
      </w:tr>
      <w:tr w:rsidR="004E2069" w:rsidRPr="008F3857" w:rsidTr="0080373F">
        <w:trPr>
          <w:trHeight w:val="171"/>
          <w:jc w:val="center"/>
        </w:trPr>
        <w:tc>
          <w:tcPr>
            <w:tcW w:w="5083" w:type="dxa"/>
            <w:tcBorders>
              <w:top w:val="double" w:sz="4" w:space="0" w:color="auto"/>
            </w:tcBorders>
            <w:vAlign w:val="center"/>
          </w:tcPr>
          <w:p w:rsidR="004E2069" w:rsidRPr="008F3857" w:rsidRDefault="004E2069" w:rsidP="0080373F">
            <w:pPr>
              <w:widowControl w:val="0"/>
              <w:jc w:val="both"/>
              <w:rPr>
                <w:sz w:val="22"/>
                <w:szCs w:val="22"/>
              </w:rPr>
            </w:pPr>
            <w:r w:rsidRPr="008F3857">
              <w:rPr>
                <w:sz w:val="22"/>
                <w:szCs w:val="22"/>
              </w:rPr>
              <w:t>Чёрная металлургия</w:t>
            </w:r>
          </w:p>
        </w:tc>
        <w:tc>
          <w:tcPr>
            <w:tcW w:w="1134" w:type="dxa"/>
            <w:tcBorders>
              <w:top w:val="double" w:sz="4" w:space="0" w:color="auto"/>
            </w:tcBorders>
          </w:tcPr>
          <w:p w:rsidR="004E2069" w:rsidRPr="008F3857" w:rsidRDefault="004E2069" w:rsidP="0080373F">
            <w:pPr>
              <w:widowControl w:val="0"/>
              <w:ind w:right="260"/>
              <w:jc w:val="right"/>
              <w:rPr>
                <w:sz w:val="22"/>
                <w:szCs w:val="22"/>
              </w:rPr>
            </w:pPr>
            <w:r w:rsidRPr="008F3857">
              <w:rPr>
                <w:sz w:val="22"/>
                <w:szCs w:val="22"/>
              </w:rPr>
              <w:t>89,9</w:t>
            </w:r>
          </w:p>
        </w:tc>
        <w:tc>
          <w:tcPr>
            <w:tcW w:w="1134" w:type="dxa"/>
            <w:tcBorders>
              <w:top w:val="double" w:sz="4" w:space="0" w:color="auto"/>
            </w:tcBorders>
          </w:tcPr>
          <w:p w:rsidR="004E2069" w:rsidRPr="008F3857" w:rsidRDefault="004E2069" w:rsidP="0080373F">
            <w:pPr>
              <w:widowControl w:val="0"/>
              <w:ind w:right="260"/>
              <w:jc w:val="right"/>
              <w:rPr>
                <w:sz w:val="22"/>
                <w:szCs w:val="22"/>
              </w:rPr>
            </w:pPr>
            <w:r w:rsidRPr="008F3857">
              <w:rPr>
                <w:sz w:val="22"/>
                <w:szCs w:val="22"/>
              </w:rPr>
              <w:t>52,4</w:t>
            </w:r>
          </w:p>
        </w:tc>
        <w:tc>
          <w:tcPr>
            <w:tcW w:w="1134" w:type="dxa"/>
            <w:tcBorders>
              <w:top w:val="double" w:sz="4" w:space="0" w:color="auto"/>
            </w:tcBorders>
          </w:tcPr>
          <w:p w:rsidR="004E2069" w:rsidRPr="008F3857" w:rsidRDefault="004E2069" w:rsidP="0080373F">
            <w:pPr>
              <w:widowControl w:val="0"/>
              <w:ind w:right="260"/>
              <w:jc w:val="right"/>
              <w:rPr>
                <w:sz w:val="22"/>
                <w:szCs w:val="22"/>
              </w:rPr>
            </w:pPr>
            <w:r w:rsidRPr="008F3857">
              <w:rPr>
                <w:sz w:val="22"/>
                <w:szCs w:val="22"/>
              </w:rPr>
              <w:t>147,8</w:t>
            </w:r>
          </w:p>
        </w:tc>
        <w:tc>
          <w:tcPr>
            <w:tcW w:w="1111" w:type="dxa"/>
            <w:tcBorders>
              <w:top w:val="double" w:sz="4" w:space="0" w:color="auto"/>
            </w:tcBorders>
            <w:vAlign w:val="bottom"/>
          </w:tcPr>
          <w:p w:rsidR="004E2069" w:rsidRPr="008F3857" w:rsidRDefault="004E2069" w:rsidP="0080373F">
            <w:pPr>
              <w:widowControl w:val="0"/>
              <w:ind w:right="260"/>
              <w:jc w:val="right"/>
              <w:rPr>
                <w:sz w:val="22"/>
                <w:szCs w:val="22"/>
              </w:rPr>
            </w:pPr>
            <w:r w:rsidRPr="008F3857">
              <w:rPr>
                <w:sz w:val="22"/>
                <w:szCs w:val="22"/>
              </w:rPr>
              <w:t>185,9</w:t>
            </w:r>
          </w:p>
        </w:tc>
      </w:tr>
      <w:tr w:rsidR="004E2069" w:rsidRPr="008F3857" w:rsidTr="0080373F">
        <w:trPr>
          <w:trHeight w:val="240"/>
          <w:jc w:val="center"/>
        </w:trPr>
        <w:tc>
          <w:tcPr>
            <w:tcW w:w="5083" w:type="dxa"/>
            <w:vAlign w:val="center"/>
          </w:tcPr>
          <w:p w:rsidR="004E2069" w:rsidRPr="008F3857" w:rsidRDefault="004E2069" w:rsidP="0080373F">
            <w:pPr>
              <w:widowControl w:val="0"/>
              <w:jc w:val="both"/>
              <w:rPr>
                <w:sz w:val="22"/>
                <w:szCs w:val="22"/>
              </w:rPr>
            </w:pPr>
            <w:r w:rsidRPr="008F3857">
              <w:rPr>
                <w:sz w:val="22"/>
                <w:szCs w:val="22"/>
              </w:rPr>
              <w:t>Электроэнергетика</w:t>
            </w:r>
          </w:p>
        </w:tc>
        <w:tc>
          <w:tcPr>
            <w:tcW w:w="1134" w:type="dxa"/>
          </w:tcPr>
          <w:p w:rsidR="004E2069" w:rsidRPr="008F3857" w:rsidRDefault="004E2069" w:rsidP="0080373F">
            <w:pPr>
              <w:widowControl w:val="0"/>
              <w:ind w:right="260"/>
              <w:jc w:val="right"/>
              <w:rPr>
                <w:sz w:val="22"/>
                <w:szCs w:val="22"/>
              </w:rPr>
            </w:pPr>
            <w:r w:rsidRPr="008F3857">
              <w:rPr>
                <w:sz w:val="22"/>
                <w:szCs w:val="22"/>
              </w:rPr>
              <w:t>133,5</w:t>
            </w:r>
          </w:p>
        </w:tc>
        <w:tc>
          <w:tcPr>
            <w:tcW w:w="1134" w:type="dxa"/>
          </w:tcPr>
          <w:p w:rsidR="004E2069" w:rsidRPr="008F3857" w:rsidRDefault="004E2069" w:rsidP="0080373F">
            <w:pPr>
              <w:widowControl w:val="0"/>
              <w:ind w:right="260"/>
              <w:jc w:val="right"/>
              <w:rPr>
                <w:sz w:val="22"/>
                <w:szCs w:val="22"/>
              </w:rPr>
            </w:pPr>
            <w:r w:rsidRPr="008F3857">
              <w:rPr>
                <w:sz w:val="22"/>
                <w:szCs w:val="22"/>
              </w:rPr>
              <w:t>106,5</w:t>
            </w:r>
          </w:p>
        </w:tc>
        <w:tc>
          <w:tcPr>
            <w:tcW w:w="1134" w:type="dxa"/>
          </w:tcPr>
          <w:p w:rsidR="004E2069" w:rsidRPr="008F3857" w:rsidRDefault="004E2069" w:rsidP="0080373F">
            <w:pPr>
              <w:widowControl w:val="0"/>
              <w:ind w:right="260"/>
              <w:jc w:val="right"/>
              <w:rPr>
                <w:sz w:val="22"/>
                <w:szCs w:val="22"/>
              </w:rPr>
            </w:pPr>
            <w:r w:rsidRPr="008F3857">
              <w:rPr>
                <w:sz w:val="22"/>
                <w:szCs w:val="22"/>
              </w:rPr>
              <w:t>99,9</w:t>
            </w:r>
          </w:p>
        </w:tc>
        <w:tc>
          <w:tcPr>
            <w:tcW w:w="1111" w:type="dxa"/>
            <w:vAlign w:val="bottom"/>
          </w:tcPr>
          <w:p w:rsidR="004E2069" w:rsidRPr="008F3857" w:rsidRDefault="004E2069" w:rsidP="0080373F">
            <w:pPr>
              <w:widowControl w:val="0"/>
              <w:ind w:right="260"/>
              <w:jc w:val="right"/>
              <w:rPr>
                <w:sz w:val="22"/>
                <w:szCs w:val="22"/>
              </w:rPr>
            </w:pPr>
            <w:r w:rsidRPr="008F3857">
              <w:rPr>
                <w:sz w:val="22"/>
                <w:szCs w:val="22"/>
              </w:rPr>
              <w:t>100,3</w:t>
            </w:r>
          </w:p>
        </w:tc>
      </w:tr>
      <w:tr w:rsidR="004E2069" w:rsidRPr="008F3857" w:rsidTr="0080373F">
        <w:trPr>
          <w:trHeight w:val="240"/>
          <w:jc w:val="center"/>
        </w:trPr>
        <w:tc>
          <w:tcPr>
            <w:tcW w:w="5083" w:type="dxa"/>
            <w:vAlign w:val="center"/>
          </w:tcPr>
          <w:p w:rsidR="004E2069" w:rsidRPr="008F3857" w:rsidRDefault="004E2069" w:rsidP="0080373F">
            <w:pPr>
              <w:widowControl w:val="0"/>
              <w:rPr>
                <w:sz w:val="22"/>
                <w:szCs w:val="22"/>
              </w:rPr>
            </w:pPr>
            <w:r w:rsidRPr="008F3857">
              <w:rPr>
                <w:sz w:val="22"/>
                <w:szCs w:val="22"/>
              </w:rPr>
              <w:t>Машиностроение и металлообработка</w:t>
            </w:r>
          </w:p>
        </w:tc>
        <w:tc>
          <w:tcPr>
            <w:tcW w:w="1134" w:type="dxa"/>
          </w:tcPr>
          <w:p w:rsidR="004E2069" w:rsidRPr="008F3857" w:rsidRDefault="004E2069" w:rsidP="0080373F">
            <w:pPr>
              <w:widowControl w:val="0"/>
              <w:ind w:right="260"/>
              <w:jc w:val="right"/>
              <w:rPr>
                <w:sz w:val="22"/>
                <w:szCs w:val="22"/>
              </w:rPr>
            </w:pPr>
            <w:r w:rsidRPr="008F3857">
              <w:rPr>
                <w:sz w:val="22"/>
                <w:szCs w:val="22"/>
              </w:rPr>
              <w:t>100,0</w:t>
            </w:r>
          </w:p>
        </w:tc>
        <w:tc>
          <w:tcPr>
            <w:tcW w:w="1134" w:type="dxa"/>
          </w:tcPr>
          <w:p w:rsidR="004E2069" w:rsidRPr="008F3857" w:rsidRDefault="004E2069" w:rsidP="0080373F">
            <w:pPr>
              <w:widowControl w:val="0"/>
              <w:ind w:right="260"/>
              <w:jc w:val="right"/>
              <w:rPr>
                <w:sz w:val="22"/>
                <w:szCs w:val="22"/>
              </w:rPr>
            </w:pPr>
            <w:r w:rsidRPr="008F3857">
              <w:rPr>
                <w:sz w:val="22"/>
                <w:szCs w:val="22"/>
              </w:rPr>
              <w:t>99,3</w:t>
            </w:r>
          </w:p>
        </w:tc>
        <w:tc>
          <w:tcPr>
            <w:tcW w:w="1134" w:type="dxa"/>
          </w:tcPr>
          <w:p w:rsidR="004E2069" w:rsidRPr="008F3857" w:rsidRDefault="004E2069" w:rsidP="0080373F">
            <w:pPr>
              <w:widowControl w:val="0"/>
              <w:ind w:right="260"/>
              <w:jc w:val="right"/>
              <w:rPr>
                <w:sz w:val="22"/>
                <w:szCs w:val="22"/>
              </w:rPr>
            </w:pPr>
            <w:r w:rsidRPr="008F3857">
              <w:rPr>
                <w:sz w:val="22"/>
                <w:szCs w:val="22"/>
              </w:rPr>
              <w:t>110,0</w:t>
            </w:r>
          </w:p>
        </w:tc>
        <w:tc>
          <w:tcPr>
            <w:tcW w:w="1111" w:type="dxa"/>
            <w:vAlign w:val="bottom"/>
          </w:tcPr>
          <w:p w:rsidR="004E2069" w:rsidRPr="008F3857" w:rsidRDefault="004E2069" w:rsidP="0080373F">
            <w:pPr>
              <w:widowControl w:val="0"/>
              <w:ind w:right="260"/>
              <w:jc w:val="right"/>
              <w:rPr>
                <w:sz w:val="22"/>
                <w:szCs w:val="22"/>
              </w:rPr>
            </w:pPr>
            <w:r w:rsidRPr="008F3857">
              <w:rPr>
                <w:sz w:val="22"/>
                <w:szCs w:val="22"/>
              </w:rPr>
              <w:t>107,0</w:t>
            </w:r>
          </w:p>
        </w:tc>
      </w:tr>
      <w:tr w:rsidR="004E2069" w:rsidRPr="008F3857" w:rsidTr="0080373F">
        <w:trPr>
          <w:trHeight w:val="240"/>
          <w:jc w:val="center"/>
        </w:trPr>
        <w:tc>
          <w:tcPr>
            <w:tcW w:w="5083" w:type="dxa"/>
            <w:tcBorders>
              <w:top w:val="nil"/>
            </w:tcBorders>
            <w:vAlign w:val="center"/>
          </w:tcPr>
          <w:p w:rsidR="004E2069" w:rsidRPr="008F3857" w:rsidRDefault="004E2069" w:rsidP="0080373F">
            <w:pPr>
              <w:widowControl w:val="0"/>
              <w:jc w:val="both"/>
              <w:rPr>
                <w:sz w:val="22"/>
                <w:szCs w:val="22"/>
              </w:rPr>
            </w:pPr>
            <w:r w:rsidRPr="008F3857">
              <w:rPr>
                <w:sz w:val="22"/>
                <w:szCs w:val="22"/>
              </w:rPr>
              <w:t>Электротехническая промышленность</w:t>
            </w:r>
          </w:p>
        </w:tc>
        <w:tc>
          <w:tcPr>
            <w:tcW w:w="1134" w:type="dxa"/>
            <w:tcBorders>
              <w:top w:val="nil"/>
            </w:tcBorders>
          </w:tcPr>
          <w:p w:rsidR="004E2069" w:rsidRPr="008F3857" w:rsidRDefault="004E2069" w:rsidP="0080373F">
            <w:pPr>
              <w:widowControl w:val="0"/>
              <w:ind w:right="260"/>
              <w:jc w:val="right"/>
              <w:rPr>
                <w:sz w:val="22"/>
                <w:szCs w:val="22"/>
              </w:rPr>
            </w:pPr>
            <w:r w:rsidRPr="008F3857">
              <w:rPr>
                <w:sz w:val="22"/>
                <w:szCs w:val="22"/>
              </w:rPr>
              <w:t>94,1</w:t>
            </w:r>
          </w:p>
        </w:tc>
        <w:tc>
          <w:tcPr>
            <w:tcW w:w="1134" w:type="dxa"/>
            <w:tcBorders>
              <w:top w:val="nil"/>
            </w:tcBorders>
          </w:tcPr>
          <w:p w:rsidR="004E2069" w:rsidRPr="008F3857" w:rsidRDefault="004E2069" w:rsidP="0080373F">
            <w:pPr>
              <w:widowControl w:val="0"/>
              <w:ind w:right="260"/>
              <w:jc w:val="right"/>
              <w:rPr>
                <w:sz w:val="22"/>
                <w:szCs w:val="22"/>
              </w:rPr>
            </w:pPr>
            <w:r w:rsidRPr="008F3857">
              <w:rPr>
                <w:sz w:val="22"/>
                <w:szCs w:val="22"/>
              </w:rPr>
              <w:t>91,4</w:t>
            </w:r>
          </w:p>
        </w:tc>
        <w:tc>
          <w:tcPr>
            <w:tcW w:w="1134" w:type="dxa"/>
            <w:tcBorders>
              <w:top w:val="nil"/>
            </w:tcBorders>
          </w:tcPr>
          <w:p w:rsidR="004E2069" w:rsidRPr="008F3857" w:rsidRDefault="004E2069" w:rsidP="0080373F">
            <w:pPr>
              <w:widowControl w:val="0"/>
              <w:ind w:right="260"/>
              <w:jc w:val="right"/>
              <w:rPr>
                <w:sz w:val="22"/>
                <w:szCs w:val="22"/>
              </w:rPr>
            </w:pPr>
            <w:r w:rsidRPr="008F3857">
              <w:rPr>
                <w:sz w:val="22"/>
                <w:szCs w:val="22"/>
              </w:rPr>
              <w:t>101,8</w:t>
            </w:r>
          </w:p>
        </w:tc>
        <w:tc>
          <w:tcPr>
            <w:tcW w:w="1111" w:type="dxa"/>
            <w:tcBorders>
              <w:top w:val="nil"/>
            </w:tcBorders>
            <w:vAlign w:val="bottom"/>
          </w:tcPr>
          <w:p w:rsidR="004E2069" w:rsidRPr="008F3857" w:rsidRDefault="004E2069" w:rsidP="0080373F">
            <w:pPr>
              <w:widowControl w:val="0"/>
              <w:ind w:right="260"/>
              <w:jc w:val="right"/>
              <w:rPr>
                <w:sz w:val="22"/>
                <w:szCs w:val="22"/>
              </w:rPr>
            </w:pPr>
            <w:r w:rsidRPr="008F3857">
              <w:rPr>
                <w:sz w:val="22"/>
                <w:szCs w:val="22"/>
              </w:rPr>
              <w:t>121,5</w:t>
            </w:r>
          </w:p>
        </w:tc>
      </w:tr>
      <w:tr w:rsidR="004E2069" w:rsidRPr="008F3857" w:rsidTr="0080373F">
        <w:trPr>
          <w:trHeight w:val="84"/>
          <w:jc w:val="center"/>
        </w:trPr>
        <w:tc>
          <w:tcPr>
            <w:tcW w:w="5083" w:type="dxa"/>
            <w:vAlign w:val="center"/>
          </w:tcPr>
          <w:p w:rsidR="004E2069" w:rsidRPr="008F3857" w:rsidRDefault="004E2069" w:rsidP="0080373F">
            <w:pPr>
              <w:widowControl w:val="0"/>
              <w:rPr>
                <w:color w:val="000000"/>
                <w:sz w:val="22"/>
                <w:szCs w:val="22"/>
              </w:rPr>
            </w:pPr>
            <w:r w:rsidRPr="008F3857">
              <w:rPr>
                <w:color w:val="000000"/>
                <w:sz w:val="22"/>
                <w:szCs w:val="22"/>
              </w:rPr>
              <w:t>Лесная и деревообрабатывающая промышленность</w:t>
            </w:r>
          </w:p>
        </w:tc>
        <w:tc>
          <w:tcPr>
            <w:tcW w:w="1134" w:type="dxa"/>
          </w:tcPr>
          <w:p w:rsidR="004E2069" w:rsidRPr="008F3857" w:rsidRDefault="004E2069" w:rsidP="0080373F">
            <w:pPr>
              <w:widowControl w:val="0"/>
              <w:ind w:right="260"/>
              <w:jc w:val="right"/>
              <w:rPr>
                <w:sz w:val="22"/>
                <w:szCs w:val="22"/>
              </w:rPr>
            </w:pPr>
            <w:r w:rsidRPr="008F3857">
              <w:rPr>
                <w:sz w:val="22"/>
                <w:szCs w:val="22"/>
              </w:rPr>
              <w:t>114,2</w:t>
            </w:r>
          </w:p>
        </w:tc>
        <w:tc>
          <w:tcPr>
            <w:tcW w:w="1134" w:type="dxa"/>
          </w:tcPr>
          <w:p w:rsidR="004E2069" w:rsidRPr="008F3857" w:rsidRDefault="004E2069" w:rsidP="0080373F">
            <w:pPr>
              <w:widowControl w:val="0"/>
              <w:ind w:right="260"/>
              <w:jc w:val="right"/>
              <w:rPr>
                <w:sz w:val="22"/>
                <w:szCs w:val="22"/>
              </w:rPr>
            </w:pPr>
            <w:r w:rsidRPr="008F3857">
              <w:rPr>
                <w:sz w:val="22"/>
                <w:szCs w:val="22"/>
              </w:rPr>
              <w:t>100,0</w:t>
            </w:r>
          </w:p>
        </w:tc>
        <w:tc>
          <w:tcPr>
            <w:tcW w:w="1134" w:type="dxa"/>
          </w:tcPr>
          <w:p w:rsidR="004E2069" w:rsidRPr="008F3857" w:rsidRDefault="004E2069" w:rsidP="0080373F">
            <w:pPr>
              <w:widowControl w:val="0"/>
              <w:ind w:right="260"/>
              <w:jc w:val="right"/>
              <w:rPr>
                <w:sz w:val="22"/>
                <w:szCs w:val="22"/>
              </w:rPr>
            </w:pPr>
            <w:r w:rsidRPr="008F3857">
              <w:rPr>
                <w:sz w:val="22"/>
                <w:szCs w:val="22"/>
              </w:rPr>
              <w:t>85,1</w:t>
            </w:r>
          </w:p>
        </w:tc>
        <w:tc>
          <w:tcPr>
            <w:tcW w:w="1111" w:type="dxa"/>
            <w:vAlign w:val="bottom"/>
          </w:tcPr>
          <w:p w:rsidR="004E2069" w:rsidRPr="008F3857" w:rsidRDefault="004E2069" w:rsidP="0080373F">
            <w:pPr>
              <w:widowControl w:val="0"/>
              <w:ind w:right="260"/>
              <w:jc w:val="right"/>
              <w:rPr>
                <w:sz w:val="22"/>
                <w:szCs w:val="22"/>
              </w:rPr>
            </w:pPr>
            <w:r w:rsidRPr="008F3857">
              <w:rPr>
                <w:sz w:val="22"/>
                <w:szCs w:val="22"/>
              </w:rPr>
              <w:t>100,0</w:t>
            </w:r>
          </w:p>
        </w:tc>
      </w:tr>
      <w:tr w:rsidR="004E2069" w:rsidRPr="008F3857" w:rsidTr="0080373F">
        <w:trPr>
          <w:trHeight w:val="158"/>
          <w:jc w:val="center"/>
        </w:trPr>
        <w:tc>
          <w:tcPr>
            <w:tcW w:w="5083" w:type="dxa"/>
            <w:vAlign w:val="center"/>
          </w:tcPr>
          <w:p w:rsidR="004E2069" w:rsidRPr="008F3857" w:rsidRDefault="004E2069" w:rsidP="0080373F">
            <w:pPr>
              <w:widowControl w:val="0"/>
              <w:jc w:val="both"/>
              <w:rPr>
                <w:sz w:val="22"/>
                <w:szCs w:val="22"/>
              </w:rPr>
            </w:pPr>
            <w:r w:rsidRPr="008F3857">
              <w:rPr>
                <w:sz w:val="22"/>
                <w:szCs w:val="22"/>
              </w:rPr>
              <w:t>Промышленность строительных материалов</w:t>
            </w:r>
          </w:p>
        </w:tc>
        <w:tc>
          <w:tcPr>
            <w:tcW w:w="1134" w:type="dxa"/>
          </w:tcPr>
          <w:p w:rsidR="004E2069" w:rsidRPr="008F3857" w:rsidRDefault="004E2069" w:rsidP="0080373F">
            <w:pPr>
              <w:widowControl w:val="0"/>
              <w:ind w:right="260"/>
              <w:jc w:val="right"/>
              <w:rPr>
                <w:sz w:val="22"/>
                <w:szCs w:val="22"/>
              </w:rPr>
            </w:pPr>
            <w:r w:rsidRPr="008F3857">
              <w:rPr>
                <w:sz w:val="22"/>
                <w:szCs w:val="22"/>
              </w:rPr>
              <w:t>99,2</w:t>
            </w:r>
          </w:p>
        </w:tc>
        <w:tc>
          <w:tcPr>
            <w:tcW w:w="1134" w:type="dxa"/>
          </w:tcPr>
          <w:p w:rsidR="004E2069" w:rsidRPr="008F3857" w:rsidRDefault="004E2069" w:rsidP="0080373F">
            <w:pPr>
              <w:widowControl w:val="0"/>
              <w:ind w:right="260"/>
              <w:jc w:val="right"/>
              <w:rPr>
                <w:sz w:val="22"/>
                <w:szCs w:val="22"/>
              </w:rPr>
            </w:pPr>
            <w:r w:rsidRPr="008F3857">
              <w:rPr>
                <w:sz w:val="22"/>
                <w:szCs w:val="22"/>
              </w:rPr>
              <w:t>71,7</w:t>
            </w:r>
          </w:p>
        </w:tc>
        <w:tc>
          <w:tcPr>
            <w:tcW w:w="1134" w:type="dxa"/>
          </w:tcPr>
          <w:p w:rsidR="004E2069" w:rsidRPr="008F3857" w:rsidRDefault="004E2069" w:rsidP="0080373F">
            <w:pPr>
              <w:widowControl w:val="0"/>
              <w:ind w:right="260"/>
              <w:jc w:val="right"/>
              <w:rPr>
                <w:sz w:val="22"/>
                <w:szCs w:val="22"/>
              </w:rPr>
            </w:pPr>
            <w:r w:rsidRPr="008F3857">
              <w:rPr>
                <w:sz w:val="22"/>
                <w:szCs w:val="22"/>
              </w:rPr>
              <w:t>117,0</w:t>
            </w:r>
          </w:p>
        </w:tc>
        <w:tc>
          <w:tcPr>
            <w:tcW w:w="1111" w:type="dxa"/>
            <w:vAlign w:val="bottom"/>
          </w:tcPr>
          <w:p w:rsidR="004E2069" w:rsidRPr="008F3857" w:rsidRDefault="004E2069" w:rsidP="0080373F">
            <w:pPr>
              <w:widowControl w:val="0"/>
              <w:ind w:right="260"/>
              <w:jc w:val="right"/>
              <w:rPr>
                <w:sz w:val="22"/>
                <w:szCs w:val="22"/>
              </w:rPr>
            </w:pPr>
            <w:r w:rsidRPr="008F3857">
              <w:rPr>
                <w:sz w:val="22"/>
                <w:szCs w:val="22"/>
              </w:rPr>
              <w:t>136,7</w:t>
            </w:r>
          </w:p>
        </w:tc>
      </w:tr>
      <w:tr w:rsidR="004E2069" w:rsidRPr="008F3857" w:rsidTr="0080373F">
        <w:trPr>
          <w:trHeight w:val="240"/>
          <w:jc w:val="center"/>
        </w:trPr>
        <w:tc>
          <w:tcPr>
            <w:tcW w:w="5083" w:type="dxa"/>
            <w:vAlign w:val="center"/>
          </w:tcPr>
          <w:p w:rsidR="004E2069" w:rsidRPr="008F3857" w:rsidRDefault="004E2069" w:rsidP="0080373F">
            <w:pPr>
              <w:widowControl w:val="0"/>
              <w:jc w:val="both"/>
              <w:rPr>
                <w:sz w:val="22"/>
                <w:szCs w:val="22"/>
              </w:rPr>
            </w:pPr>
            <w:r w:rsidRPr="008F3857">
              <w:rPr>
                <w:sz w:val="22"/>
                <w:szCs w:val="22"/>
              </w:rPr>
              <w:t>Лёгкая промышленность</w:t>
            </w:r>
          </w:p>
        </w:tc>
        <w:tc>
          <w:tcPr>
            <w:tcW w:w="1134" w:type="dxa"/>
          </w:tcPr>
          <w:p w:rsidR="004E2069" w:rsidRPr="008F3857" w:rsidRDefault="004E2069" w:rsidP="0080373F">
            <w:pPr>
              <w:widowControl w:val="0"/>
              <w:ind w:right="260"/>
              <w:jc w:val="right"/>
              <w:rPr>
                <w:sz w:val="22"/>
                <w:szCs w:val="22"/>
              </w:rPr>
            </w:pPr>
            <w:r w:rsidRPr="008F3857">
              <w:rPr>
                <w:sz w:val="22"/>
                <w:szCs w:val="22"/>
              </w:rPr>
              <w:t>100,0</w:t>
            </w:r>
          </w:p>
        </w:tc>
        <w:tc>
          <w:tcPr>
            <w:tcW w:w="1134" w:type="dxa"/>
          </w:tcPr>
          <w:p w:rsidR="004E2069" w:rsidRPr="008F3857" w:rsidRDefault="004E2069" w:rsidP="0080373F">
            <w:pPr>
              <w:widowControl w:val="0"/>
              <w:ind w:right="260"/>
              <w:jc w:val="right"/>
              <w:rPr>
                <w:sz w:val="22"/>
                <w:szCs w:val="22"/>
              </w:rPr>
            </w:pPr>
            <w:r w:rsidRPr="008F3857">
              <w:rPr>
                <w:sz w:val="22"/>
                <w:szCs w:val="22"/>
              </w:rPr>
              <w:t>99,7</w:t>
            </w:r>
          </w:p>
        </w:tc>
        <w:tc>
          <w:tcPr>
            <w:tcW w:w="1134" w:type="dxa"/>
          </w:tcPr>
          <w:p w:rsidR="004E2069" w:rsidRPr="008F3857" w:rsidRDefault="004E2069" w:rsidP="0080373F">
            <w:pPr>
              <w:widowControl w:val="0"/>
              <w:ind w:right="260"/>
              <w:jc w:val="right"/>
              <w:rPr>
                <w:sz w:val="22"/>
                <w:szCs w:val="22"/>
              </w:rPr>
            </w:pPr>
            <w:r w:rsidRPr="008F3857">
              <w:rPr>
                <w:sz w:val="22"/>
                <w:szCs w:val="22"/>
              </w:rPr>
              <w:t>100,0</w:t>
            </w:r>
          </w:p>
        </w:tc>
        <w:tc>
          <w:tcPr>
            <w:tcW w:w="1111" w:type="dxa"/>
            <w:vAlign w:val="bottom"/>
          </w:tcPr>
          <w:p w:rsidR="004E2069" w:rsidRPr="008F3857" w:rsidRDefault="004E2069" w:rsidP="0080373F">
            <w:pPr>
              <w:widowControl w:val="0"/>
              <w:ind w:right="260"/>
              <w:jc w:val="right"/>
              <w:rPr>
                <w:sz w:val="22"/>
                <w:szCs w:val="22"/>
              </w:rPr>
            </w:pPr>
            <w:r w:rsidRPr="008F3857">
              <w:rPr>
                <w:sz w:val="22"/>
                <w:szCs w:val="22"/>
              </w:rPr>
              <w:t>128,1</w:t>
            </w:r>
          </w:p>
        </w:tc>
      </w:tr>
      <w:tr w:rsidR="004E2069" w:rsidRPr="008F3857" w:rsidTr="0080373F">
        <w:trPr>
          <w:trHeight w:val="240"/>
          <w:jc w:val="center"/>
        </w:trPr>
        <w:tc>
          <w:tcPr>
            <w:tcW w:w="5083" w:type="dxa"/>
            <w:vAlign w:val="center"/>
          </w:tcPr>
          <w:p w:rsidR="004E2069" w:rsidRPr="008F3857" w:rsidRDefault="004E2069" w:rsidP="0080373F">
            <w:pPr>
              <w:widowControl w:val="0"/>
              <w:jc w:val="both"/>
              <w:rPr>
                <w:sz w:val="22"/>
                <w:szCs w:val="22"/>
              </w:rPr>
            </w:pPr>
            <w:r w:rsidRPr="008F3857">
              <w:rPr>
                <w:sz w:val="22"/>
                <w:szCs w:val="22"/>
              </w:rPr>
              <w:t>Пищевая промышленность</w:t>
            </w:r>
          </w:p>
        </w:tc>
        <w:tc>
          <w:tcPr>
            <w:tcW w:w="1134" w:type="dxa"/>
          </w:tcPr>
          <w:p w:rsidR="004E2069" w:rsidRPr="008F3857" w:rsidRDefault="004E2069" w:rsidP="0080373F">
            <w:pPr>
              <w:widowControl w:val="0"/>
              <w:ind w:right="260"/>
              <w:jc w:val="right"/>
              <w:rPr>
                <w:sz w:val="22"/>
                <w:szCs w:val="22"/>
              </w:rPr>
            </w:pPr>
            <w:r w:rsidRPr="008F3857">
              <w:rPr>
                <w:sz w:val="22"/>
                <w:szCs w:val="22"/>
              </w:rPr>
              <w:t>102,2</w:t>
            </w:r>
          </w:p>
        </w:tc>
        <w:tc>
          <w:tcPr>
            <w:tcW w:w="1134" w:type="dxa"/>
          </w:tcPr>
          <w:p w:rsidR="004E2069" w:rsidRPr="008F3857" w:rsidRDefault="004E2069" w:rsidP="0080373F">
            <w:pPr>
              <w:widowControl w:val="0"/>
              <w:ind w:right="260"/>
              <w:jc w:val="right"/>
              <w:rPr>
                <w:sz w:val="22"/>
                <w:szCs w:val="22"/>
              </w:rPr>
            </w:pPr>
            <w:r w:rsidRPr="008F3857">
              <w:rPr>
                <w:sz w:val="22"/>
                <w:szCs w:val="22"/>
              </w:rPr>
              <w:t>93,9</w:t>
            </w:r>
          </w:p>
        </w:tc>
        <w:tc>
          <w:tcPr>
            <w:tcW w:w="1134" w:type="dxa"/>
          </w:tcPr>
          <w:p w:rsidR="004E2069" w:rsidRPr="008F3857" w:rsidRDefault="004E2069" w:rsidP="0080373F">
            <w:pPr>
              <w:widowControl w:val="0"/>
              <w:ind w:right="260"/>
              <w:jc w:val="right"/>
              <w:rPr>
                <w:sz w:val="22"/>
                <w:szCs w:val="22"/>
              </w:rPr>
            </w:pPr>
            <w:r w:rsidRPr="008F3857">
              <w:rPr>
                <w:sz w:val="22"/>
                <w:szCs w:val="22"/>
              </w:rPr>
              <w:t>101,2</w:t>
            </w:r>
          </w:p>
        </w:tc>
        <w:tc>
          <w:tcPr>
            <w:tcW w:w="1111" w:type="dxa"/>
            <w:vAlign w:val="bottom"/>
          </w:tcPr>
          <w:p w:rsidR="004E2069" w:rsidRPr="008F3857" w:rsidRDefault="004E2069" w:rsidP="0080373F">
            <w:pPr>
              <w:widowControl w:val="0"/>
              <w:ind w:right="260"/>
              <w:jc w:val="right"/>
              <w:rPr>
                <w:sz w:val="22"/>
                <w:szCs w:val="22"/>
              </w:rPr>
            </w:pPr>
            <w:r w:rsidRPr="008F3857">
              <w:rPr>
                <w:sz w:val="22"/>
                <w:szCs w:val="22"/>
              </w:rPr>
              <w:t>108,8</w:t>
            </w:r>
          </w:p>
        </w:tc>
      </w:tr>
      <w:tr w:rsidR="004E2069" w:rsidRPr="008F3857" w:rsidTr="0080373F">
        <w:trPr>
          <w:trHeight w:val="132"/>
          <w:jc w:val="center"/>
        </w:trPr>
        <w:tc>
          <w:tcPr>
            <w:tcW w:w="5083" w:type="dxa"/>
            <w:vAlign w:val="center"/>
          </w:tcPr>
          <w:p w:rsidR="004E2069" w:rsidRPr="008F3857" w:rsidRDefault="004E2069" w:rsidP="0080373F">
            <w:pPr>
              <w:widowControl w:val="0"/>
              <w:jc w:val="both"/>
              <w:rPr>
                <w:sz w:val="22"/>
                <w:szCs w:val="22"/>
              </w:rPr>
            </w:pPr>
            <w:r w:rsidRPr="008F3857">
              <w:rPr>
                <w:sz w:val="22"/>
                <w:szCs w:val="22"/>
              </w:rPr>
              <w:t>Полиграфическая промышленность</w:t>
            </w:r>
          </w:p>
        </w:tc>
        <w:tc>
          <w:tcPr>
            <w:tcW w:w="1134" w:type="dxa"/>
          </w:tcPr>
          <w:p w:rsidR="004E2069" w:rsidRPr="008F3857" w:rsidRDefault="004E2069" w:rsidP="0080373F">
            <w:pPr>
              <w:widowControl w:val="0"/>
              <w:ind w:right="260"/>
              <w:jc w:val="right"/>
              <w:rPr>
                <w:sz w:val="22"/>
                <w:szCs w:val="22"/>
              </w:rPr>
            </w:pPr>
            <w:r w:rsidRPr="008F3857">
              <w:rPr>
                <w:sz w:val="22"/>
                <w:szCs w:val="22"/>
              </w:rPr>
              <w:t>101,2</w:t>
            </w:r>
          </w:p>
        </w:tc>
        <w:tc>
          <w:tcPr>
            <w:tcW w:w="1134" w:type="dxa"/>
          </w:tcPr>
          <w:p w:rsidR="004E2069" w:rsidRPr="008F3857" w:rsidRDefault="004E2069" w:rsidP="0080373F">
            <w:pPr>
              <w:widowControl w:val="0"/>
              <w:ind w:right="260"/>
              <w:jc w:val="right"/>
              <w:rPr>
                <w:sz w:val="22"/>
                <w:szCs w:val="22"/>
              </w:rPr>
            </w:pPr>
            <w:r w:rsidRPr="008F3857">
              <w:rPr>
                <w:sz w:val="22"/>
                <w:szCs w:val="22"/>
              </w:rPr>
              <w:t>105,7</w:t>
            </w:r>
          </w:p>
        </w:tc>
        <w:tc>
          <w:tcPr>
            <w:tcW w:w="1134" w:type="dxa"/>
          </w:tcPr>
          <w:p w:rsidR="004E2069" w:rsidRPr="008F3857" w:rsidRDefault="004E2069" w:rsidP="0080373F">
            <w:pPr>
              <w:widowControl w:val="0"/>
              <w:ind w:right="260"/>
              <w:jc w:val="right"/>
              <w:rPr>
                <w:sz w:val="22"/>
                <w:szCs w:val="22"/>
              </w:rPr>
            </w:pPr>
            <w:r w:rsidRPr="008F3857">
              <w:rPr>
                <w:sz w:val="22"/>
                <w:szCs w:val="22"/>
              </w:rPr>
              <w:t>100,0</w:t>
            </w:r>
          </w:p>
        </w:tc>
        <w:tc>
          <w:tcPr>
            <w:tcW w:w="1111" w:type="dxa"/>
            <w:vAlign w:val="bottom"/>
          </w:tcPr>
          <w:p w:rsidR="004E2069" w:rsidRPr="008F3857" w:rsidRDefault="004E2069" w:rsidP="0080373F">
            <w:pPr>
              <w:widowControl w:val="0"/>
              <w:ind w:right="260"/>
              <w:jc w:val="right"/>
              <w:rPr>
                <w:sz w:val="22"/>
                <w:szCs w:val="22"/>
              </w:rPr>
            </w:pPr>
            <w:r w:rsidRPr="008F3857">
              <w:rPr>
                <w:sz w:val="22"/>
                <w:szCs w:val="22"/>
              </w:rPr>
              <w:t>102,7</w:t>
            </w:r>
          </w:p>
        </w:tc>
      </w:tr>
      <w:tr w:rsidR="004E2069" w:rsidRPr="008F3857" w:rsidTr="0080373F">
        <w:trPr>
          <w:trHeight w:val="62"/>
          <w:jc w:val="center"/>
        </w:trPr>
        <w:tc>
          <w:tcPr>
            <w:tcW w:w="5083" w:type="dxa"/>
            <w:shd w:val="clear" w:color="auto" w:fill="E0E0E0"/>
            <w:vAlign w:val="center"/>
          </w:tcPr>
          <w:p w:rsidR="004E2069" w:rsidRPr="008F3857" w:rsidRDefault="004E2069" w:rsidP="0080373F">
            <w:pPr>
              <w:widowControl w:val="0"/>
              <w:jc w:val="both"/>
              <w:rPr>
                <w:sz w:val="22"/>
                <w:szCs w:val="22"/>
              </w:rPr>
            </w:pPr>
            <w:r w:rsidRPr="008F3857">
              <w:rPr>
                <w:sz w:val="22"/>
                <w:szCs w:val="22"/>
              </w:rPr>
              <w:t>Всего по промышленности</w:t>
            </w:r>
          </w:p>
        </w:tc>
        <w:tc>
          <w:tcPr>
            <w:tcW w:w="1134" w:type="dxa"/>
            <w:shd w:val="clear" w:color="auto" w:fill="E0E0E0"/>
          </w:tcPr>
          <w:p w:rsidR="004E2069" w:rsidRPr="008F3857" w:rsidRDefault="004E2069" w:rsidP="0080373F">
            <w:pPr>
              <w:widowControl w:val="0"/>
              <w:ind w:right="260"/>
              <w:jc w:val="right"/>
              <w:rPr>
                <w:sz w:val="22"/>
                <w:szCs w:val="22"/>
              </w:rPr>
            </w:pPr>
            <w:r w:rsidRPr="008F3857">
              <w:rPr>
                <w:sz w:val="22"/>
                <w:szCs w:val="22"/>
              </w:rPr>
              <w:t>107,7</w:t>
            </w:r>
          </w:p>
        </w:tc>
        <w:tc>
          <w:tcPr>
            <w:tcW w:w="1134" w:type="dxa"/>
            <w:shd w:val="clear" w:color="auto" w:fill="E0E0E0"/>
          </w:tcPr>
          <w:p w:rsidR="004E2069" w:rsidRPr="008F3857" w:rsidRDefault="004E2069" w:rsidP="0080373F">
            <w:pPr>
              <w:widowControl w:val="0"/>
              <w:ind w:right="260"/>
              <w:jc w:val="right"/>
              <w:rPr>
                <w:sz w:val="22"/>
                <w:szCs w:val="22"/>
              </w:rPr>
            </w:pPr>
            <w:r w:rsidRPr="008F3857">
              <w:rPr>
                <w:sz w:val="22"/>
                <w:szCs w:val="22"/>
              </w:rPr>
              <w:t>80,0</w:t>
            </w:r>
          </w:p>
        </w:tc>
        <w:tc>
          <w:tcPr>
            <w:tcW w:w="1134" w:type="dxa"/>
            <w:shd w:val="clear" w:color="auto" w:fill="E0E0E0"/>
          </w:tcPr>
          <w:p w:rsidR="004E2069" w:rsidRPr="008F3857" w:rsidRDefault="004E2069" w:rsidP="0080373F">
            <w:pPr>
              <w:widowControl w:val="0"/>
              <w:ind w:right="260"/>
              <w:jc w:val="right"/>
              <w:rPr>
                <w:sz w:val="22"/>
                <w:szCs w:val="22"/>
              </w:rPr>
            </w:pPr>
            <w:r w:rsidRPr="008F3857">
              <w:rPr>
                <w:sz w:val="22"/>
                <w:szCs w:val="22"/>
              </w:rPr>
              <w:t>110,4</w:t>
            </w:r>
          </w:p>
        </w:tc>
        <w:tc>
          <w:tcPr>
            <w:tcW w:w="1111" w:type="dxa"/>
            <w:shd w:val="clear" w:color="auto" w:fill="E0E0E0"/>
            <w:vAlign w:val="bottom"/>
          </w:tcPr>
          <w:p w:rsidR="004E2069" w:rsidRPr="008F3857" w:rsidRDefault="004E2069" w:rsidP="0080373F">
            <w:pPr>
              <w:widowControl w:val="0"/>
              <w:ind w:right="260"/>
              <w:jc w:val="right"/>
              <w:rPr>
                <w:sz w:val="22"/>
                <w:szCs w:val="22"/>
              </w:rPr>
            </w:pPr>
            <w:r w:rsidRPr="008F3857">
              <w:rPr>
                <w:sz w:val="22"/>
                <w:szCs w:val="22"/>
              </w:rPr>
              <w:t>118,5</w:t>
            </w:r>
          </w:p>
        </w:tc>
      </w:tr>
    </w:tbl>
    <w:p w:rsidR="004E2069" w:rsidRPr="008C1A32" w:rsidRDefault="004E2069" w:rsidP="00DC0A7D">
      <w:pPr>
        <w:widowControl w:val="0"/>
        <w:spacing w:before="120" w:after="120"/>
        <w:ind w:left="425"/>
        <w:jc w:val="both"/>
        <w:rPr>
          <w:i/>
          <w:iCs/>
          <w:noProof/>
          <w:sz w:val="24"/>
          <w:szCs w:val="24"/>
        </w:rPr>
      </w:pPr>
      <w:r w:rsidRPr="008C1A32">
        <w:rPr>
          <w:i/>
          <w:iCs/>
          <w:noProof/>
          <w:sz w:val="24"/>
          <w:szCs w:val="24"/>
        </w:rPr>
        <w:t>Социальная сфера</w:t>
      </w:r>
      <w:r w:rsidRPr="008C1A32">
        <w:rPr>
          <w:rStyle w:val="FootnoteReference"/>
          <w:i/>
          <w:iCs/>
          <w:noProof/>
          <w:sz w:val="24"/>
          <w:szCs w:val="24"/>
        </w:rPr>
        <w:footnoteReference w:id="7"/>
      </w:r>
    </w:p>
    <w:p w:rsidR="004E2069" w:rsidRPr="008C1A32" w:rsidRDefault="004E2069" w:rsidP="00DC0A7D">
      <w:pPr>
        <w:widowControl w:val="0"/>
        <w:autoSpaceDE w:val="0"/>
        <w:autoSpaceDN w:val="0"/>
        <w:adjustRightInd w:val="0"/>
        <w:ind w:firstLine="425"/>
        <w:jc w:val="both"/>
        <w:rPr>
          <w:sz w:val="24"/>
          <w:szCs w:val="24"/>
        </w:rPr>
      </w:pPr>
      <w:r w:rsidRPr="008C1A32">
        <w:rPr>
          <w:sz w:val="24"/>
          <w:szCs w:val="24"/>
        </w:rPr>
        <w:t>В январе-сентябре 2017 года полученные гражданами республики номинальные денежные доходы по сравнению с уровнем соответствующего периода предыдущего года увеличились на 26,7%, а с учётом повышения потребительских цен – на 18,5%</w:t>
      </w:r>
      <w:r w:rsidRPr="008C1A32">
        <w:rPr>
          <w:rStyle w:val="FootnoteReference"/>
          <w:sz w:val="24"/>
          <w:szCs w:val="24"/>
        </w:rPr>
        <w:footnoteReference w:id="8"/>
      </w:r>
      <w:r w:rsidRPr="008C1A32">
        <w:rPr>
          <w:sz w:val="24"/>
          <w:szCs w:val="24"/>
        </w:rPr>
        <w:t xml:space="preserve">, и сложились в сумме 8 924,5 млн руб. В среднем на человека денежные доходы составили 2 111,0 руб. в месяц против 1 652,1 руб. годом ранее. </w:t>
      </w:r>
    </w:p>
    <w:p w:rsidR="004E2069" w:rsidRPr="008C1A32" w:rsidRDefault="004E2069" w:rsidP="00DC0A7D">
      <w:pPr>
        <w:ind w:firstLine="425"/>
        <w:jc w:val="both"/>
        <w:rPr>
          <w:sz w:val="24"/>
          <w:szCs w:val="24"/>
        </w:rPr>
      </w:pPr>
      <w:r w:rsidRPr="008C1A32">
        <w:rPr>
          <w:sz w:val="24"/>
          <w:szCs w:val="24"/>
        </w:rPr>
        <w:t>Номинальный размер средств, остающихся в личном распоряжении граждан</w:t>
      </w:r>
      <w:r w:rsidRPr="008C1A32">
        <w:rPr>
          <w:rStyle w:val="FootnoteReference"/>
          <w:sz w:val="24"/>
          <w:szCs w:val="24"/>
        </w:rPr>
        <w:footnoteReference w:id="9"/>
      </w:r>
      <w:r w:rsidRPr="008C1A32">
        <w:rPr>
          <w:sz w:val="24"/>
          <w:szCs w:val="24"/>
        </w:rPr>
        <w:t>, вырос по отношению к сопоставимому уровню 2016 года на 29,7% (до 8 339,5 млн руб.), а их реальный объём, характеризующий величину материальных благ и услуг, которое на них можно приобрести, – на 21,3%.</w:t>
      </w:r>
    </w:p>
    <w:p w:rsidR="004E2069" w:rsidRPr="008C1A32" w:rsidRDefault="004E2069" w:rsidP="00DC0A7D">
      <w:pPr>
        <w:widowControl w:val="0"/>
        <w:ind w:firstLine="425"/>
        <w:jc w:val="both"/>
        <w:rPr>
          <w:color w:val="000000"/>
          <w:sz w:val="24"/>
          <w:szCs w:val="24"/>
        </w:rPr>
      </w:pPr>
      <w:r w:rsidRPr="008C1A32">
        <w:rPr>
          <w:sz w:val="24"/>
          <w:szCs w:val="24"/>
        </w:rPr>
        <w:t>Прожиточный минимум</w:t>
      </w:r>
      <w:r>
        <w:rPr>
          <w:sz w:val="24"/>
          <w:szCs w:val="24"/>
        </w:rPr>
        <w:t xml:space="preserve"> </w:t>
      </w:r>
      <w:r w:rsidRPr="008C1A32">
        <w:rPr>
          <w:sz w:val="24"/>
          <w:szCs w:val="24"/>
        </w:rPr>
        <w:t xml:space="preserve">за январь-сентябрь </w:t>
      </w:r>
      <w:r>
        <w:rPr>
          <w:sz w:val="24"/>
          <w:szCs w:val="24"/>
        </w:rPr>
        <w:t>2017</w:t>
      </w:r>
      <w:r w:rsidRPr="008C1A32">
        <w:rPr>
          <w:sz w:val="24"/>
          <w:szCs w:val="24"/>
        </w:rPr>
        <w:t xml:space="preserve"> года повысился на 4,8%</w:t>
      </w:r>
      <w:r>
        <w:rPr>
          <w:sz w:val="24"/>
          <w:szCs w:val="24"/>
        </w:rPr>
        <w:t xml:space="preserve">, до </w:t>
      </w:r>
      <w:r>
        <w:rPr>
          <w:sz w:val="24"/>
          <w:szCs w:val="24"/>
        </w:rPr>
        <w:br/>
      </w:r>
      <w:r w:rsidRPr="008C1A32">
        <w:rPr>
          <w:sz w:val="24"/>
          <w:szCs w:val="24"/>
        </w:rPr>
        <w:t>1 341,1 руб. При этом более активные темпы роста среднедушевых доходов (+27,8%) способствовали увеличению их покупательной способности с 1,29 до 1,57 расчётной стоимости набора</w:t>
      </w:r>
      <w:r w:rsidRPr="008C1A32">
        <w:rPr>
          <w:color w:val="000000"/>
          <w:sz w:val="24"/>
          <w:szCs w:val="24"/>
        </w:rPr>
        <w:t xml:space="preserve"> товаров и услуг, обеспечивающих минимальные </w:t>
      </w:r>
      <w:r w:rsidRPr="008C1A32">
        <w:rPr>
          <w:sz w:val="24"/>
          <w:szCs w:val="24"/>
        </w:rPr>
        <w:t>потребности граждан</w:t>
      </w:r>
      <w:r w:rsidRPr="008C1A32">
        <w:rPr>
          <w:color w:val="000000"/>
          <w:sz w:val="24"/>
          <w:szCs w:val="24"/>
        </w:rPr>
        <w:t xml:space="preserve">. </w:t>
      </w:r>
    </w:p>
    <w:p w:rsidR="004E2069" w:rsidRDefault="004E2069" w:rsidP="00DC0A7D">
      <w:pPr>
        <w:widowControl w:val="0"/>
        <w:ind w:firstLine="425"/>
        <w:jc w:val="both"/>
        <w:rPr>
          <w:sz w:val="24"/>
          <w:szCs w:val="24"/>
        </w:rPr>
      </w:pPr>
      <w:r w:rsidRPr="008C1A32">
        <w:rPr>
          <w:sz w:val="24"/>
          <w:szCs w:val="24"/>
        </w:rPr>
        <w:t>Вследствие относительного выравнивания ситуации на валютно</w:t>
      </w:r>
      <w:r>
        <w:rPr>
          <w:sz w:val="24"/>
          <w:szCs w:val="24"/>
        </w:rPr>
        <w:t xml:space="preserve">м рынке и </w:t>
      </w:r>
      <w:r w:rsidRPr="000C48B3">
        <w:rPr>
          <w:sz w:val="24"/>
          <w:szCs w:val="24"/>
        </w:rPr>
        <w:t xml:space="preserve">возврата в легальное поле налично-обменных операций, </w:t>
      </w:r>
      <w:r w:rsidRPr="000C48B3">
        <w:rPr>
          <w:color w:val="000000"/>
          <w:sz w:val="24"/>
          <w:szCs w:val="24"/>
        </w:rPr>
        <w:t>объём средств</w:t>
      </w:r>
      <w:r w:rsidRPr="000C48B3">
        <w:rPr>
          <w:sz w:val="24"/>
          <w:szCs w:val="24"/>
        </w:rPr>
        <w:t>, вовлечённых в конверсионные операции, возрос вдвое и сложился на уровне 1 427,3 млн руб., что соот</w:t>
      </w:r>
      <w:r w:rsidRPr="008C1A32">
        <w:rPr>
          <w:sz w:val="24"/>
          <w:szCs w:val="24"/>
        </w:rPr>
        <w:t xml:space="preserve">ветствует 16,0% совокупных доходов (+6,1 п.п.). </w:t>
      </w:r>
    </w:p>
    <w:p w:rsidR="004E2069" w:rsidRPr="008C1A32" w:rsidRDefault="004E2069" w:rsidP="00DC0A7D">
      <w:pPr>
        <w:widowControl w:val="0"/>
        <w:ind w:firstLine="425"/>
        <w:jc w:val="both"/>
        <w:rPr>
          <w:color w:val="000000"/>
          <w:sz w:val="24"/>
          <w:szCs w:val="24"/>
        </w:rPr>
      </w:pPr>
      <w:r w:rsidRPr="008C1A32">
        <w:rPr>
          <w:color w:val="000000"/>
          <w:sz w:val="24"/>
          <w:szCs w:val="24"/>
        </w:rPr>
        <w:t xml:space="preserve">На этом фоне доля заработной платы, являющейся по-прежнему главным источником денежных поступлений для населения (41,5%), в структуре доходов существенно снизилась – на 10,7 п.п. </w:t>
      </w:r>
      <w:r w:rsidRPr="008C1A32">
        <w:rPr>
          <w:sz w:val="24"/>
          <w:szCs w:val="24"/>
        </w:rPr>
        <w:t>О</w:t>
      </w:r>
      <w:r w:rsidRPr="008C1A32">
        <w:rPr>
          <w:color w:val="000000"/>
          <w:sz w:val="24"/>
          <w:szCs w:val="24"/>
        </w:rPr>
        <w:t xml:space="preserve">бщий объём </w:t>
      </w:r>
      <w:r w:rsidRPr="008C1A32">
        <w:rPr>
          <w:sz w:val="24"/>
          <w:szCs w:val="24"/>
        </w:rPr>
        <w:t>начисленного фонда оплаты труда всех работающих за январь-сентябрь составил 3 773,7</w:t>
      </w:r>
      <w:r w:rsidRPr="008C1A32">
        <w:rPr>
          <w:color w:val="000000"/>
          <w:sz w:val="24"/>
          <w:szCs w:val="24"/>
        </w:rPr>
        <w:t xml:space="preserve"> млн руб. (+0,9%). </w:t>
      </w:r>
    </w:p>
    <w:p w:rsidR="004E2069" w:rsidRDefault="004E2069" w:rsidP="00DC0A7D">
      <w:pPr>
        <w:widowControl w:val="0"/>
        <w:ind w:firstLine="425"/>
        <w:jc w:val="both"/>
        <w:rPr>
          <w:color w:val="000000"/>
          <w:sz w:val="24"/>
          <w:szCs w:val="24"/>
        </w:rPr>
      </w:pPr>
      <w:r w:rsidRPr="00A727F2">
        <w:rPr>
          <w:color w:val="000000"/>
          <w:sz w:val="24"/>
          <w:szCs w:val="24"/>
        </w:rPr>
        <w:t>Задолженность по зарплате</w:t>
      </w:r>
      <w:r w:rsidRPr="008C1A32">
        <w:rPr>
          <w:color w:val="000000"/>
          <w:sz w:val="24"/>
          <w:szCs w:val="24"/>
        </w:rPr>
        <w:t xml:space="preserve"> в реальном секторе экономики сложилась в пределах </w:t>
      </w:r>
      <w:r>
        <w:rPr>
          <w:color w:val="000000"/>
          <w:sz w:val="24"/>
          <w:szCs w:val="24"/>
        </w:rPr>
        <w:br/>
      </w:r>
      <w:r w:rsidRPr="008C1A32">
        <w:rPr>
          <w:color w:val="000000"/>
          <w:sz w:val="24"/>
          <w:szCs w:val="24"/>
        </w:rPr>
        <w:t>68 млн руб.</w:t>
      </w:r>
      <w:r>
        <w:rPr>
          <w:color w:val="000000"/>
          <w:sz w:val="24"/>
          <w:szCs w:val="24"/>
        </w:rPr>
        <w:t xml:space="preserve"> (+5</w:t>
      </w:r>
      <w:r w:rsidRPr="008C1A32">
        <w:rPr>
          <w:color w:val="000000"/>
          <w:sz w:val="24"/>
          <w:szCs w:val="24"/>
        </w:rPr>
        <w:t xml:space="preserve">,4% </w:t>
      </w:r>
      <w:r>
        <w:rPr>
          <w:color w:val="000000"/>
          <w:sz w:val="24"/>
          <w:szCs w:val="24"/>
        </w:rPr>
        <w:t>к уровню</w:t>
      </w:r>
      <w:r w:rsidRPr="008C1A32">
        <w:rPr>
          <w:color w:val="000000"/>
          <w:sz w:val="24"/>
          <w:szCs w:val="24"/>
        </w:rPr>
        <w:t xml:space="preserve"> на 1 октября 2016 года</w:t>
      </w:r>
      <w:r>
        <w:rPr>
          <w:color w:val="000000"/>
          <w:sz w:val="24"/>
          <w:szCs w:val="24"/>
        </w:rPr>
        <w:t>),</w:t>
      </w:r>
      <w:r w:rsidRPr="008C1A32">
        <w:rPr>
          <w:color w:val="000000"/>
          <w:sz w:val="24"/>
          <w:szCs w:val="24"/>
        </w:rPr>
        <w:t xml:space="preserve"> </w:t>
      </w:r>
      <w:r>
        <w:rPr>
          <w:color w:val="000000"/>
          <w:sz w:val="24"/>
          <w:szCs w:val="24"/>
        </w:rPr>
        <w:t>бол</w:t>
      </w:r>
      <w:r w:rsidRPr="008C1A32">
        <w:rPr>
          <w:color w:val="000000"/>
          <w:sz w:val="24"/>
          <w:szCs w:val="24"/>
        </w:rPr>
        <w:t xml:space="preserve">ьше половины </w:t>
      </w:r>
      <w:r>
        <w:rPr>
          <w:color w:val="000000"/>
          <w:sz w:val="24"/>
          <w:szCs w:val="24"/>
        </w:rPr>
        <w:t xml:space="preserve">из которой </w:t>
      </w:r>
      <w:r w:rsidRPr="008C1A32">
        <w:rPr>
          <w:color w:val="000000"/>
          <w:sz w:val="24"/>
          <w:szCs w:val="24"/>
        </w:rPr>
        <w:t>составляют обязательства перед работниками предприятий индустрии (54,9%)</w:t>
      </w:r>
      <w:r>
        <w:rPr>
          <w:color w:val="000000"/>
          <w:sz w:val="24"/>
          <w:szCs w:val="24"/>
        </w:rPr>
        <w:t>.</w:t>
      </w:r>
      <w:r w:rsidRPr="008C1A32">
        <w:rPr>
          <w:color w:val="000000"/>
          <w:sz w:val="24"/>
          <w:szCs w:val="24"/>
        </w:rPr>
        <w:t xml:space="preserve"> Совокупная задолженность сложилась на отметке 16,1% среднемесячного фонда оплаты труда (15,4% – годом ранее). </w:t>
      </w:r>
      <w:r w:rsidRPr="00B71C5D">
        <w:rPr>
          <w:color w:val="000000"/>
          <w:sz w:val="24"/>
          <w:szCs w:val="24"/>
        </w:rPr>
        <w:t>Важно также отметить, что задолженность по зарплате перед работниками на государственных учреждениях отсутствовала.</w:t>
      </w:r>
      <w:r>
        <w:rPr>
          <w:color w:val="000000"/>
          <w:sz w:val="24"/>
          <w:szCs w:val="24"/>
        </w:rPr>
        <w:t xml:space="preserve"> </w:t>
      </w:r>
    </w:p>
    <w:p w:rsidR="004E2069" w:rsidRPr="008C1A32" w:rsidRDefault="004E2069" w:rsidP="00DC0A7D">
      <w:pPr>
        <w:widowControl w:val="0"/>
        <w:ind w:firstLine="425"/>
        <w:jc w:val="both"/>
        <w:rPr>
          <w:sz w:val="24"/>
          <w:szCs w:val="24"/>
        </w:rPr>
      </w:pPr>
      <w:r w:rsidRPr="008C1A32">
        <w:rPr>
          <w:sz w:val="24"/>
          <w:szCs w:val="24"/>
        </w:rPr>
        <w:t>Среднемесячная заработная плата одного работника в целом по экономике, включая субъекты малого предпринимательства, согласно оценке Государственной службы статистики ПМР, сложилась на уровне 3 843,0 руб., что в номинальном выражении на 1,9% выше базисного значения, а в реальном – на 4,7% ниже. При этом оплата труда работающих на крупных предприятиях составила 3 9</w:t>
      </w:r>
      <w:r>
        <w:rPr>
          <w:sz w:val="24"/>
          <w:szCs w:val="24"/>
        </w:rPr>
        <w:t>01,0 руб., увеличившись на 2,2%.</w:t>
      </w:r>
      <w:r w:rsidRPr="008C1A32">
        <w:rPr>
          <w:sz w:val="24"/>
          <w:szCs w:val="24"/>
        </w:rPr>
        <w:t xml:space="preserve"> Занятые в малом бизнесе получали в среднем 3 205,1 руб.</w:t>
      </w:r>
      <w:r w:rsidRPr="007851E0">
        <w:rPr>
          <w:sz w:val="24"/>
          <w:szCs w:val="24"/>
        </w:rPr>
        <w:t xml:space="preserve"> </w:t>
      </w:r>
      <w:r w:rsidRPr="008C1A32">
        <w:rPr>
          <w:sz w:val="24"/>
          <w:szCs w:val="24"/>
        </w:rPr>
        <w:t xml:space="preserve">в месяц, что </w:t>
      </w:r>
      <w:r>
        <w:rPr>
          <w:color w:val="000000"/>
          <w:sz w:val="24"/>
          <w:szCs w:val="24"/>
        </w:rPr>
        <w:t xml:space="preserve">практически </w:t>
      </w:r>
      <w:r w:rsidRPr="008C1A32">
        <w:rPr>
          <w:color w:val="000000"/>
          <w:sz w:val="24"/>
          <w:szCs w:val="24"/>
        </w:rPr>
        <w:t>соответствовал</w:t>
      </w:r>
      <w:r>
        <w:rPr>
          <w:color w:val="000000"/>
          <w:sz w:val="24"/>
          <w:szCs w:val="24"/>
        </w:rPr>
        <w:t>о</w:t>
      </w:r>
      <w:r w:rsidRPr="008C1A32">
        <w:rPr>
          <w:color w:val="000000"/>
          <w:sz w:val="24"/>
          <w:szCs w:val="24"/>
        </w:rPr>
        <w:t xml:space="preserve"> уровню базисного периода </w:t>
      </w:r>
      <w:r>
        <w:rPr>
          <w:color w:val="000000"/>
          <w:sz w:val="24"/>
          <w:szCs w:val="24"/>
        </w:rPr>
        <w:t>(+</w:t>
      </w:r>
      <w:r w:rsidRPr="008C1A32">
        <w:rPr>
          <w:sz w:val="24"/>
          <w:szCs w:val="24"/>
        </w:rPr>
        <w:t>0,6%</w:t>
      </w:r>
      <w:r>
        <w:rPr>
          <w:sz w:val="24"/>
          <w:szCs w:val="24"/>
        </w:rPr>
        <w:t>).</w:t>
      </w:r>
      <w:r w:rsidRPr="008C1A32">
        <w:rPr>
          <w:sz w:val="24"/>
          <w:szCs w:val="24"/>
        </w:rPr>
        <w:t xml:space="preserve"> </w:t>
      </w:r>
      <w:r>
        <w:rPr>
          <w:color w:val="000000"/>
          <w:sz w:val="24"/>
          <w:szCs w:val="24"/>
        </w:rPr>
        <w:t>Практически не изменилась и з</w:t>
      </w:r>
      <w:r w:rsidRPr="008C1A32">
        <w:rPr>
          <w:color w:val="000000"/>
          <w:sz w:val="24"/>
          <w:szCs w:val="24"/>
        </w:rPr>
        <w:t>аработная плата работников бюджетной сферы</w:t>
      </w:r>
      <w:r>
        <w:rPr>
          <w:color w:val="000000"/>
          <w:sz w:val="24"/>
          <w:szCs w:val="24"/>
        </w:rPr>
        <w:t xml:space="preserve"> </w:t>
      </w:r>
      <w:r w:rsidRPr="008C1A32">
        <w:rPr>
          <w:color w:val="000000"/>
          <w:sz w:val="24"/>
          <w:szCs w:val="24"/>
        </w:rPr>
        <w:t>–</w:t>
      </w:r>
      <w:r>
        <w:rPr>
          <w:color w:val="000000"/>
          <w:sz w:val="24"/>
          <w:szCs w:val="24"/>
        </w:rPr>
        <w:t xml:space="preserve"> </w:t>
      </w:r>
      <w:r w:rsidRPr="008C1A32">
        <w:rPr>
          <w:color w:val="000000"/>
          <w:sz w:val="24"/>
          <w:szCs w:val="24"/>
        </w:rPr>
        <w:t>2 720,0 руб. (+0,8%).</w:t>
      </w:r>
    </w:p>
    <w:p w:rsidR="004E2069" w:rsidRPr="008C1A32" w:rsidRDefault="004E2069" w:rsidP="00DC0A7D">
      <w:pPr>
        <w:pStyle w:val="BodyTextIndent3"/>
        <w:spacing w:after="0"/>
        <w:ind w:left="0" w:firstLine="425"/>
        <w:jc w:val="both"/>
        <w:rPr>
          <w:sz w:val="24"/>
          <w:szCs w:val="24"/>
        </w:rPr>
      </w:pPr>
      <w:r w:rsidRPr="000C48B3">
        <w:rPr>
          <w:sz w:val="24"/>
          <w:szCs w:val="24"/>
        </w:rPr>
        <w:t>В рамках создания условий для поддержания стабильности в сфере материального обеспечения пенсионеров государством был предпринят ряд шагов по его улучшению.</w:t>
      </w:r>
      <w:r w:rsidRPr="000C48B3">
        <w:t xml:space="preserve"> </w:t>
      </w:r>
      <w:r w:rsidRPr="000C48B3">
        <w:rPr>
          <w:sz w:val="24"/>
          <w:szCs w:val="24"/>
        </w:rPr>
        <w:t xml:space="preserve"> Так,</w:t>
      </w:r>
      <w:r w:rsidRPr="008C1A32">
        <w:rPr>
          <w:sz w:val="24"/>
          <w:szCs w:val="24"/>
        </w:rPr>
        <w:t xml:space="preserve"> помимо имеющихся льгот на услуги жилищно-коммунального хозяйства, в течение отчётного периода пенсионерам дополнительно предоставлялись дотации на газ и бесплатный проезд в городском общественном транспорте. Средний размер пенсии</w:t>
      </w:r>
      <w:r w:rsidRPr="008C1A32">
        <w:rPr>
          <w:rStyle w:val="FootnoteReference"/>
          <w:color w:val="000000"/>
          <w:sz w:val="24"/>
          <w:szCs w:val="24"/>
        </w:rPr>
        <w:footnoteReference w:id="10"/>
      </w:r>
      <w:r w:rsidRPr="008C1A32">
        <w:rPr>
          <w:sz w:val="24"/>
          <w:szCs w:val="24"/>
        </w:rPr>
        <w:t xml:space="preserve"> с учётом корректировок и надбавок практически соответствовал базисному уровню, составив 1 346,0 руб. Это на 19,1% выше расчётного значения прожиточного минимума пенсионеров (1 129,9 руб</w:t>
      </w:r>
      <w:r w:rsidRPr="000C48B3">
        <w:rPr>
          <w:sz w:val="24"/>
          <w:szCs w:val="24"/>
        </w:rPr>
        <w:t>.). В целях поддержки</w:t>
      </w:r>
      <w:r w:rsidRPr="008C1A32">
        <w:rPr>
          <w:sz w:val="24"/>
          <w:szCs w:val="24"/>
        </w:rPr>
        <w:t xml:space="preserve"> данной категории населения производились дополнительные выплаты, увеличивающие сумму пенсии в среднем до 1 500 руб. (1,32 набора минимальных необходимых благ). </w:t>
      </w:r>
      <w:r w:rsidRPr="000C48B3">
        <w:rPr>
          <w:sz w:val="24"/>
          <w:szCs w:val="24"/>
        </w:rPr>
        <w:t>С учётом пенсий, получаемых гражданами других государств, проживающи</w:t>
      </w:r>
      <w:r>
        <w:rPr>
          <w:sz w:val="24"/>
          <w:szCs w:val="24"/>
        </w:rPr>
        <w:t>ми</w:t>
      </w:r>
      <w:r w:rsidRPr="000C48B3">
        <w:rPr>
          <w:sz w:val="24"/>
          <w:szCs w:val="24"/>
        </w:rPr>
        <w:t xml:space="preserve"> на территории Приднестровья,</w:t>
      </w:r>
      <w:r w:rsidRPr="008C1A32">
        <w:rPr>
          <w:sz w:val="24"/>
          <w:szCs w:val="24"/>
        </w:rPr>
        <w:t xml:space="preserve"> совокупный объём полученных пенсий</w:t>
      </w:r>
      <w:r>
        <w:rPr>
          <w:sz w:val="24"/>
          <w:szCs w:val="24"/>
        </w:rPr>
        <w:t>,</w:t>
      </w:r>
      <w:r w:rsidRPr="008C1A32">
        <w:rPr>
          <w:sz w:val="24"/>
          <w:szCs w:val="24"/>
        </w:rPr>
        <w:t xml:space="preserve"> достиг 2 344,6 млн руб. (+7,4% к зарегистрированному годом ранее уровню). </w:t>
      </w:r>
    </w:p>
    <w:p w:rsidR="004E2069" w:rsidRPr="008C1A32" w:rsidRDefault="004E2069" w:rsidP="00DC0A7D">
      <w:pPr>
        <w:widowControl w:val="0"/>
        <w:ind w:firstLine="425"/>
        <w:jc w:val="both"/>
        <w:rPr>
          <w:sz w:val="24"/>
          <w:szCs w:val="24"/>
        </w:rPr>
      </w:pPr>
      <w:r w:rsidRPr="008C1A32">
        <w:rPr>
          <w:sz w:val="24"/>
          <w:szCs w:val="24"/>
        </w:rPr>
        <w:t xml:space="preserve">В целом </w:t>
      </w:r>
      <w:r>
        <w:rPr>
          <w:sz w:val="24"/>
          <w:szCs w:val="24"/>
        </w:rPr>
        <w:t xml:space="preserve">общий </w:t>
      </w:r>
      <w:r w:rsidRPr="008C1A32">
        <w:rPr>
          <w:sz w:val="24"/>
          <w:szCs w:val="24"/>
        </w:rPr>
        <w:t>объём социального финансирования из средств Республиканского бюджета, Единого государственного фонда социального страхования ПМР и прочих источников составил 2 579,4 млн руб., или +7,4% к базисному уровню, что соответствует 28,9% совокупных денежных доходов населения.</w:t>
      </w:r>
    </w:p>
    <w:p w:rsidR="004E2069" w:rsidRPr="008C1A32" w:rsidRDefault="004E2069" w:rsidP="00DC0A7D">
      <w:pPr>
        <w:pStyle w:val="BodyTextIndent3"/>
        <w:spacing w:after="0"/>
        <w:ind w:left="0" w:firstLine="425"/>
        <w:jc w:val="both"/>
        <w:rPr>
          <w:sz w:val="24"/>
          <w:szCs w:val="24"/>
        </w:rPr>
      </w:pPr>
      <w:r w:rsidRPr="008C1A32">
        <w:rPr>
          <w:sz w:val="24"/>
          <w:szCs w:val="24"/>
        </w:rPr>
        <w:t>Совокупные денежные расходы граждан за январь-сентябрь 2017 года возросли на 27,0% к базисному уровню и составили 8 928,4 млн руб., или 2 111,9 руб. в месяц на душу населения.</w:t>
      </w:r>
      <w:r w:rsidRPr="008C1A32">
        <w:rPr>
          <w:sz w:val="24"/>
          <w:szCs w:val="24"/>
          <w:highlight w:val="yellow"/>
        </w:rPr>
        <w:t xml:space="preserve"> </w:t>
      </w:r>
    </w:p>
    <w:p w:rsidR="004E2069" w:rsidRPr="008C1A32" w:rsidRDefault="004E2069" w:rsidP="00DC0A7D">
      <w:pPr>
        <w:pStyle w:val="BodyTextIndent3"/>
        <w:spacing w:after="0"/>
        <w:ind w:left="0" w:firstLine="425"/>
        <w:jc w:val="both"/>
        <w:rPr>
          <w:sz w:val="24"/>
          <w:szCs w:val="24"/>
        </w:rPr>
      </w:pPr>
      <w:r w:rsidRPr="008C1A32">
        <w:rPr>
          <w:sz w:val="24"/>
          <w:szCs w:val="24"/>
        </w:rPr>
        <w:t>Н</w:t>
      </w:r>
      <w:r w:rsidRPr="008C1A32">
        <w:rPr>
          <w:color w:val="000000"/>
          <w:sz w:val="24"/>
          <w:szCs w:val="24"/>
        </w:rPr>
        <w:t xml:space="preserve">а покупку всех видов товаров и оплату услуг было направлено на 16,9% </w:t>
      </w:r>
      <w:r w:rsidRPr="008C1A32">
        <w:rPr>
          <w:color w:val="000000"/>
          <w:sz w:val="24"/>
          <w:szCs w:val="24"/>
        </w:rPr>
        <w:br/>
        <w:t xml:space="preserve">(+933,1 млн руб.) больше средств, чем в январе-сентябре 2016 года, </w:t>
      </w:r>
      <w:r w:rsidRPr="008C1A32">
        <w:rPr>
          <w:bCs/>
          <w:sz w:val="24"/>
          <w:szCs w:val="24"/>
        </w:rPr>
        <w:t>что в абсолютном выражении соответствует</w:t>
      </w:r>
      <w:r w:rsidRPr="008C1A32">
        <w:rPr>
          <w:color w:val="000000"/>
          <w:sz w:val="24"/>
          <w:szCs w:val="24"/>
        </w:rPr>
        <w:t xml:space="preserve"> 6 453,0 млн руб., </w:t>
      </w:r>
      <w:r w:rsidRPr="008C1A32">
        <w:rPr>
          <w:bCs/>
          <w:sz w:val="24"/>
          <w:szCs w:val="24"/>
        </w:rPr>
        <w:t xml:space="preserve">или 72,3% совокупных расходов (-6,2 п.п.). </w:t>
      </w:r>
    </w:p>
    <w:p w:rsidR="004E2069" w:rsidRDefault="004E2069" w:rsidP="00DC0A7D">
      <w:pPr>
        <w:ind w:firstLine="425"/>
        <w:jc w:val="both"/>
        <w:rPr>
          <w:sz w:val="24"/>
          <w:szCs w:val="24"/>
        </w:rPr>
      </w:pPr>
      <w:r w:rsidRPr="009711A1">
        <w:rPr>
          <w:sz w:val="24"/>
          <w:szCs w:val="24"/>
        </w:rPr>
        <w:t>По итогам 9 месяцев 2017 года на приобретение</w:t>
      </w:r>
      <w:r>
        <w:rPr>
          <w:sz w:val="24"/>
          <w:szCs w:val="24"/>
        </w:rPr>
        <w:t xml:space="preserve"> потребительских товаров на территории</w:t>
      </w:r>
      <w:r w:rsidRPr="008C1A32">
        <w:rPr>
          <w:sz w:val="24"/>
          <w:szCs w:val="24"/>
        </w:rPr>
        <w:t xml:space="preserve"> республики граждане </w:t>
      </w:r>
      <w:r>
        <w:rPr>
          <w:sz w:val="24"/>
          <w:szCs w:val="24"/>
        </w:rPr>
        <w:t>потратили</w:t>
      </w:r>
      <w:r w:rsidRPr="008C1A32">
        <w:rPr>
          <w:sz w:val="24"/>
          <w:szCs w:val="24"/>
        </w:rPr>
        <w:t xml:space="preserve"> на 907,9 млн руб. больше, чем год назад, что в абсолютном выражении соответствует</w:t>
      </w:r>
      <w:r w:rsidRPr="008C1A32">
        <w:rPr>
          <w:color w:val="000000"/>
          <w:sz w:val="24"/>
          <w:szCs w:val="24"/>
        </w:rPr>
        <w:t xml:space="preserve"> 4 815,5 млн </w:t>
      </w:r>
      <w:r w:rsidRPr="008C1A32">
        <w:rPr>
          <w:sz w:val="24"/>
          <w:szCs w:val="24"/>
        </w:rPr>
        <w:t xml:space="preserve">руб. Из </w:t>
      </w:r>
      <w:r>
        <w:rPr>
          <w:sz w:val="24"/>
          <w:szCs w:val="24"/>
        </w:rPr>
        <w:t xml:space="preserve">них </w:t>
      </w:r>
      <w:r w:rsidRPr="008C1A32">
        <w:rPr>
          <w:sz w:val="24"/>
          <w:szCs w:val="24"/>
        </w:rPr>
        <w:t xml:space="preserve">на продовольственные товары </w:t>
      </w:r>
      <w:r>
        <w:rPr>
          <w:sz w:val="24"/>
          <w:szCs w:val="24"/>
        </w:rPr>
        <w:t>направлено 2 248,0 млн руб.,</w:t>
      </w:r>
      <w:r w:rsidRPr="008C1A32">
        <w:rPr>
          <w:sz w:val="24"/>
          <w:szCs w:val="24"/>
        </w:rPr>
        <w:t xml:space="preserve"> что на 387,0 млн руб. (+20,8%) выше сопоставимого уровня 2016 года. </w:t>
      </w:r>
      <w:r w:rsidRPr="009711A1">
        <w:rPr>
          <w:sz w:val="24"/>
          <w:szCs w:val="24"/>
        </w:rPr>
        <w:t xml:space="preserve">На приобретение непродовольственных товаров населением было израсходовано </w:t>
      </w:r>
      <w:r>
        <w:rPr>
          <w:sz w:val="24"/>
          <w:szCs w:val="24"/>
        </w:rPr>
        <w:br/>
      </w:r>
      <w:r w:rsidRPr="009711A1">
        <w:rPr>
          <w:sz w:val="24"/>
          <w:szCs w:val="24"/>
        </w:rPr>
        <w:t>2 567,4 млн руб., что на 520,9 млн руб. (+25,5%) больше, чем год назад.</w:t>
      </w:r>
      <w:r w:rsidRPr="008C1A32">
        <w:rPr>
          <w:sz w:val="24"/>
          <w:szCs w:val="24"/>
        </w:rPr>
        <w:t xml:space="preserve"> </w:t>
      </w:r>
    </w:p>
    <w:p w:rsidR="004E2069" w:rsidRDefault="004E2069" w:rsidP="00DC0A7D">
      <w:pPr>
        <w:ind w:firstLine="425"/>
        <w:jc w:val="both"/>
        <w:rPr>
          <w:color w:val="000000"/>
          <w:sz w:val="24"/>
          <w:szCs w:val="24"/>
        </w:rPr>
      </w:pPr>
      <w:r w:rsidRPr="008C1A32">
        <w:rPr>
          <w:sz w:val="24"/>
          <w:szCs w:val="24"/>
        </w:rPr>
        <w:t>Расходы на оплату услуг характеризовались более умеренными темпами, превысив уровень предыдущего года на 1,6%</w:t>
      </w:r>
      <w:r>
        <w:rPr>
          <w:sz w:val="24"/>
          <w:szCs w:val="24"/>
        </w:rPr>
        <w:t xml:space="preserve">, до </w:t>
      </w:r>
      <w:r w:rsidRPr="008C1A32">
        <w:rPr>
          <w:sz w:val="24"/>
          <w:szCs w:val="24"/>
        </w:rPr>
        <w:t xml:space="preserve">1 637,6 млн руб. </w:t>
      </w:r>
      <w:r w:rsidRPr="008C1A32">
        <w:rPr>
          <w:color w:val="000000"/>
          <w:sz w:val="24"/>
          <w:szCs w:val="24"/>
        </w:rPr>
        <w:t xml:space="preserve">В основном это были затраты на оплату жилищно-коммунальных, транспортных услуг и услуг связи. </w:t>
      </w:r>
      <w:r w:rsidRPr="008C1A32">
        <w:rPr>
          <w:sz w:val="24"/>
          <w:szCs w:val="24"/>
        </w:rPr>
        <w:t xml:space="preserve">Сдерживающим фактором данной динамики выступило замораживание роста тарифов на коммунальные </w:t>
      </w:r>
      <w:r>
        <w:rPr>
          <w:sz w:val="24"/>
          <w:szCs w:val="24"/>
        </w:rPr>
        <w:t>услуги</w:t>
      </w:r>
      <w:r w:rsidRPr="008C1A32">
        <w:rPr>
          <w:sz w:val="24"/>
          <w:szCs w:val="24"/>
        </w:rPr>
        <w:t>, предпринятое с целью поддержания материального положения граждан.</w:t>
      </w:r>
      <w:r w:rsidRPr="008C1A32">
        <w:rPr>
          <w:color w:val="000000"/>
          <w:sz w:val="24"/>
          <w:szCs w:val="24"/>
        </w:rPr>
        <w:t xml:space="preserve"> </w:t>
      </w:r>
    </w:p>
    <w:p w:rsidR="004E2069" w:rsidRPr="008C1A32" w:rsidRDefault="004E2069" w:rsidP="00DC0A7D">
      <w:pPr>
        <w:ind w:firstLine="425"/>
        <w:jc w:val="both"/>
        <w:rPr>
          <w:bCs/>
          <w:sz w:val="24"/>
          <w:szCs w:val="24"/>
        </w:rPr>
      </w:pPr>
      <w:r w:rsidRPr="008C1A32">
        <w:rPr>
          <w:sz w:val="24"/>
          <w:szCs w:val="24"/>
        </w:rPr>
        <w:t>На приобретение наличной иностранной валюты в обменных пунктах кредитных организаций было направлено 1 314,6 млн руб., или 14,7% совокупных расходов, что на 29,7% больше, чем год назад.</w:t>
      </w:r>
    </w:p>
    <w:p w:rsidR="004E2069" w:rsidRPr="00B80DFA" w:rsidRDefault="004E2069" w:rsidP="00DC0A7D">
      <w:pPr>
        <w:widowControl w:val="0"/>
        <w:ind w:firstLine="425"/>
        <w:jc w:val="both"/>
        <w:rPr>
          <w:sz w:val="24"/>
          <w:szCs w:val="24"/>
        </w:rPr>
      </w:pPr>
      <w:r>
        <w:rPr>
          <w:sz w:val="24"/>
          <w:szCs w:val="24"/>
        </w:rPr>
        <w:t>Возросла и сберегательная активность населения:</w:t>
      </w:r>
      <w:r w:rsidRPr="00B80DFA">
        <w:rPr>
          <w:sz w:val="24"/>
          <w:szCs w:val="24"/>
        </w:rPr>
        <w:t xml:space="preserve"> остатк</w:t>
      </w:r>
      <w:r>
        <w:rPr>
          <w:sz w:val="24"/>
          <w:szCs w:val="24"/>
        </w:rPr>
        <w:t>и</w:t>
      </w:r>
      <w:r w:rsidRPr="00B80DFA">
        <w:rPr>
          <w:sz w:val="24"/>
          <w:szCs w:val="24"/>
        </w:rPr>
        <w:t xml:space="preserve"> на депозитных счетах физических лиц </w:t>
      </w:r>
      <w:r>
        <w:rPr>
          <w:sz w:val="24"/>
          <w:szCs w:val="24"/>
        </w:rPr>
        <w:t xml:space="preserve">в банковской системе республики увеличились на </w:t>
      </w:r>
      <w:r w:rsidRPr="00B80DFA">
        <w:rPr>
          <w:sz w:val="24"/>
          <w:szCs w:val="24"/>
        </w:rPr>
        <w:t xml:space="preserve">44,0%, или </w:t>
      </w:r>
      <w:r>
        <w:rPr>
          <w:sz w:val="24"/>
          <w:szCs w:val="24"/>
        </w:rPr>
        <w:t xml:space="preserve">на </w:t>
      </w:r>
      <w:r>
        <w:rPr>
          <w:sz w:val="24"/>
          <w:szCs w:val="24"/>
        </w:rPr>
        <w:br/>
      </w:r>
      <w:r w:rsidRPr="00B80DFA">
        <w:rPr>
          <w:sz w:val="24"/>
          <w:szCs w:val="24"/>
        </w:rPr>
        <w:t>575,8 млн руб.</w:t>
      </w:r>
      <w:r>
        <w:rPr>
          <w:sz w:val="24"/>
          <w:szCs w:val="24"/>
        </w:rPr>
        <w:t xml:space="preserve"> </w:t>
      </w:r>
      <w:r w:rsidRPr="00387F73">
        <w:rPr>
          <w:sz w:val="24"/>
          <w:szCs w:val="24"/>
        </w:rPr>
        <w:t>(без учёта переоценки их валютной части прирост составил 14,2%).</w:t>
      </w:r>
      <w:r w:rsidRPr="00B80DFA">
        <w:rPr>
          <w:sz w:val="24"/>
          <w:szCs w:val="24"/>
        </w:rPr>
        <w:t xml:space="preserve"> Годом ранее изъятие средств со счетов населения превышало сумму пополнения на 116,7 млн руб. </w:t>
      </w:r>
    </w:p>
    <w:p w:rsidR="004E2069" w:rsidRPr="008C1A32" w:rsidRDefault="004E2069" w:rsidP="00DC0A7D">
      <w:pPr>
        <w:widowControl w:val="0"/>
        <w:ind w:firstLine="425"/>
        <w:jc w:val="both"/>
        <w:rPr>
          <w:color w:val="000000"/>
          <w:sz w:val="24"/>
          <w:szCs w:val="24"/>
        </w:rPr>
      </w:pPr>
      <w:r>
        <w:rPr>
          <w:color w:val="000000"/>
          <w:sz w:val="24"/>
          <w:szCs w:val="24"/>
        </w:rPr>
        <w:t>Важным источником денежных доходов, поддерживающим потребительский спрос, являются денежные трансферты из-за рубежа, в</w:t>
      </w:r>
      <w:r w:rsidRPr="008C1A32">
        <w:rPr>
          <w:color w:val="000000"/>
          <w:sz w:val="24"/>
          <w:szCs w:val="24"/>
        </w:rPr>
        <w:t xml:space="preserve">еличина </w:t>
      </w:r>
      <w:r>
        <w:rPr>
          <w:color w:val="000000"/>
          <w:sz w:val="24"/>
          <w:szCs w:val="24"/>
        </w:rPr>
        <w:t xml:space="preserve">которых </w:t>
      </w:r>
      <w:r w:rsidRPr="008C1A32">
        <w:rPr>
          <w:color w:val="000000"/>
          <w:sz w:val="24"/>
          <w:szCs w:val="24"/>
        </w:rPr>
        <w:t xml:space="preserve">в рублёвом эквиваленте </w:t>
      </w:r>
      <w:r>
        <w:rPr>
          <w:color w:val="000000"/>
          <w:sz w:val="24"/>
          <w:szCs w:val="24"/>
        </w:rPr>
        <w:t xml:space="preserve">по итогам 9 месяцев 2017 года </w:t>
      </w:r>
      <w:r w:rsidRPr="008C1A32">
        <w:rPr>
          <w:color w:val="000000"/>
          <w:sz w:val="24"/>
          <w:szCs w:val="24"/>
        </w:rPr>
        <w:t xml:space="preserve">превысила показатель предыдущего года в 2,1 раза и </w:t>
      </w:r>
      <w:r w:rsidRPr="008C1A32">
        <w:rPr>
          <w:sz w:val="24"/>
          <w:szCs w:val="24"/>
        </w:rPr>
        <w:t xml:space="preserve">составила </w:t>
      </w:r>
      <w:r>
        <w:rPr>
          <w:sz w:val="24"/>
          <w:szCs w:val="24"/>
        </w:rPr>
        <w:br/>
      </w:r>
      <w:r w:rsidRPr="008C1A32">
        <w:rPr>
          <w:color w:val="000000"/>
          <w:sz w:val="24"/>
          <w:szCs w:val="24"/>
        </w:rPr>
        <w:t>996,1 млн руб.</w:t>
      </w:r>
      <w:r>
        <w:rPr>
          <w:color w:val="000000"/>
          <w:sz w:val="24"/>
          <w:szCs w:val="24"/>
        </w:rPr>
        <w:t>, или 11,2% в денежных</w:t>
      </w:r>
      <w:r w:rsidRPr="008C1A32">
        <w:rPr>
          <w:color w:val="000000"/>
          <w:sz w:val="24"/>
          <w:szCs w:val="24"/>
        </w:rPr>
        <w:t xml:space="preserve"> доход</w:t>
      </w:r>
      <w:r>
        <w:rPr>
          <w:color w:val="000000"/>
          <w:sz w:val="24"/>
          <w:szCs w:val="24"/>
        </w:rPr>
        <w:t>ах</w:t>
      </w:r>
      <w:r w:rsidRPr="008C1A32">
        <w:rPr>
          <w:color w:val="000000"/>
          <w:sz w:val="24"/>
          <w:szCs w:val="24"/>
        </w:rPr>
        <w:t xml:space="preserve"> населения </w:t>
      </w:r>
      <w:r>
        <w:rPr>
          <w:color w:val="000000"/>
          <w:sz w:val="24"/>
          <w:szCs w:val="24"/>
        </w:rPr>
        <w:t>(</w:t>
      </w:r>
      <w:r w:rsidRPr="008C1A32">
        <w:rPr>
          <w:color w:val="000000"/>
          <w:sz w:val="24"/>
          <w:szCs w:val="24"/>
        </w:rPr>
        <w:t xml:space="preserve">6,7% в январе-сентябре </w:t>
      </w:r>
      <w:r>
        <w:rPr>
          <w:color w:val="000000"/>
          <w:sz w:val="24"/>
          <w:szCs w:val="24"/>
        </w:rPr>
        <w:br/>
      </w:r>
      <w:r w:rsidRPr="008C1A32">
        <w:rPr>
          <w:color w:val="000000"/>
          <w:sz w:val="24"/>
          <w:szCs w:val="24"/>
        </w:rPr>
        <w:t>2016 года</w:t>
      </w:r>
      <w:r>
        <w:rPr>
          <w:color w:val="000000"/>
          <w:sz w:val="24"/>
          <w:szCs w:val="24"/>
        </w:rPr>
        <w:t>)</w:t>
      </w:r>
      <w:r w:rsidRPr="008C1A32">
        <w:rPr>
          <w:color w:val="000000"/>
          <w:sz w:val="24"/>
          <w:szCs w:val="24"/>
        </w:rPr>
        <w:t>.</w:t>
      </w:r>
    </w:p>
    <w:p w:rsidR="004E2069" w:rsidRPr="008C1A32" w:rsidRDefault="004E2069" w:rsidP="00DC0A7D">
      <w:pPr>
        <w:pStyle w:val="Footer"/>
        <w:tabs>
          <w:tab w:val="left" w:pos="900"/>
        </w:tabs>
        <w:ind w:firstLine="425"/>
        <w:jc w:val="both"/>
        <w:rPr>
          <w:sz w:val="24"/>
          <w:szCs w:val="24"/>
        </w:rPr>
      </w:pPr>
      <w:r w:rsidRPr="008C1A32">
        <w:rPr>
          <w:color w:val="000000"/>
          <w:sz w:val="24"/>
          <w:szCs w:val="24"/>
        </w:rPr>
        <w:t>В отчётном периоде на постоянное место работы было принято 13 974 человека, из них 636 человек – на дополнительно введённые рабочие места. Процент замещения выбывших работников</w:t>
      </w:r>
      <w:r w:rsidRPr="008C1A32">
        <w:rPr>
          <w:sz w:val="24"/>
          <w:szCs w:val="24"/>
        </w:rPr>
        <w:t xml:space="preserve"> </w:t>
      </w:r>
      <w:r w:rsidRPr="008C1A32">
        <w:rPr>
          <w:color w:val="000000"/>
          <w:sz w:val="24"/>
          <w:szCs w:val="24"/>
        </w:rPr>
        <w:t xml:space="preserve">новыми кадрами составил 95,8%. </w:t>
      </w:r>
    </w:p>
    <w:p w:rsidR="004E2069" w:rsidRPr="00181171" w:rsidRDefault="004E2069" w:rsidP="00DC0A7D">
      <w:pPr>
        <w:widowControl w:val="0"/>
        <w:tabs>
          <w:tab w:val="left" w:pos="1080"/>
        </w:tabs>
        <w:ind w:firstLine="425"/>
        <w:jc w:val="both"/>
        <w:rPr>
          <w:color w:val="000000"/>
          <w:sz w:val="24"/>
          <w:szCs w:val="24"/>
        </w:rPr>
      </w:pPr>
      <w:r w:rsidRPr="008C1A32">
        <w:rPr>
          <w:sz w:val="24"/>
          <w:szCs w:val="24"/>
        </w:rPr>
        <w:t xml:space="preserve">Официальная безработица в республике фиксируется на уровне 4,5% экономически активного </w:t>
      </w:r>
      <w:r w:rsidRPr="00181171">
        <w:rPr>
          <w:sz w:val="24"/>
          <w:szCs w:val="24"/>
        </w:rPr>
        <w:t xml:space="preserve">населения. </w:t>
      </w:r>
    </w:p>
    <w:p w:rsidR="004E2069" w:rsidRPr="00181171" w:rsidRDefault="004E2069" w:rsidP="008512DA">
      <w:pPr>
        <w:widowControl w:val="0"/>
        <w:jc w:val="both"/>
        <w:rPr>
          <w:sz w:val="24"/>
          <w:szCs w:val="24"/>
        </w:rPr>
      </w:pPr>
    </w:p>
    <w:p w:rsidR="004E2069" w:rsidRPr="00181171" w:rsidRDefault="004E2069" w:rsidP="00E90743">
      <w:pPr>
        <w:widowControl w:val="0"/>
        <w:numPr>
          <w:ilvl w:val="1"/>
          <w:numId w:val="1"/>
        </w:numPr>
        <w:jc w:val="both"/>
        <w:rPr>
          <w:b/>
          <w:bCs/>
          <w:noProof/>
          <w:sz w:val="24"/>
          <w:szCs w:val="24"/>
        </w:rPr>
      </w:pPr>
      <w:r w:rsidRPr="00181171">
        <w:rPr>
          <w:b/>
          <w:bCs/>
          <w:noProof/>
          <w:sz w:val="24"/>
          <w:szCs w:val="24"/>
        </w:rPr>
        <w:t xml:space="preserve">ГОСУДАРСТВЕННЫЕ ФИНАНСЫ </w:t>
      </w:r>
    </w:p>
    <w:p w:rsidR="004E2069" w:rsidRPr="00181171" w:rsidRDefault="004E2069" w:rsidP="008512DA">
      <w:pPr>
        <w:widowControl w:val="0"/>
        <w:spacing w:before="120"/>
        <w:ind w:firstLine="425"/>
        <w:jc w:val="both"/>
        <w:rPr>
          <w:i/>
          <w:iCs/>
          <w:sz w:val="24"/>
          <w:szCs w:val="24"/>
        </w:rPr>
      </w:pPr>
      <w:r w:rsidRPr="00181171">
        <w:rPr>
          <w:i/>
          <w:iCs/>
          <w:sz w:val="24"/>
          <w:szCs w:val="24"/>
        </w:rPr>
        <w:t>Доходная часть</w:t>
      </w:r>
    </w:p>
    <w:p w:rsidR="004E2069" w:rsidRPr="007351FC" w:rsidRDefault="004E2069" w:rsidP="00181171">
      <w:pPr>
        <w:spacing w:before="120"/>
        <w:ind w:firstLine="425"/>
        <w:jc w:val="both"/>
        <w:rPr>
          <w:sz w:val="24"/>
          <w:szCs w:val="24"/>
        </w:rPr>
      </w:pPr>
      <w:r w:rsidRPr="003D73E2">
        <w:rPr>
          <w:sz w:val="24"/>
          <w:szCs w:val="24"/>
        </w:rPr>
        <w:t>По итогам 201</w:t>
      </w:r>
      <w:r>
        <w:rPr>
          <w:sz w:val="24"/>
          <w:szCs w:val="24"/>
        </w:rPr>
        <w:t>7</w:t>
      </w:r>
      <w:r w:rsidRPr="003D73E2">
        <w:rPr>
          <w:sz w:val="24"/>
          <w:szCs w:val="24"/>
        </w:rPr>
        <w:t xml:space="preserve"> года </w:t>
      </w:r>
      <w:r w:rsidRPr="007351FC">
        <w:rPr>
          <w:sz w:val="24"/>
          <w:szCs w:val="24"/>
        </w:rPr>
        <w:t>доходы консолидированного бюджета</w:t>
      </w:r>
      <w:r>
        <w:rPr>
          <w:rStyle w:val="FootnoteReference"/>
          <w:sz w:val="24"/>
          <w:szCs w:val="24"/>
        </w:rPr>
        <w:footnoteReference w:id="11"/>
      </w:r>
      <w:r w:rsidRPr="007351FC">
        <w:rPr>
          <w:sz w:val="24"/>
          <w:szCs w:val="24"/>
        </w:rPr>
        <w:t xml:space="preserve"> увеличились на </w:t>
      </w:r>
      <w:r>
        <w:rPr>
          <w:sz w:val="24"/>
          <w:szCs w:val="24"/>
        </w:rPr>
        <w:t>14,9%, или на 348,9</w:t>
      </w:r>
      <w:r w:rsidRPr="007351FC">
        <w:rPr>
          <w:sz w:val="24"/>
          <w:szCs w:val="24"/>
        </w:rPr>
        <w:t xml:space="preserve"> млн руб., до </w:t>
      </w:r>
      <w:r>
        <w:rPr>
          <w:sz w:val="24"/>
          <w:szCs w:val="24"/>
        </w:rPr>
        <w:t>2 686,6</w:t>
      </w:r>
      <w:r w:rsidRPr="007351FC">
        <w:rPr>
          <w:sz w:val="24"/>
          <w:szCs w:val="24"/>
        </w:rPr>
        <w:t xml:space="preserve"> млн руб. Повышательная динамика определялась ростом как налоговых, так и неналоговых поступлений. При этом доходы целевых бюджетных фондов в связи с отсутствием в </w:t>
      </w:r>
      <w:r>
        <w:rPr>
          <w:sz w:val="24"/>
          <w:szCs w:val="24"/>
        </w:rPr>
        <w:t>отчётном</w:t>
      </w:r>
      <w:r w:rsidRPr="007351FC">
        <w:rPr>
          <w:sz w:val="24"/>
          <w:szCs w:val="24"/>
        </w:rPr>
        <w:t xml:space="preserve"> году зачислений в Социальный стабилизационный фонд сложились в пределах </w:t>
      </w:r>
      <w:r w:rsidRPr="00E80CA4">
        <w:rPr>
          <w:sz w:val="24"/>
          <w:szCs w:val="24"/>
          <w:vertAlign w:val="superscript"/>
        </w:rPr>
        <w:t>2</w:t>
      </w:r>
      <w:r>
        <w:rPr>
          <w:sz w:val="24"/>
          <w:szCs w:val="24"/>
        </w:rPr>
        <w:t>/</w:t>
      </w:r>
      <w:r w:rsidRPr="00E80CA4">
        <w:rPr>
          <w:sz w:val="24"/>
          <w:szCs w:val="24"/>
          <w:vertAlign w:val="subscript"/>
        </w:rPr>
        <w:t>3</w:t>
      </w:r>
      <w:r>
        <w:rPr>
          <w:sz w:val="24"/>
          <w:szCs w:val="24"/>
        </w:rPr>
        <w:t xml:space="preserve"> </w:t>
      </w:r>
      <w:r w:rsidRPr="007351FC">
        <w:rPr>
          <w:sz w:val="24"/>
          <w:szCs w:val="24"/>
        </w:rPr>
        <w:t>базисного значения</w:t>
      </w:r>
      <w:r>
        <w:rPr>
          <w:sz w:val="24"/>
          <w:szCs w:val="24"/>
        </w:rPr>
        <w:t>, составив 258,0 млн руб</w:t>
      </w:r>
      <w:r w:rsidRPr="007351FC">
        <w:rPr>
          <w:sz w:val="24"/>
          <w:szCs w:val="24"/>
        </w:rPr>
        <w:t xml:space="preserve">. В то же время без учёта Социального стабилизационного фонда по всем остальным целевым бюджетным фондам зафиксирован прирост </w:t>
      </w:r>
      <w:r>
        <w:rPr>
          <w:sz w:val="24"/>
          <w:szCs w:val="24"/>
        </w:rPr>
        <w:t>1</w:t>
      </w:r>
      <w:r w:rsidRPr="007351FC">
        <w:rPr>
          <w:sz w:val="24"/>
          <w:szCs w:val="24"/>
        </w:rPr>
        <w:t>8</w:t>
      </w:r>
      <w:r>
        <w:rPr>
          <w:sz w:val="24"/>
          <w:szCs w:val="24"/>
        </w:rPr>
        <w:t>,5</w:t>
      </w:r>
      <w:r w:rsidRPr="007351FC">
        <w:rPr>
          <w:sz w:val="24"/>
          <w:szCs w:val="24"/>
        </w:rPr>
        <w:t xml:space="preserve">%, или </w:t>
      </w:r>
      <w:r>
        <w:rPr>
          <w:sz w:val="24"/>
          <w:szCs w:val="24"/>
        </w:rPr>
        <w:t>40,2</w:t>
      </w:r>
      <w:r w:rsidRPr="007351FC">
        <w:rPr>
          <w:sz w:val="24"/>
          <w:szCs w:val="24"/>
        </w:rPr>
        <w:t xml:space="preserve"> млн руб.</w:t>
      </w:r>
    </w:p>
    <w:p w:rsidR="004E2069" w:rsidRPr="00C47A35" w:rsidRDefault="004E2069" w:rsidP="00181171">
      <w:pPr>
        <w:widowControl w:val="0"/>
        <w:ind w:firstLine="425"/>
        <w:jc w:val="both"/>
        <w:rPr>
          <w:sz w:val="24"/>
          <w:szCs w:val="24"/>
        </w:rPr>
      </w:pPr>
      <w:r w:rsidRPr="007351FC">
        <w:rPr>
          <w:sz w:val="24"/>
          <w:szCs w:val="24"/>
        </w:rPr>
        <w:t xml:space="preserve">В поквартальной динамике существенный рост налоговых доходов в </w:t>
      </w:r>
      <w:r w:rsidRPr="007351FC">
        <w:rPr>
          <w:sz w:val="24"/>
          <w:szCs w:val="24"/>
          <w:lang w:val="en-US"/>
        </w:rPr>
        <w:t>III</w:t>
      </w:r>
      <w:r>
        <w:rPr>
          <w:sz w:val="24"/>
          <w:szCs w:val="24"/>
        </w:rPr>
        <w:t xml:space="preserve"> и </w:t>
      </w:r>
      <w:r>
        <w:rPr>
          <w:sz w:val="24"/>
          <w:szCs w:val="24"/>
          <w:lang w:val="en-US"/>
        </w:rPr>
        <w:t>IV</w:t>
      </w:r>
      <w:r w:rsidRPr="007351FC">
        <w:rPr>
          <w:sz w:val="24"/>
          <w:szCs w:val="24"/>
        </w:rPr>
        <w:t xml:space="preserve"> квартал</w:t>
      </w:r>
      <w:r>
        <w:rPr>
          <w:sz w:val="24"/>
          <w:szCs w:val="24"/>
        </w:rPr>
        <w:t>ах</w:t>
      </w:r>
      <w:r w:rsidRPr="007351FC">
        <w:rPr>
          <w:sz w:val="24"/>
          <w:szCs w:val="24"/>
        </w:rPr>
        <w:t xml:space="preserve"> в большей степени был обусловлен увеличением налогов от внешнеэкономической деятельности, поступления которых напрямую зависят от динамики производственной активности</w:t>
      </w:r>
      <w:r w:rsidRPr="00C47A35">
        <w:rPr>
          <w:sz w:val="24"/>
          <w:szCs w:val="24"/>
        </w:rPr>
        <w:t xml:space="preserve">, а также от изменения курса валют. В результате во втором полугодии в бюджеты всех уровней было зачислено налогов в сумме 1 120,6 млн руб., в то время как в </w:t>
      </w:r>
      <w:r w:rsidRPr="00C47A35">
        <w:rPr>
          <w:sz w:val="24"/>
          <w:szCs w:val="24"/>
        </w:rPr>
        <w:br/>
      </w:r>
      <w:r w:rsidRPr="00C47A35">
        <w:rPr>
          <w:sz w:val="24"/>
          <w:szCs w:val="24"/>
          <w:lang w:val="en-US"/>
        </w:rPr>
        <w:t>I</w:t>
      </w:r>
      <w:r w:rsidRPr="00C47A35">
        <w:rPr>
          <w:sz w:val="24"/>
          <w:szCs w:val="24"/>
        </w:rPr>
        <w:t xml:space="preserve"> полугодии – 777,9 млн руб. </w:t>
      </w:r>
    </w:p>
    <w:p w:rsidR="004E2069" w:rsidRPr="00C47A35" w:rsidRDefault="004E2069" w:rsidP="00181171">
      <w:pPr>
        <w:ind w:firstLine="425"/>
        <w:jc w:val="both"/>
        <w:rPr>
          <w:sz w:val="24"/>
          <w:szCs w:val="24"/>
        </w:rPr>
      </w:pPr>
      <w:r w:rsidRPr="00C47A35">
        <w:rPr>
          <w:sz w:val="24"/>
          <w:szCs w:val="24"/>
        </w:rPr>
        <w:t xml:space="preserve">В целом за год объём перечисленных в республиканский и местные бюджеты налогов и сборов вырос на 14,6%, до 1 898,5 млн руб., или 70,7% совокупных доходов. </w:t>
      </w:r>
    </w:p>
    <w:p w:rsidR="004E2069" w:rsidRPr="00C47A35" w:rsidRDefault="004E2069" w:rsidP="00181171">
      <w:pPr>
        <w:widowControl w:val="0"/>
        <w:ind w:firstLine="425"/>
        <w:jc w:val="both"/>
        <w:rPr>
          <w:noProof/>
          <w:sz w:val="24"/>
          <w:szCs w:val="24"/>
        </w:rPr>
      </w:pPr>
      <w:r w:rsidRPr="00C47A35">
        <w:rPr>
          <w:noProof/>
          <w:sz w:val="24"/>
          <w:szCs w:val="24"/>
        </w:rPr>
        <w:t xml:space="preserve">Поступления по налогу на доходы организаций (с учётом сумм отчислений от налога для финансирования социальных выплат) возросли на 8,4%, до 733,2 млн руб. </w:t>
      </w:r>
    </w:p>
    <w:p w:rsidR="004E2069" w:rsidRPr="009D202E" w:rsidRDefault="004E2069" w:rsidP="00181171">
      <w:pPr>
        <w:widowControl w:val="0"/>
        <w:ind w:firstLine="425"/>
        <w:jc w:val="both"/>
        <w:rPr>
          <w:noProof/>
          <w:sz w:val="24"/>
          <w:szCs w:val="24"/>
        </w:rPr>
      </w:pPr>
      <w:r w:rsidRPr="00C47A35">
        <w:rPr>
          <w:noProof/>
          <w:sz w:val="24"/>
          <w:szCs w:val="24"/>
        </w:rPr>
        <w:t>Рост поставок импортных товаров определил увеличение совокупного объёма налогов от внешней торговли на 17,1%. По итогам года ввозные таможенные пошлины поступили в бюджет в сумме 336,0 млн руб., что на 48,3 млн руб. больше, чем в 2016 году. Экспортные таможенные пошлины были перечислены в размере 4,9 млн руб. (+1,4 млн руб.).</w:t>
      </w:r>
      <w:r w:rsidRPr="009D202E">
        <w:rPr>
          <w:noProof/>
          <w:sz w:val="24"/>
          <w:szCs w:val="24"/>
        </w:rPr>
        <w:t xml:space="preserve"> </w:t>
      </w:r>
    </w:p>
    <w:p w:rsidR="004E2069" w:rsidRPr="009D202E" w:rsidRDefault="004E2069" w:rsidP="00181171">
      <w:pPr>
        <w:widowControl w:val="0"/>
        <w:ind w:firstLine="425"/>
        <w:jc w:val="both"/>
        <w:rPr>
          <w:noProof/>
          <w:sz w:val="24"/>
          <w:szCs w:val="24"/>
        </w:rPr>
      </w:pPr>
      <w:r w:rsidRPr="009D202E">
        <w:rPr>
          <w:noProof/>
          <w:sz w:val="24"/>
          <w:szCs w:val="24"/>
        </w:rPr>
        <w:t xml:space="preserve">В два раза выше базисных показателей сложились поступления акцизов – 190,6 млн руб. Акцизный сбор на импортируемые товары возрос в 2,3 раза, или на 76,2 млн руб., до </w:t>
      </w:r>
      <w:r w:rsidRPr="009D202E">
        <w:rPr>
          <w:noProof/>
          <w:sz w:val="24"/>
          <w:szCs w:val="24"/>
        </w:rPr>
        <w:br/>
        <w:t>134,4 млн руб. При этом зачисления налогов на производимую и реализуемую в республике подакцизную продукцию увеличились на 46,6% (+16,3 млн руб.), до 51,4 млн руб. Налог, взимаемый при реализации на территории республики отдельных видов подакцизной продукции, сложился в сумме 4,8 млн руб., или 132,3% базисного уровня.</w:t>
      </w:r>
    </w:p>
    <w:p w:rsidR="004E2069" w:rsidRPr="009D202E" w:rsidRDefault="004E2069" w:rsidP="00181171">
      <w:pPr>
        <w:widowControl w:val="0"/>
        <w:ind w:firstLine="425"/>
        <w:jc w:val="both"/>
        <w:rPr>
          <w:noProof/>
          <w:sz w:val="24"/>
          <w:szCs w:val="24"/>
        </w:rPr>
      </w:pPr>
      <w:r w:rsidRPr="009D202E">
        <w:rPr>
          <w:noProof/>
          <w:sz w:val="24"/>
          <w:szCs w:val="24"/>
        </w:rPr>
        <w:t xml:space="preserve">Погашение задолженности по заработной плате перед работниками бюджетной сферы в базисном 2016 году, определившее высокую базу сравнения по подоходному налогу с физических лиц, выразилось в динамике его сокращения по итогам 2017 года на 3,0 млн руб., до 346,1 млн руб., около 92% которого было зачислено в местные бюджеты. </w:t>
      </w:r>
    </w:p>
    <w:p w:rsidR="004E2069" w:rsidRPr="009D202E" w:rsidRDefault="004E2069" w:rsidP="00181171">
      <w:pPr>
        <w:widowControl w:val="0"/>
        <w:ind w:firstLine="425"/>
        <w:jc w:val="both"/>
        <w:rPr>
          <w:noProof/>
          <w:sz w:val="24"/>
          <w:szCs w:val="24"/>
        </w:rPr>
      </w:pPr>
      <w:r w:rsidRPr="009D202E">
        <w:rPr>
          <w:noProof/>
          <w:sz w:val="24"/>
          <w:szCs w:val="24"/>
        </w:rPr>
        <w:t xml:space="preserve">Поступления налогов с выручки перешедших на упрощённую систему налогообложения организаций возросли на 13,8%, до 8,7 млн руб. </w:t>
      </w:r>
    </w:p>
    <w:p w:rsidR="004E2069" w:rsidRPr="009D202E" w:rsidRDefault="004E2069" w:rsidP="00181171">
      <w:pPr>
        <w:widowControl w:val="0"/>
        <w:ind w:firstLine="425"/>
        <w:jc w:val="both"/>
        <w:rPr>
          <w:noProof/>
          <w:sz w:val="24"/>
          <w:szCs w:val="24"/>
        </w:rPr>
      </w:pPr>
      <w:r w:rsidRPr="009D202E">
        <w:rPr>
          <w:noProof/>
          <w:sz w:val="24"/>
          <w:szCs w:val="24"/>
        </w:rPr>
        <w:t xml:space="preserve">Местные налоги и сборы сформировали в совокупных доходах территорий 5,6%, увеличившись на 4,7%, до 47,4 млн руб. Отчисления в территориальные бюджеты от индивидуального предпринимательского патента сложились в объёме 13,7 млн руб., что ниже уровня 2016 года на 22,7%, или на 4,0 млн руб., и обусловлено уменьшением стоимости патента в рамках государственной поддержки развития предпринимательства. </w:t>
      </w:r>
    </w:p>
    <w:p w:rsidR="004E2069" w:rsidRPr="007351FC" w:rsidRDefault="004E2069" w:rsidP="00181171">
      <w:pPr>
        <w:widowControl w:val="0"/>
        <w:ind w:firstLine="425"/>
        <w:jc w:val="both"/>
        <w:rPr>
          <w:noProof/>
          <w:sz w:val="24"/>
          <w:szCs w:val="24"/>
        </w:rPr>
      </w:pPr>
      <w:r w:rsidRPr="009D202E">
        <w:rPr>
          <w:noProof/>
          <w:sz w:val="24"/>
          <w:szCs w:val="24"/>
        </w:rPr>
        <w:t xml:space="preserve">Неналоговые доходы возросли в 4,4 раза, до 293,6 млн руб., обеспечив 11,0% совокупных доходов. Положительная динамика определялась увеличением доходов от имущества, находящегося в государственной и муниципальной собственности, на </w:t>
      </w:r>
      <w:r w:rsidRPr="009D202E">
        <w:rPr>
          <w:noProof/>
          <w:sz w:val="24"/>
          <w:szCs w:val="24"/>
        </w:rPr>
        <w:br/>
        <w:t>200,4 млн руб. до 237,0 млн руб. Объём уплаченных штрафных</w:t>
      </w:r>
      <w:r w:rsidRPr="007351FC">
        <w:rPr>
          <w:noProof/>
          <w:sz w:val="24"/>
          <w:szCs w:val="24"/>
        </w:rPr>
        <w:t xml:space="preserve"> санкций </w:t>
      </w:r>
      <w:r>
        <w:rPr>
          <w:noProof/>
          <w:sz w:val="24"/>
          <w:szCs w:val="24"/>
        </w:rPr>
        <w:t xml:space="preserve">превысил уровень 2016 года в 2,4 раза, </w:t>
      </w:r>
      <w:r w:rsidRPr="007351FC">
        <w:rPr>
          <w:noProof/>
          <w:sz w:val="24"/>
          <w:szCs w:val="24"/>
        </w:rPr>
        <w:t xml:space="preserve">до </w:t>
      </w:r>
      <w:r>
        <w:rPr>
          <w:noProof/>
          <w:sz w:val="24"/>
          <w:szCs w:val="24"/>
        </w:rPr>
        <w:t>40,2</w:t>
      </w:r>
      <w:r w:rsidRPr="007351FC">
        <w:rPr>
          <w:noProof/>
          <w:sz w:val="24"/>
          <w:szCs w:val="24"/>
        </w:rPr>
        <w:t xml:space="preserve"> млн руб., а административных сборов и платежей </w:t>
      </w:r>
      <w:r>
        <w:rPr>
          <w:noProof/>
          <w:sz w:val="24"/>
          <w:szCs w:val="24"/>
        </w:rPr>
        <w:t>– сократился</w:t>
      </w:r>
      <w:r w:rsidRPr="007351FC">
        <w:rPr>
          <w:noProof/>
          <w:sz w:val="24"/>
          <w:szCs w:val="24"/>
        </w:rPr>
        <w:t xml:space="preserve"> на </w:t>
      </w:r>
      <w:r>
        <w:rPr>
          <w:noProof/>
          <w:sz w:val="24"/>
          <w:szCs w:val="24"/>
        </w:rPr>
        <w:t>4,7</w:t>
      </w:r>
      <w:r w:rsidRPr="007351FC">
        <w:rPr>
          <w:noProof/>
          <w:sz w:val="24"/>
          <w:szCs w:val="24"/>
        </w:rPr>
        <w:t>%</w:t>
      </w:r>
      <w:r>
        <w:rPr>
          <w:noProof/>
          <w:sz w:val="24"/>
          <w:szCs w:val="24"/>
        </w:rPr>
        <w:t>,</w:t>
      </w:r>
      <w:r w:rsidRPr="007351FC">
        <w:rPr>
          <w:noProof/>
          <w:sz w:val="24"/>
          <w:szCs w:val="24"/>
        </w:rPr>
        <w:t xml:space="preserve"> до </w:t>
      </w:r>
      <w:r>
        <w:rPr>
          <w:noProof/>
          <w:sz w:val="24"/>
          <w:szCs w:val="24"/>
        </w:rPr>
        <w:t>7</w:t>
      </w:r>
      <w:r w:rsidRPr="007351FC">
        <w:rPr>
          <w:noProof/>
          <w:sz w:val="24"/>
          <w:szCs w:val="24"/>
        </w:rPr>
        <w:t xml:space="preserve">,2 млн руб. </w:t>
      </w:r>
    </w:p>
    <w:p w:rsidR="004E2069" w:rsidRPr="007351FC" w:rsidRDefault="004E2069" w:rsidP="00181171">
      <w:pPr>
        <w:widowControl w:val="0"/>
        <w:ind w:firstLine="425"/>
        <w:jc w:val="both"/>
        <w:rPr>
          <w:noProof/>
          <w:sz w:val="24"/>
          <w:szCs w:val="24"/>
        </w:rPr>
      </w:pPr>
      <w:r w:rsidRPr="007351FC">
        <w:rPr>
          <w:noProof/>
          <w:sz w:val="24"/>
          <w:szCs w:val="24"/>
        </w:rPr>
        <w:t>Безвозмездные перечисления поступили в сумме 2</w:t>
      </w:r>
      <w:r>
        <w:rPr>
          <w:noProof/>
          <w:sz w:val="24"/>
          <w:szCs w:val="24"/>
        </w:rPr>
        <w:t>9,3</w:t>
      </w:r>
      <w:r w:rsidRPr="007351FC">
        <w:rPr>
          <w:noProof/>
          <w:sz w:val="24"/>
          <w:szCs w:val="24"/>
        </w:rPr>
        <w:t xml:space="preserve"> млн руб. (</w:t>
      </w:r>
      <w:r>
        <w:rPr>
          <w:noProof/>
          <w:sz w:val="24"/>
          <w:szCs w:val="24"/>
        </w:rPr>
        <w:t>3</w:t>
      </w:r>
      <w:r w:rsidRPr="007351FC">
        <w:rPr>
          <w:noProof/>
          <w:sz w:val="24"/>
          <w:szCs w:val="24"/>
        </w:rPr>
        <w:t>,1 млн руб. годом ранее).</w:t>
      </w:r>
    </w:p>
    <w:p w:rsidR="004E2069" w:rsidRPr="00B27036" w:rsidRDefault="004E2069" w:rsidP="00181171">
      <w:pPr>
        <w:widowControl w:val="0"/>
        <w:tabs>
          <w:tab w:val="left" w:pos="4680"/>
        </w:tabs>
        <w:spacing w:before="120" w:after="120"/>
        <w:ind w:firstLine="425"/>
        <w:jc w:val="both"/>
        <w:rPr>
          <w:i/>
          <w:sz w:val="24"/>
          <w:szCs w:val="24"/>
        </w:rPr>
      </w:pPr>
      <w:r w:rsidRPr="00B27036">
        <w:rPr>
          <w:i/>
          <w:sz w:val="24"/>
          <w:szCs w:val="24"/>
        </w:rPr>
        <w:t>Расходная часть</w:t>
      </w:r>
    </w:p>
    <w:p w:rsidR="004E2069" w:rsidRPr="007351FC" w:rsidRDefault="004E2069" w:rsidP="00181171">
      <w:pPr>
        <w:ind w:firstLine="425"/>
        <w:jc w:val="both"/>
        <w:rPr>
          <w:sz w:val="24"/>
          <w:szCs w:val="24"/>
        </w:rPr>
      </w:pPr>
      <w:r w:rsidRPr="007351FC">
        <w:rPr>
          <w:sz w:val="24"/>
          <w:szCs w:val="24"/>
        </w:rPr>
        <w:t>В 2017 год</w:t>
      </w:r>
      <w:r>
        <w:rPr>
          <w:sz w:val="24"/>
          <w:szCs w:val="24"/>
        </w:rPr>
        <w:t>у</w:t>
      </w:r>
      <w:r w:rsidRPr="007351FC">
        <w:rPr>
          <w:sz w:val="24"/>
          <w:szCs w:val="24"/>
        </w:rPr>
        <w:t xml:space="preserve"> расходы консол</w:t>
      </w:r>
      <w:r>
        <w:rPr>
          <w:sz w:val="24"/>
          <w:szCs w:val="24"/>
        </w:rPr>
        <w:t>идированного бюджета составили 3 881,1</w:t>
      </w:r>
      <w:r w:rsidRPr="007351FC">
        <w:rPr>
          <w:sz w:val="24"/>
          <w:szCs w:val="24"/>
        </w:rPr>
        <w:t xml:space="preserve"> млн руб., или 9</w:t>
      </w:r>
      <w:r>
        <w:rPr>
          <w:sz w:val="24"/>
          <w:szCs w:val="24"/>
        </w:rPr>
        <w:t>7,2</w:t>
      </w:r>
      <w:r w:rsidRPr="007351FC">
        <w:rPr>
          <w:sz w:val="24"/>
          <w:szCs w:val="24"/>
        </w:rPr>
        <w:t>% от значения 2016 года. Понижательн</w:t>
      </w:r>
      <w:r>
        <w:rPr>
          <w:sz w:val="24"/>
          <w:szCs w:val="24"/>
        </w:rPr>
        <w:t xml:space="preserve">ая динамика к базисному уровню, вследствие </w:t>
      </w:r>
      <w:r w:rsidRPr="007351FC">
        <w:rPr>
          <w:sz w:val="24"/>
          <w:szCs w:val="24"/>
        </w:rPr>
        <w:t>погашения в прошлом году задолженности по заработной плате работникам бюджетной сферы</w:t>
      </w:r>
      <w:r>
        <w:rPr>
          <w:sz w:val="24"/>
          <w:szCs w:val="24"/>
        </w:rPr>
        <w:t>,</w:t>
      </w:r>
      <w:r w:rsidRPr="007351FC">
        <w:rPr>
          <w:sz w:val="24"/>
          <w:szCs w:val="24"/>
        </w:rPr>
        <w:t xml:space="preserve"> отмечалась по большинству статей</w:t>
      </w:r>
      <w:r>
        <w:rPr>
          <w:sz w:val="24"/>
          <w:szCs w:val="24"/>
        </w:rPr>
        <w:t>;</w:t>
      </w:r>
      <w:r w:rsidRPr="007351FC">
        <w:rPr>
          <w:sz w:val="24"/>
          <w:szCs w:val="24"/>
        </w:rPr>
        <w:t xml:space="preserve"> исключение составили расходы на финансирование целевых программ, на капитальные вложения</w:t>
      </w:r>
      <w:r>
        <w:rPr>
          <w:sz w:val="24"/>
          <w:szCs w:val="24"/>
        </w:rPr>
        <w:t>, а также расходы целевых бюджетных фондов</w:t>
      </w:r>
      <w:r w:rsidRPr="007351FC">
        <w:rPr>
          <w:sz w:val="24"/>
          <w:szCs w:val="24"/>
        </w:rPr>
        <w:t xml:space="preserve">. </w:t>
      </w:r>
    </w:p>
    <w:p w:rsidR="004E2069" w:rsidRDefault="004E2069" w:rsidP="00181171">
      <w:pPr>
        <w:widowControl w:val="0"/>
        <w:ind w:firstLine="425"/>
        <w:jc w:val="both"/>
        <w:rPr>
          <w:sz w:val="24"/>
          <w:szCs w:val="24"/>
        </w:rPr>
      </w:pPr>
      <w:r>
        <w:rPr>
          <w:sz w:val="24"/>
          <w:szCs w:val="24"/>
        </w:rPr>
        <w:t>П</w:t>
      </w:r>
      <w:r w:rsidRPr="007351FC">
        <w:rPr>
          <w:sz w:val="24"/>
          <w:szCs w:val="24"/>
        </w:rPr>
        <w:t xml:space="preserve">одавляющая часть расходов приходится на </w:t>
      </w:r>
      <w:r>
        <w:rPr>
          <w:sz w:val="24"/>
          <w:szCs w:val="24"/>
        </w:rPr>
        <w:t>социально защищённые</w:t>
      </w:r>
      <w:r w:rsidRPr="007351FC">
        <w:rPr>
          <w:sz w:val="24"/>
          <w:szCs w:val="24"/>
        </w:rPr>
        <w:t xml:space="preserve"> статьи: на зарплаты, пенсии, пособия и иные социальные выплаты было направлено </w:t>
      </w:r>
      <w:r>
        <w:rPr>
          <w:sz w:val="24"/>
          <w:szCs w:val="24"/>
        </w:rPr>
        <w:t>3 090,0</w:t>
      </w:r>
      <w:r w:rsidRPr="007351FC">
        <w:rPr>
          <w:sz w:val="24"/>
          <w:szCs w:val="24"/>
        </w:rPr>
        <w:t xml:space="preserve"> млн руб.</w:t>
      </w:r>
      <w:r w:rsidRPr="007351FC">
        <w:rPr>
          <w:rStyle w:val="FootnoteReference"/>
          <w:sz w:val="24"/>
          <w:szCs w:val="24"/>
        </w:rPr>
        <w:footnoteReference w:id="12"/>
      </w:r>
      <w:r w:rsidRPr="007351FC">
        <w:rPr>
          <w:sz w:val="24"/>
          <w:szCs w:val="24"/>
        </w:rPr>
        <w:t xml:space="preserve">, или </w:t>
      </w:r>
      <w:r>
        <w:rPr>
          <w:sz w:val="24"/>
          <w:szCs w:val="24"/>
        </w:rPr>
        <w:t>79,6</w:t>
      </w:r>
      <w:r w:rsidRPr="007351FC">
        <w:rPr>
          <w:sz w:val="24"/>
          <w:szCs w:val="24"/>
        </w:rPr>
        <w:t>% совокупных затрат. Выплаты из бюджета, связанные с оплатой труда, составили 5</w:t>
      </w:r>
      <w:r>
        <w:rPr>
          <w:sz w:val="24"/>
          <w:szCs w:val="24"/>
        </w:rPr>
        <w:t>5,4</w:t>
      </w:r>
      <w:r w:rsidRPr="007351FC">
        <w:rPr>
          <w:sz w:val="24"/>
          <w:szCs w:val="24"/>
        </w:rPr>
        <w:t>% совокупного объёма бюджетных расходов</w:t>
      </w:r>
      <w:r>
        <w:rPr>
          <w:sz w:val="24"/>
          <w:szCs w:val="24"/>
        </w:rPr>
        <w:t>, или</w:t>
      </w:r>
      <w:r w:rsidRPr="007351FC">
        <w:rPr>
          <w:sz w:val="24"/>
          <w:szCs w:val="24"/>
        </w:rPr>
        <w:t xml:space="preserve"> </w:t>
      </w:r>
      <w:r>
        <w:rPr>
          <w:sz w:val="24"/>
          <w:szCs w:val="24"/>
        </w:rPr>
        <w:t>2 151,6</w:t>
      </w:r>
      <w:r w:rsidRPr="007351FC">
        <w:rPr>
          <w:sz w:val="24"/>
          <w:szCs w:val="24"/>
        </w:rPr>
        <w:t xml:space="preserve"> млн руб. </w:t>
      </w:r>
    </w:p>
    <w:p w:rsidR="004E2069" w:rsidRPr="007351FC" w:rsidRDefault="004E2069" w:rsidP="00181171">
      <w:pPr>
        <w:widowControl w:val="0"/>
        <w:ind w:firstLine="425"/>
        <w:jc w:val="both"/>
        <w:rPr>
          <w:sz w:val="24"/>
          <w:szCs w:val="24"/>
        </w:rPr>
      </w:pPr>
      <w:r w:rsidRPr="007351FC">
        <w:rPr>
          <w:sz w:val="24"/>
          <w:szCs w:val="24"/>
        </w:rPr>
        <w:t>Финансирование расходов по традиционно самой объёмной группе</w:t>
      </w:r>
      <w:r>
        <w:rPr>
          <w:sz w:val="24"/>
          <w:szCs w:val="24"/>
        </w:rPr>
        <w:t xml:space="preserve"> </w:t>
      </w:r>
      <w:r w:rsidRPr="007351FC">
        <w:rPr>
          <w:sz w:val="24"/>
          <w:szCs w:val="24"/>
        </w:rPr>
        <w:t>(4</w:t>
      </w:r>
      <w:r>
        <w:rPr>
          <w:sz w:val="24"/>
          <w:szCs w:val="24"/>
        </w:rPr>
        <w:t>7,9</w:t>
      </w:r>
      <w:r w:rsidRPr="007351FC">
        <w:rPr>
          <w:sz w:val="24"/>
          <w:szCs w:val="24"/>
        </w:rPr>
        <w:t>% итогового показателя) – «воспроизводство человеческого капитала»</w:t>
      </w:r>
      <w:r>
        <w:rPr>
          <w:rStyle w:val="FootnoteReference"/>
          <w:sz w:val="24"/>
          <w:szCs w:val="24"/>
        </w:rPr>
        <w:footnoteReference w:id="13"/>
      </w:r>
      <w:r w:rsidRPr="007351FC">
        <w:rPr>
          <w:sz w:val="24"/>
          <w:szCs w:val="24"/>
        </w:rPr>
        <w:t xml:space="preserve"> </w:t>
      </w:r>
      <w:r>
        <w:rPr>
          <w:sz w:val="24"/>
          <w:szCs w:val="24"/>
        </w:rPr>
        <w:t xml:space="preserve">– сократилось на </w:t>
      </w:r>
      <w:r w:rsidRPr="00AA5665">
        <w:rPr>
          <w:sz w:val="24"/>
          <w:szCs w:val="24"/>
        </w:rPr>
        <w:t>7,9%,</w:t>
      </w:r>
      <w:r>
        <w:rPr>
          <w:sz w:val="24"/>
          <w:szCs w:val="24"/>
        </w:rPr>
        <w:t xml:space="preserve"> до</w:t>
      </w:r>
      <w:r w:rsidRPr="007351FC">
        <w:rPr>
          <w:sz w:val="24"/>
          <w:szCs w:val="24"/>
        </w:rPr>
        <w:t xml:space="preserve"> </w:t>
      </w:r>
      <w:r>
        <w:rPr>
          <w:sz w:val="24"/>
          <w:szCs w:val="24"/>
        </w:rPr>
        <w:br/>
      </w:r>
      <w:r w:rsidRPr="007351FC">
        <w:rPr>
          <w:sz w:val="24"/>
          <w:szCs w:val="24"/>
        </w:rPr>
        <w:t>1 </w:t>
      </w:r>
      <w:r>
        <w:rPr>
          <w:sz w:val="24"/>
          <w:szCs w:val="24"/>
        </w:rPr>
        <w:t>857</w:t>
      </w:r>
      <w:r w:rsidRPr="007351FC">
        <w:rPr>
          <w:sz w:val="24"/>
          <w:szCs w:val="24"/>
        </w:rPr>
        <w:t xml:space="preserve">,4 млн руб. </w:t>
      </w:r>
      <w:r>
        <w:rPr>
          <w:sz w:val="24"/>
          <w:szCs w:val="24"/>
        </w:rPr>
        <w:t>Затраты государства</w:t>
      </w:r>
      <w:r w:rsidRPr="007351FC">
        <w:rPr>
          <w:sz w:val="24"/>
          <w:szCs w:val="24"/>
        </w:rPr>
        <w:t xml:space="preserve"> в сфере образования сложились в пределах </w:t>
      </w:r>
      <w:r>
        <w:rPr>
          <w:sz w:val="24"/>
          <w:szCs w:val="24"/>
        </w:rPr>
        <w:br/>
        <w:t xml:space="preserve">912,5 </w:t>
      </w:r>
      <w:r w:rsidRPr="007351FC">
        <w:rPr>
          <w:sz w:val="24"/>
          <w:szCs w:val="24"/>
        </w:rPr>
        <w:t xml:space="preserve">млн руб., что на </w:t>
      </w:r>
      <w:r>
        <w:rPr>
          <w:sz w:val="24"/>
          <w:szCs w:val="24"/>
        </w:rPr>
        <w:t>8,6</w:t>
      </w:r>
      <w:r w:rsidRPr="007351FC">
        <w:rPr>
          <w:sz w:val="24"/>
          <w:szCs w:val="24"/>
        </w:rPr>
        <w:t xml:space="preserve">% ниже прошлогодней отметки. </w:t>
      </w:r>
      <w:r>
        <w:rPr>
          <w:sz w:val="24"/>
          <w:szCs w:val="24"/>
        </w:rPr>
        <w:t>Р</w:t>
      </w:r>
      <w:r w:rsidRPr="007351FC">
        <w:rPr>
          <w:sz w:val="24"/>
          <w:szCs w:val="24"/>
        </w:rPr>
        <w:t>асходы на социальное обеспечение были</w:t>
      </w:r>
      <w:r>
        <w:rPr>
          <w:sz w:val="24"/>
          <w:szCs w:val="24"/>
        </w:rPr>
        <w:t xml:space="preserve"> практически</w:t>
      </w:r>
      <w:r w:rsidRPr="007351FC">
        <w:rPr>
          <w:sz w:val="24"/>
          <w:szCs w:val="24"/>
        </w:rPr>
        <w:t xml:space="preserve"> сопоставимы с базисным показателем (</w:t>
      </w:r>
      <w:r>
        <w:rPr>
          <w:sz w:val="24"/>
          <w:szCs w:val="24"/>
        </w:rPr>
        <w:t>4</w:t>
      </w:r>
      <w:r w:rsidRPr="007351FC">
        <w:rPr>
          <w:sz w:val="24"/>
          <w:szCs w:val="24"/>
        </w:rPr>
        <w:t>06,5 млн руб., или 9</w:t>
      </w:r>
      <w:r>
        <w:rPr>
          <w:sz w:val="24"/>
          <w:szCs w:val="24"/>
        </w:rPr>
        <w:t>8,6%)</w:t>
      </w:r>
      <w:r w:rsidRPr="007351FC">
        <w:rPr>
          <w:sz w:val="24"/>
          <w:szCs w:val="24"/>
        </w:rPr>
        <w:t xml:space="preserve">. Организации здравоохранения были профинансированы в сумме </w:t>
      </w:r>
      <w:r>
        <w:rPr>
          <w:sz w:val="24"/>
          <w:szCs w:val="24"/>
        </w:rPr>
        <w:t>461,6</w:t>
      </w:r>
      <w:r w:rsidRPr="007351FC">
        <w:rPr>
          <w:sz w:val="24"/>
          <w:szCs w:val="24"/>
        </w:rPr>
        <w:t xml:space="preserve"> млн руб., что на 1</w:t>
      </w:r>
      <w:r>
        <w:rPr>
          <w:sz w:val="24"/>
          <w:szCs w:val="24"/>
        </w:rPr>
        <w:t>1,0</w:t>
      </w:r>
      <w:r w:rsidRPr="007351FC">
        <w:rPr>
          <w:sz w:val="24"/>
          <w:szCs w:val="24"/>
        </w:rPr>
        <w:t>% (-5</w:t>
      </w:r>
      <w:r>
        <w:rPr>
          <w:sz w:val="24"/>
          <w:szCs w:val="24"/>
        </w:rPr>
        <w:t>7,2</w:t>
      </w:r>
      <w:r w:rsidRPr="007351FC">
        <w:rPr>
          <w:sz w:val="24"/>
          <w:szCs w:val="24"/>
        </w:rPr>
        <w:t xml:space="preserve"> млн руб.) меньше, чем годом ранее. Объём средств, выделенных на культуру, искусство и кинематографию, составил </w:t>
      </w:r>
      <w:r>
        <w:rPr>
          <w:sz w:val="24"/>
          <w:szCs w:val="24"/>
        </w:rPr>
        <w:t>76,8</w:t>
      </w:r>
      <w:r w:rsidRPr="007351FC">
        <w:rPr>
          <w:sz w:val="24"/>
          <w:szCs w:val="24"/>
        </w:rPr>
        <w:t xml:space="preserve"> млн руб. (-1</w:t>
      </w:r>
      <w:r>
        <w:rPr>
          <w:sz w:val="24"/>
          <w:szCs w:val="24"/>
        </w:rPr>
        <w:t>0,3%)</w:t>
      </w:r>
      <w:r w:rsidRPr="007351FC">
        <w:rPr>
          <w:sz w:val="24"/>
          <w:szCs w:val="24"/>
        </w:rPr>
        <w:t>.</w:t>
      </w:r>
    </w:p>
    <w:p w:rsidR="004E2069" w:rsidRPr="007351FC" w:rsidRDefault="004E2069" w:rsidP="00181171">
      <w:pPr>
        <w:widowControl w:val="0"/>
        <w:ind w:firstLine="425"/>
        <w:jc w:val="both"/>
        <w:rPr>
          <w:sz w:val="24"/>
          <w:szCs w:val="24"/>
        </w:rPr>
      </w:pPr>
      <w:r>
        <w:rPr>
          <w:sz w:val="24"/>
          <w:szCs w:val="24"/>
        </w:rPr>
        <w:t>Н</w:t>
      </w:r>
      <w:r w:rsidRPr="007351FC">
        <w:rPr>
          <w:sz w:val="24"/>
          <w:szCs w:val="24"/>
        </w:rPr>
        <w:t xml:space="preserve">а обеспечение безопасности и осуществление правоохранительной деятельности </w:t>
      </w:r>
      <w:r>
        <w:rPr>
          <w:sz w:val="24"/>
          <w:szCs w:val="24"/>
        </w:rPr>
        <w:br/>
        <w:t>было направлено 418,2</w:t>
      </w:r>
      <w:r w:rsidRPr="007351FC">
        <w:rPr>
          <w:sz w:val="24"/>
          <w:szCs w:val="24"/>
        </w:rPr>
        <w:t xml:space="preserve"> млн руб., или </w:t>
      </w:r>
      <w:r>
        <w:rPr>
          <w:sz w:val="24"/>
          <w:szCs w:val="24"/>
        </w:rPr>
        <w:t>92,6</w:t>
      </w:r>
      <w:r w:rsidRPr="007351FC">
        <w:rPr>
          <w:sz w:val="24"/>
          <w:szCs w:val="24"/>
        </w:rPr>
        <w:t xml:space="preserve">% </w:t>
      </w:r>
      <w:r>
        <w:rPr>
          <w:sz w:val="24"/>
          <w:szCs w:val="24"/>
        </w:rPr>
        <w:t xml:space="preserve">базисного </w:t>
      </w:r>
      <w:r w:rsidRPr="007351FC">
        <w:rPr>
          <w:sz w:val="24"/>
          <w:szCs w:val="24"/>
        </w:rPr>
        <w:t xml:space="preserve">уровня. На функционирование государственных органов (государственное и местное управление, судебная власть, международная деятельность) было израсходовано </w:t>
      </w:r>
      <w:r>
        <w:rPr>
          <w:sz w:val="24"/>
          <w:szCs w:val="24"/>
        </w:rPr>
        <w:t>250,5 млн руб. (-5,3</w:t>
      </w:r>
      <w:r w:rsidRPr="007351FC">
        <w:rPr>
          <w:sz w:val="24"/>
          <w:szCs w:val="24"/>
        </w:rPr>
        <w:t xml:space="preserve">%). </w:t>
      </w:r>
    </w:p>
    <w:p w:rsidR="004E2069" w:rsidRPr="007351FC" w:rsidRDefault="004E2069" w:rsidP="00181171">
      <w:pPr>
        <w:widowControl w:val="0"/>
        <w:ind w:firstLine="425"/>
        <w:jc w:val="both"/>
        <w:rPr>
          <w:sz w:val="24"/>
          <w:szCs w:val="24"/>
        </w:rPr>
      </w:pPr>
      <w:r w:rsidRPr="007351FC">
        <w:rPr>
          <w:sz w:val="24"/>
          <w:szCs w:val="24"/>
        </w:rPr>
        <w:t xml:space="preserve">Поддержка предприятий отдельных отраслей экономики сократилась </w:t>
      </w:r>
      <w:r>
        <w:rPr>
          <w:sz w:val="24"/>
          <w:szCs w:val="24"/>
        </w:rPr>
        <w:t xml:space="preserve">на 8,8%, </w:t>
      </w:r>
      <w:r w:rsidRPr="007351FC">
        <w:rPr>
          <w:sz w:val="24"/>
          <w:szCs w:val="24"/>
        </w:rPr>
        <w:t xml:space="preserve">до </w:t>
      </w:r>
      <w:r>
        <w:rPr>
          <w:sz w:val="24"/>
          <w:szCs w:val="24"/>
        </w:rPr>
        <w:br/>
        <w:t>66,3 млн руб. Ф</w:t>
      </w:r>
      <w:r w:rsidRPr="007351FC">
        <w:rPr>
          <w:sz w:val="24"/>
          <w:szCs w:val="24"/>
        </w:rPr>
        <w:t>инансирование предприятий жилищно-коммунально</w:t>
      </w:r>
      <w:r>
        <w:rPr>
          <w:sz w:val="24"/>
          <w:szCs w:val="24"/>
        </w:rPr>
        <w:t>й сферы увеличилось на 14,7%, до 54,8</w:t>
      </w:r>
      <w:r w:rsidRPr="007351FC">
        <w:rPr>
          <w:sz w:val="24"/>
          <w:szCs w:val="24"/>
        </w:rPr>
        <w:t xml:space="preserve"> млн руб. </w:t>
      </w:r>
    </w:p>
    <w:p w:rsidR="004E2069" w:rsidRDefault="004E2069" w:rsidP="00C87075">
      <w:pPr>
        <w:autoSpaceDE w:val="0"/>
        <w:autoSpaceDN w:val="0"/>
        <w:adjustRightInd w:val="0"/>
        <w:ind w:firstLine="425"/>
        <w:jc w:val="both"/>
        <w:rPr>
          <w:sz w:val="24"/>
          <w:szCs w:val="24"/>
        </w:rPr>
      </w:pPr>
      <w:r w:rsidRPr="007351FC">
        <w:rPr>
          <w:sz w:val="24"/>
          <w:szCs w:val="24"/>
        </w:rPr>
        <w:t>В отличие от понижательной динамики, наблюдавшейся на протяжении 2015-</w:t>
      </w:r>
      <w:smartTag w:uri="urn:schemas-microsoft-com:office:smarttags" w:element="metricconverter">
        <w:smartTagPr>
          <w:attr w:name="ProductID" w:val="2016 г"/>
        </w:smartTagPr>
        <w:r w:rsidRPr="007351FC">
          <w:rPr>
            <w:sz w:val="24"/>
            <w:szCs w:val="24"/>
          </w:rPr>
          <w:t>2016 г</w:t>
        </w:r>
      </w:smartTag>
      <w:r w:rsidRPr="007351FC">
        <w:rPr>
          <w:sz w:val="24"/>
          <w:szCs w:val="24"/>
        </w:rPr>
        <w:t xml:space="preserve">., в отчётном </w:t>
      </w:r>
      <w:r>
        <w:rPr>
          <w:sz w:val="24"/>
          <w:szCs w:val="24"/>
        </w:rPr>
        <w:t>году</w:t>
      </w:r>
      <w:r w:rsidRPr="007351FC">
        <w:rPr>
          <w:sz w:val="24"/>
          <w:szCs w:val="24"/>
        </w:rPr>
        <w:t xml:space="preserve"> в части средств, выделяемых на реализацию целевых программ, отмечался рост. Объём </w:t>
      </w:r>
      <w:r>
        <w:rPr>
          <w:sz w:val="24"/>
          <w:szCs w:val="24"/>
        </w:rPr>
        <w:t xml:space="preserve">расходов </w:t>
      </w:r>
      <w:r w:rsidRPr="007351FC">
        <w:rPr>
          <w:sz w:val="24"/>
          <w:szCs w:val="24"/>
        </w:rPr>
        <w:t xml:space="preserve">по данному направлению сложился в сумме </w:t>
      </w:r>
      <w:r>
        <w:rPr>
          <w:sz w:val="24"/>
          <w:szCs w:val="24"/>
        </w:rPr>
        <w:t>11,5</w:t>
      </w:r>
      <w:r w:rsidRPr="007351FC">
        <w:rPr>
          <w:sz w:val="24"/>
          <w:szCs w:val="24"/>
        </w:rPr>
        <w:t xml:space="preserve"> млн руб., что в </w:t>
      </w:r>
      <w:r>
        <w:rPr>
          <w:sz w:val="24"/>
          <w:szCs w:val="24"/>
        </w:rPr>
        <w:br/>
        <w:t>1,6</w:t>
      </w:r>
      <w:r w:rsidRPr="007351FC">
        <w:rPr>
          <w:sz w:val="24"/>
          <w:szCs w:val="24"/>
        </w:rPr>
        <w:t xml:space="preserve"> раза превысило базисн</w:t>
      </w:r>
      <w:r>
        <w:rPr>
          <w:sz w:val="24"/>
          <w:szCs w:val="24"/>
        </w:rPr>
        <w:t>ый</w:t>
      </w:r>
      <w:r w:rsidRPr="007351FC">
        <w:rPr>
          <w:sz w:val="24"/>
          <w:szCs w:val="24"/>
        </w:rPr>
        <w:t xml:space="preserve"> показатель. Большая часть программ была реали</w:t>
      </w:r>
      <w:r>
        <w:rPr>
          <w:sz w:val="24"/>
          <w:szCs w:val="24"/>
        </w:rPr>
        <w:t>зована в сфере здравоохранения (н</w:t>
      </w:r>
      <w:r w:rsidRPr="007351FC">
        <w:rPr>
          <w:sz w:val="24"/>
          <w:szCs w:val="24"/>
        </w:rPr>
        <w:t>аиболее масштабная из них – «Онкология»</w:t>
      </w:r>
      <w:r>
        <w:rPr>
          <w:sz w:val="24"/>
          <w:szCs w:val="24"/>
        </w:rPr>
        <w:t>)</w:t>
      </w:r>
      <w:r w:rsidRPr="007351FC">
        <w:rPr>
          <w:sz w:val="24"/>
          <w:szCs w:val="24"/>
        </w:rPr>
        <w:t>.</w:t>
      </w:r>
    </w:p>
    <w:p w:rsidR="004E2069" w:rsidRPr="004D7DD8" w:rsidRDefault="004E2069" w:rsidP="00C87075">
      <w:pPr>
        <w:autoSpaceDE w:val="0"/>
        <w:autoSpaceDN w:val="0"/>
        <w:adjustRightInd w:val="0"/>
        <w:ind w:firstLine="425"/>
        <w:jc w:val="both"/>
        <w:rPr>
          <w:sz w:val="24"/>
          <w:szCs w:val="24"/>
        </w:rPr>
      </w:pPr>
      <w:r w:rsidRPr="004D7DD8">
        <w:rPr>
          <w:sz w:val="24"/>
          <w:szCs w:val="24"/>
        </w:rPr>
        <w:t xml:space="preserve">Субсидии за счёт средств Дорожного фонда в адрес местных бюджетов составили </w:t>
      </w:r>
      <w:r w:rsidRPr="004D7DD8">
        <w:rPr>
          <w:sz w:val="24"/>
          <w:szCs w:val="24"/>
        </w:rPr>
        <w:br/>
        <w:t xml:space="preserve">104,6 млн руб., что на 4,5% больше прошлогоднего уровня. При этом вложения в дорожную инфраструктуру, находящуюся в государственной собственности, по сравнению с </w:t>
      </w:r>
      <w:r>
        <w:rPr>
          <w:sz w:val="24"/>
          <w:szCs w:val="24"/>
        </w:rPr>
        <w:br/>
      </w:r>
      <w:r w:rsidRPr="004D7DD8">
        <w:rPr>
          <w:sz w:val="24"/>
          <w:szCs w:val="24"/>
        </w:rPr>
        <w:t>2016 годом расширились на 29,1%</w:t>
      </w:r>
      <w:r>
        <w:rPr>
          <w:sz w:val="24"/>
          <w:szCs w:val="24"/>
        </w:rPr>
        <w:t>,</w:t>
      </w:r>
      <w:r w:rsidRPr="004D7DD8">
        <w:rPr>
          <w:sz w:val="24"/>
          <w:szCs w:val="24"/>
        </w:rPr>
        <w:t xml:space="preserve"> до 40,2 млн руб. На исполнение Программы развития дорожной отрасли по автомобильным дорогам общего пользования, находящимся в муниципальной собственности, были выделены средства в сумме 65,7 млн руб. </w:t>
      </w:r>
    </w:p>
    <w:p w:rsidR="004E2069" w:rsidRPr="007351FC" w:rsidRDefault="004E2069" w:rsidP="00181171">
      <w:pPr>
        <w:autoSpaceDE w:val="0"/>
        <w:autoSpaceDN w:val="0"/>
        <w:adjustRightInd w:val="0"/>
        <w:ind w:firstLine="425"/>
        <w:jc w:val="both"/>
        <w:rPr>
          <w:sz w:val="24"/>
          <w:szCs w:val="24"/>
        </w:rPr>
      </w:pPr>
      <w:r w:rsidRPr="004D7DD8">
        <w:rPr>
          <w:sz w:val="24"/>
          <w:szCs w:val="24"/>
        </w:rPr>
        <w:t>Потребности Государственного целевого фонда таможенных органов финансировались в пределах полученных доходов</w:t>
      </w:r>
      <w:r>
        <w:rPr>
          <w:sz w:val="24"/>
          <w:szCs w:val="24"/>
        </w:rPr>
        <w:t xml:space="preserve"> (</w:t>
      </w:r>
      <w:r w:rsidRPr="004D7DD8">
        <w:rPr>
          <w:sz w:val="24"/>
          <w:szCs w:val="24"/>
        </w:rPr>
        <w:t>53,2 млн руб.</w:t>
      </w:r>
      <w:r>
        <w:rPr>
          <w:sz w:val="24"/>
          <w:szCs w:val="24"/>
        </w:rPr>
        <w:t>).</w:t>
      </w:r>
      <w:r w:rsidRPr="004D7DD8">
        <w:rPr>
          <w:sz w:val="24"/>
          <w:szCs w:val="24"/>
        </w:rPr>
        <w:t xml:space="preserve"> На природоохранные мероприятия из республиканского и территориальных экологических фондов было выделено 17,9 млн руб.</w:t>
      </w:r>
    </w:p>
    <w:p w:rsidR="004E2069" w:rsidRPr="007351FC" w:rsidRDefault="004E2069" w:rsidP="00181171">
      <w:pPr>
        <w:autoSpaceDE w:val="0"/>
        <w:autoSpaceDN w:val="0"/>
        <w:adjustRightInd w:val="0"/>
        <w:ind w:firstLine="425"/>
        <w:jc w:val="both"/>
        <w:rPr>
          <w:sz w:val="24"/>
          <w:szCs w:val="24"/>
        </w:rPr>
      </w:pPr>
      <w:r w:rsidRPr="007351FC">
        <w:rPr>
          <w:sz w:val="24"/>
          <w:szCs w:val="24"/>
        </w:rPr>
        <w:t xml:space="preserve">Затраты, связанные с оказанием государственными учреждениями платных услуг, сформировались в сумме </w:t>
      </w:r>
      <w:r>
        <w:rPr>
          <w:sz w:val="24"/>
          <w:szCs w:val="24"/>
        </w:rPr>
        <w:t xml:space="preserve">151,7 </w:t>
      </w:r>
      <w:r w:rsidRPr="007351FC">
        <w:rPr>
          <w:sz w:val="24"/>
          <w:szCs w:val="24"/>
        </w:rPr>
        <w:t xml:space="preserve">млн руб., что на </w:t>
      </w:r>
      <w:r>
        <w:rPr>
          <w:sz w:val="24"/>
          <w:szCs w:val="24"/>
        </w:rPr>
        <w:t>2,3</w:t>
      </w:r>
      <w:r w:rsidRPr="007351FC">
        <w:rPr>
          <w:sz w:val="24"/>
          <w:szCs w:val="24"/>
        </w:rPr>
        <w:t>% меньше базисного значения.</w:t>
      </w:r>
    </w:p>
    <w:p w:rsidR="004E2069" w:rsidRPr="007351FC" w:rsidRDefault="004E2069" w:rsidP="00181171">
      <w:pPr>
        <w:widowControl w:val="0"/>
        <w:ind w:firstLine="425"/>
        <w:jc w:val="both"/>
        <w:rPr>
          <w:sz w:val="24"/>
          <w:szCs w:val="24"/>
        </w:rPr>
      </w:pPr>
      <w:r w:rsidRPr="007351FC">
        <w:rPr>
          <w:sz w:val="24"/>
          <w:szCs w:val="24"/>
        </w:rPr>
        <w:t>В результате</w:t>
      </w:r>
      <w:r>
        <w:rPr>
          <w:sz w:val="24"/>
          <w:szCs w:val="24"/>
        </w:rPr>
        <w:t xml:space="preserve"> введённого режима экономии в условиях сохраняющейся сложной ситуации в сфере государственных финансов</w:t>
      </w:r>
      <w:r w:rsidRPr="007351FC">
        <w:rPr>
          <w:sz w:val="24"/>
          <w:szCs w:val="24"/>
        </w:rPr>
        <w:t xml:space="preserve"> по итогам 2017 года отрицательное сальдо консолидированного бюджета сложилось на уровне </w:t>
      </w:r>
      <w:r>
        <w:rPr>
          <w:sz w:val="24"/>
          <w:szCs w:val="24"/>
        </w:rPr>
        <w:t>1 194,5</w:t>
      </w:r>
      <w:r w:rsidRPr="007351FC">
        <w:rPr>
          <w:sz w:val="24"/>
          <w:szCs w:val="24"/>
        </w:rPr>
        <w:t xml:space="preserve"> млн руб., что на </w:t>
      </w:r>
      <w:r>
        <w:rPr>
          <w:sz w:val="24"/>
          <w:szCs w:val="24"/>
        </w:rPr>
        <w:t>460,8</w:t>
      </w:r>
      <w:r w:rsidRPr="007351FC">
        <w:rPr>
          <w:sz w:val="24"/>
          <w:szCs w:val="24"/>
        </w:rPr>
        <w:t xml:space="preserve"> млн руб., или на 2</w:t>
      </w:r>
      <w:r>
        <w:rPr>
          <w:sz w:val="24"/>
          <w:szCs w:val="24"/>
        </w:rPr>
        <w:t>7,8</w:t>
      </w:r>
      <w:r w:rsidRPr="007351FC">
        <w:rPr>
          <w:sz w:val="24"/>
          <w:szCs w:val="24"/>
        </w:rPr>
        <w:t>%, меньше показателя 2016 года. При этом степень покрытия расходов фактически поступившими доходами увеличилась до 6</w:t>
      </w:r>
      <w:r>
        <w:rPr>
          <w:sz w:val="24"/>
          <w:szCs w:val="24"/>
        </w:rPr>
        <w:t>9,2</w:t>
      </w:r>
      <w:r w:rsidRPr="007351FC">
        <w:rPr>
          <w:sz w:val="24"/>
          <w:szCs w:val="24"/>
        </w:rPr>
        <w:t>% против 58,</w:t>
      </w:r>
      <w:r>
        <w:rPr>
          <w:sz w:val="24"/>
          <w:szCs w:val="24"/>
        </w:rPr>
        <w:t>5</w:t>
      </w:r>
      <w:r w:rsidRPr="007351FC">
        <w:rPr>
          <w:sz w:val="24"/>
          <w:szCs w:val="24"/>
        </w:rPr>
        <w:t>% годом ранее.</w:t>
      </w:r>
    </w:p>
    <w:p w:rsidR="004E2069" w:rsidRDefault="004E2069" w:rsidP="00181171"/>
    <w:p w:rsidR="004E2069" w:rsidRPr="00E85DD7" w:rsidRDefault="004E2069" w:rsidP="00E90743">
      <w:pPr>
        <w:widowControl w:val="0"/>
        <w:numPr>
          <w:ilvl w:val="1"/>
          <w:numId w:val="1"/>
        </w:numPr>
        <w:jc w:val="both"/>
        <w:rPr>
          <w:b/>
          <w:bCs/>
          <w:noProof/>
          <w:sz w:val="24"/>
          <w:szCs w:val="24"/>
        </w:rPr>
      </w:pPr>
      <w:r w:rsidRPr="00E85DD7">
        <w:rPr>
          <w:b/>
          <w:bCs/>
          <w:noProof/>
          <w:sz w:val="24"/>
          <w:szCs w:val="24"/>
        </w:rPr>
        <w:t>ФИНАНСОВЫЙ СЕКТОР</w:t>
      </w:r>
    </w:p>
    <w:p w:rsidR="004E2069" w:rsidRPr="00E85DD7" w:rsidRDefault="004E2069" w:rsidP="00DC0A7D">
      <w:pPr>
        <w:pStyle w:val="Heading2"/>
        <w:widowControl w:val="0"/>
        <w:spacing w:before="120"/>
        <w:ind w:left="408" w:firstLine="57"/>
        <w:jc w:val="left"/>
        <w:rPr>
          <w:rFonts w:ascii="Times New Roman" w:hAnsi="Times New Roman" w:cs="Times New Roman"/>
          <w:b w:val="0"/>
          <w:bCs w:val="0"/>
          <w:i/>
          <w:iCs/>
          <w:sz w:val="24"/>
          <w:szCs w:val="24"/>
        </w:rPr>
      </w:pPr>
      <w:r w:rsidRPr="00E85DD7">
        <w:rPr>
          <w:rFonts w:ascii="Times New Roman" w:hAnsi="Times New Roman" w:cs="Times New Roman"/>
          <w:b w:val="0"/>
          <w:bCs w:val="0"/>
          <w:i/>
          <w:iCs/>
          <w:sz w:val="24"/>
          <w:szCs w:val="24"/>
        </w:rPr>
        <w:t>Банковская система</w:t>
      </w:r>
    </w:p>
    <w:p w:rsidR="004E2069" w:rsidRPr="00DA4C7A" w:rsidRDefault="004E2069" w:rsidP="009E52B4">
      <w:pPr>
        <w:widowControl w:val="0"/>
        <w:tabs>
          <w:tab w:val="left" w:pos="5580"/>
          <w:tab w:val="left" w:pos="5760"/>
        </w:tabs>
        <w:ind w:firstLine="425"/>
        <w:jc w:val="both"/>
        <w:rPr>
          <w:sz w:val="24"/>
          <w:szCs w:val="24"/>
        </w:rPr>
      </w:pPr>
      <w:r>
        <w:rPr>
          <w:sz w:val="24"/>
          <w:szCs w:val="24"/>
        </w:rPr>
        <w:t xml:space="preserve">Ряд </w:t>
      </w:r>
      <w:r w:rsidRPr="00DA4C7A">
        <w:rPr>
          <w:sz w:val="24"/>
          <w:szCs w:val="24"/>
        </w:rPr>
        <w:t xml:space="preserve">накопленных проблем в банковской сфере обусловил необходимость </w:t>
      </w:r>
      <w:r w:rsidRPr="00DA4C7A">
        <w:rPr>
          <w:color w:val="000000"/>
          <w:sz w:val="24"/>
          <w:szCs w:val="24"/>
        </w:rPr>
        <w:t xml:space="preserve">реализации </w:t>
      </w:r>
      <w:r>
        <w:rPr>
          <w:color w:val="000000"/>
          <w:sz w:val="24"/>
          <w:szCs w:val="24"/>
        </w:rPr>
        <w:t>комплекса</w:t>
      </w:r>
      <w:r w:rsidRPr="00DA4C7A">
        <w:rPr>
          <w:color w:val="000000"/>
          <w:sz w:val="24"/>
          <w:szCs w:val="24"/>
        </w:rPr>
        <w:t xml:space="preserve"> мероприятий надзорного и денежно-кредитного регулирования со стороны центрального банка. </w:t>
      </w:r>
      <w:r w:rsidRPr="00DA4C7A">
        <w:rPr>
          <w:sz w:val="24"/>
          <w:szCs w:val="24"/>
        </w:rPr>
        <w:t xml:space="preserve">В соответствии с положениями Закона </w:t>
      </w:r>
      <w:r>
        <w:rPr>
          <w:sz w:val="24"/>
          <w:szCs w:val="24"/>
        </w:rPr>
        <w:t>о</w:t>
      </w:r>
      <w:r w:rsidRPr="00DA4C7A">
        <w:rPr>
          <w:sz w:val="24"/>
          <w:szCs w:val="24"/>
        </w:rPr>
        <w:t xml:space="preserve"> стабилизации </w:t>
      </w:r>
      <w:r>
        <w:rPr>
          <w:sz w:val="24"/>
          <w:szCs w:val="24"/>
        </w:rPr>
        <w:t xml:space="preserve">банковской системы </w:t>
      </w:r>
      <w:r w:rsidRPr="00DA4C7A">
        <w:rPr>
          <w:sz w:val="24"/>
          <w:szCs w:val="24"/>
        </w:rPr>
        <w:t xml:space="preserve">была проведена процедура оздоровления двух проблемных банков </w:t>
      </w:r>
      <w:r>
        <w:rPr>
          <w:sz w:val="24"/>
          <w:szCs w:val="24"/>
        </w:rPr>
        <w:br/>
      </w:r>
      <w:r w:rsidRPr="00DA4C7A">
        <w:rPr>
          <w:sz w:val="24"/>
          <w:szCs w:val="24"/>
        </w:rPr>
        <w:t>(ЗАО «Тираспромстройбанк» и ЗАО АКБ «Ипотечный</w:t>
      </w:r>
      <w:r w:rsidRPr="0007283D">
        <w:rPr>
          <w:sz w:val="24"/>
          <w:szCs w:val="24"/>
        </w:rPr>
        <w:t>»),</w:t>
      </w:r>
      <w:r w:rsidRPr="00DA4C7A">
        <w:rPr>
          <w:sz w:val="24"/>
          <w:szCs w:val="24"/>
        </w:rPr>
        <w:t xml:space="preserve"> путём очистки от проблемных активов с помощью их передачи в созданное 18 июля 2017 года ОАО «Агентство по оздоровлению банковской системы», а затем их присоединения к государственному </w:t>
      </w:r>
      <w:r>
        <w:rPr>
          <w:sz w:val="24"/>
          <w:szCs w:val="24"/>
        </w:rPr>
        <w:br/>
      </w:r>
      <w:r w:rsidRPr="00DF46AC">
        <w:rPr>
          <w:sz w:val="24"/>
          <w:szCs w:val="24"/>
        </w:rPr>
        <w:t>ОАО «Эксимбанк» (процедура реорганизации была завершена 4 ноября 2017 года). Кроме того, ввиду накопления значительного объёма «плохих долгов», а также невозможности исполнения своих обязательств данным Законом определена необходимость ликвидации</w:t>
      </w:r>
      <w:r w:rsidRPr="00DA4C7A">
        <w:rPr>
          <w:sz w:val="24"/>
          <w:szCs w:val="24"/>
        </w:rPr>
        <w:t xml:space="preserve"> ЗАО «Банк сельхозразвития» (по состоянию на 1 января 2018 года банк находится в стадии ликвидации). </w:t>
      </w:r>
    </w:p>
    <w:p w:rsidR="004E2069" w:rsidRPr="0068194D" w:rsidRDefault="004E2069" w:rsidP="00AB77B5">
      <w:pPr>
        <w:widowControl w:val="0"/>
        <w:ind w:firstLine="425"/>
        <w:jc w:val="both"/>
        <w:rPr>
          <w:sz w:val="24"/>
          <w:szCs w:val="24"/>
        </w:rPr>
      </w:pPr>
      <w:r w:rsidRPr="00DA4C7A">
        <w:rPr>
          <w:color w:val="000000"/>
          <w:sz w:val="24"/>
          <w:szCs w:val="24"/>
        </w:rPr>
        <w:t xml:space="preserve">В соответствии с вышеназванным Законом, </w:t>
      </w:r>
      <w:r w:rsidRPr="00DA4C7A">
        <w:rPr>
          <w:sz w:val="24"/>
          <w:szCs w:val="24"/>
        </w:rPr>
        <w:t>в августе 2017 года уставный капитал финансово неустойчивых банков был уменьшен до 1 рубля</w:t>
      </w:r>
      <w:r>
        <w:rPr>
          <w:sz w:val="24"/>
          <w:szCs w:val="24"/>
        </w:rPr>
        <w:t>,</w:t>
      </w:r>
      <w:r w:rsidRPr="00DA4C7A">
        <w:rPr>
          <w:sz w:val="24"/>
          <w:szCs w:val="24"/>
        </w:rPr>
        <w:t xml:space="preserve"> </w:t>
      </w:r>
      <w:r>
        <w:rPr>
          <w:sz w:val="24"/>
          <w:szCs w:val="24"/>
        </w:rPr>
        <w:t>сокращё</w:t>
      </w:r>
      <w:r w:rsidRPr="00DA4C7A">
        <w:rPr>
          <w:sz w:val="24"/>
          <w:szCs w:val="24"/>
        </w:rPr>
        <w:t>н акционерн</w:t>
      </w:r>
      <w:r>
        <w:rPr>
          <w:sz w:val="24"/>
          <w:szCs w:val="24"/>
        </w:rPr>
        <w:t>ый капитал</w:t>
      </w:r>
      <w:r w:rsidRPr="00DA4C7A">
        <w:rPr>
          <w:sz w:val="24"/>
          <w:szCs w:val="24"/>
        </w:rPr>
        <w:t xml:space="preserve"> ЗАО «Приднестровский Сбербанк» и возвращены </w:t>
      </w:r>
      <w:r>
        <w:rPr>
          <w:sz w:val="24"/>
          <w:szCs w:val="24"/>
        </w:rPr>
        <w:t xml:space="preserve">ранее полученные </w:t>
      </w:r>
      <w:r w:rsidRPr="00DA4C7A">
        <w:rPr>
          <w:sz w:val="24"/>
          <w:szCs w:val="24"/>
        </w:rPr>
        <w:t xml:space="preserve">денежные средства центральному банку на сумму 135,6 млн руб. Таким образом, за период с 1 января по </w:t>
      </w:r>
      <w:r>
        <w:rPr>
          <w:sz w:val="24"/>
          <w:szCs w:val="24"/>
        </w:rPr>
        <w:br/>
      </w:r>
      <w:r w:rsidRPr="00DA4C7A">
        <w:rPr>
          <w:sz w:val="24"/>
          <w:szCs w:val="24"/>
        </w:rPr>
        <w:t xml:space="preserve">31 декабря 2017 года величина </w:t>
      </w:r>
      <w:r w:rsidRPr="00DA4C7A">
        <w:rPr>
          <w:color w:val="000000"/>
          <w:sz w:val="24"/>
          <w:szCs w:val="24"/>
        </w:rPr>
        <w:t>совокупного акционерного капитала банковской системы</w:t>
      </w:r>
      <w:r w:rsidRPr="00DA4C7A">
        <w:rPr>
          <w:rStyle w:val="FootnoteReference"/>
          <w:sz w:val="24"/>
          <w:szCs w:val="24"/>
        </w:rPr>
        <w:footnoteReference w:id="14"/>
      </w:r>
      <w:r w:rsidRPr="00DA4C7A">
        <w:rPr>
          <w:color w:val="000000"/>
          <w:sz w:val="24"/>
          <w:szCs w:val="24"/>
        </w:rPr>
        <w:t xml:space="preserve"> уменьши</w:t>
      </w:r>
      <w:r w:rsidRPr="00DA4C7A">
        <w:rPr>
          <w:sz w:val="24"/>
          <w:szCs w:val="24"/>
        </w:rPr>
        <w:t xml:space="preserve">лась на 115,9 млн руб., или на 7,6%, и составила 1 411,6 млн руб. Собственный капитал действующих коммерческих банков за </w:t>
      </w:r>
      <w:r w:rsidRPr="00DA4C7A">
        <w:rPr>
          <w:color w:val="000000"/>
          <w:sz w:val="24"/>
          <w:szCs w:val="24"/>
        </w:rPr>
        <w:t xml:space="preserve">2017 год сократился на 7,9%, или на </w:t>
      </w:r>
      <w:r>
        <w:rPr>
          <w:color w:val="000000"/>
          <w:sz w:val="24"/>
          <w:szCs w:val="24"/>
        </w:rPr>
        <w:br/>
      </w:r>
      <w:r w:rsidRPr="00DA4C7A">
        <w:rPr>
          <w:color w:val="000000"/>
          <w:sz w:val="24"/>
          <w:szCs w:val="24"/>
        </w:rPr>
        <w:t>130,4 млн руб., и на</w:t>
      </w:r>
      <w:r w:rsidRPr="00DA4C7A">
        <w:rPr>
          <w:sz w:val="24"/>
          <w:szCs w:val="24"/>
        </w:rPr>
        <w:t xml:space="preserve"> 1 января 2018 года сложился на уровне 1 526,0 млн руб. </w:t>
      </w:r>
      <w:r w:rsidRPr="00DA4C7A">
        <w:rPr>
          <w:color w:val="000000"/>
          <w:sz w:val="24"/>
          <w:szCs w:val="24"/>
        </w:rPr>
        <w:t>Значение достаточности капитала зафиксировано на уровне 48,1%, что в 6 раз выше минимально требуемого.</w:t>
      </w:r>
    </w:p>
    <w:p w:rsidR="004E2069" w:rsidRDefault="004E2069" w:rsidP="009E52B4">
      <w:pPr>
        <w:ind w:firstLine="425"/>
        <w:jc w:val="both"/>
        <w:rPr>
          <w:sz w:val="24"/>
          <w:szCs w:val="24"/>
        </w:rPr>
      </w:pPr>
      <w:r w:rsidRPr="009E52B4">
        <w:rPr>
          <w:sz w:val="24"/>
          <w:szCs w:val="24"/>
        </w:rPr>
        <w:t>В то же время совокупная валюта баланса банковской системы республики расширилась на 33,9%, или на 2 131,6 млн руб.</w:t>
      </w:r>
      <w:r>
        <w:rPr>
          <w:sz w:val="24"/>
          <w:szCs w:val="24"/>
        </w:rPr>
        <w:t>,</w:t>
      </w:r>
      <w:r w:rsidRPr="009E52B4">
        <w:rPr>
          <w:sz w:val="24"/>
          <w:szCs w:val="24"/>
        </w:rPr>
        <w:t xml:space="preserve"> и</w:t>
      </w:r>
      <w:r w:rsidRPr="009E52B4">
        <w:rPr>
          <w:color w:val="000000"/>
          <w:sz w:val="24"/>
          <w:szCs w:val="24"/>
        </w:rPr>
        <w:t xml:space="preserve"> по состоянию </w:t>
      </w:r>
      <w:r w:rsidRPr="009E52B4">
        <w:rPr>
          <w:sz w:val="24"/>
          <w:szCs w:val="24"/>
        </w:rPr>
        <w:t>на 1 января 2018 года сложилась на отметке</w:t>
      </w:r>
      <w:r w:rsidRPr="009E52B4">
        <w:rPr>
          <w:color w:val="000000"/>
          <w:sz w:val="24"/>
          <w:szCs w:val="24"/>
        </w:rPr>
        <w:t xml:space="preserve"> 8 412,0</w:t>
      </w:r>
      <w:r w:rsidRPr="009E52B4">
        <w:rPr>
          <w:sz w:val="24"/>
          <w:szCs w:val="24"/>
        </w:rPr>
        <w:t xml:space="preserve"> млн руб.</w:t>
      </w:r>
    </w:p>
    <w:p w:rsidR="004E2069" w:rsidRDefault="004E2069" w:rsidP="009E52B4">
      <w:pPr>
        <w:ind w:firstLine="425"/>
        <w:jc w:val="both"/>
        <w:rPr>
          <w:sz w:val="24"/>
          <w:szCs w:val="24"/>
        </w:rPr>
      </w:pPr>
      <w:r>
        <w:rPr>
          <w:sz w:val="24"/>
          <w:szCs w:val="24"/>
        </w:rPr>
        <w:t>Существенным ростом характеризовался</w:t>
      </w:r>
      <w:r w:rsidRPr="00DA4C7A">
        <w:rPr>
          <w:sz w:val="24"/>
          <w:szCs w:val="24"/>
        </w:rPr>
        <w:t xml:space="preserve"> размер совокупных обязательств к</w:t>
      </w:r>
      <w:r>
        <w:rPr>
          <w:sz w:val="24"/>
          <w:szCs w:val="24"/>
        </w:rPr>
        <w:t xml:space="preserve">оммерческих банков – в </w:t>
      </w:r>
      <w:r w:rsidRPr="00DA4C7A">
        <w:rPr>
          <w:sz w:val="24"/>
          <w:szCs w:val="24"/>
        </w:rPr>
        <w:t xml:space="preserve">1,5 раза (+2 262,0 млн руб.). </w:t>
      </w:r>
      <w:r w:rsidRPr="00DA4C7A">
        <w:rPr>
          <w:color w:val="000000"/>
          <w:sz w:val="24"/>
          <w:szCs w:val="24"/>
        </w:rPr>
        <w:t xml:space="preserve">В то же время без учёта </w:t>
      </w:r>
      <w:r w:rsidRPr="00DA4C7A">
        <w:rPr>
          <w:sz w:val="24"/>
          <w:szCs w:val="24"/>
        </w:rPr>
        <w:t xml:space="preserve">переоценки счетов в иностранной валюте </w:t>
      </w:r>
      <w:r>
        <w:rPr>
          <w:sz w:val="24"/>
          <w:szCs w:val="24"/>
        </w:rPr>
        <w:t>увеличение</w:t>
      </w:r>
      <w:r w:rsidRPr="00DA4C7A">
        <w:rPr>
          <w:sz w:val="24"/>
          <w:szCs w:val="24"/>
        </w:rPr>
        <w:t xml:space="preserve"> данного показателя составил</w:t>
      </w:r>
      <w:r>
        <w:rPr>
          <w:sz w:val="24"/>
          <w:szCs w:val="24"/>
        </w:rPr>
        <w:t>о</w:t>
      </w:r>
      <w:r w:rsidRPr="00DA4C7A">
        <w:rPr>
          <w:sz w:val="24"/>
          <w:szCs w:val="24"/>
        </w:rPr>
        <w:t xml:space="preserve"> </w:t>
      </w:r>
      <w:r>
        <w:rPr>
          <w:sz w:val="24"/>
          <w:szCs w:val="24"/>
        </w:rPr>
        <w:t>+</w:t>
      </w:r>
      <w:r w:rsidRPr="00DA4C7A">
        <w:rPr>
          <w:sz w:val="24"/>
          <w:szCs w:val="24"/>
        </w:rPr>
        <w:t>17,4%. В его структуре рублёвый эквивалент валютной составляющей в реальном выражении расширился в 1,6 раза, тогда как обязательства в приднестровских рублях, напротив, сократились на 30,2%, в результате степень валютизации привлечённых ресурсов увеличилась на 24,7 п.п.</w:t>
      </w:r>
      <w:r>
        <w:rPr>
          <w:sz w:val="24"/>
          <w:szCs w:val="24"/>
        </w:rPr>
        <w:t xml:space="preserve">, до </w:t>
      </w:r>
      <w:r w:rsidRPr="00DA4C7A">
        <w:rPr>
          <w:sz w:val="24"/>
          <w:szCs w:val="24"/>
        </w:rPr>
        <w:t xml:space="preserve">78,2%. В целом, по состоянию на 1 января 2018 года банками было привлечено средств на сумму 6 885,9 млн руб. (табл. </w:t>
      </w:r>
      <w:r w:rsidRPr="00DA4C7A">
        <w:rPr>
          <w:color w:val="000000"/>
          <w:sz w:val="24"/>
          <w:szCs w:val="24"/>
        </w:rPr>
        <w:t>1.4</w:t>
      </w:r>
      <w:r w:rsidRPr="00DA4C7A">
        <w:rPr>
          <w:sz w:val="24"/>
          <w:szCs w:val="24"/>
        </w:rPr>
        <w:t>), или 81,9% валюты баланса-нетто.</w:t>
      </w:r>
      <w:r w:rsidRPr="00FF10F3">
        <w:rPr>
          <w:sz w:val="24"/>
          <w:szCs w:val="24"/>
        </w:rPr>
        <w:t xml:space="preserve"> </w:t>
      </w:r>
    </w:p>
    <w:p w:rsidR="004E2069" w:rsidRDefault="004E2069" w:rsidP="009E52B4">
      <w:pPr>
        <w:ind w:firstLine="425"/>
        <w:jc w:val="both"/>
        <w:rPr>
          <w:sz w:val="24"/>
          <w:szCs w:val="24"/>
        </w:rPr>
      </w:pPr>
      <w:r w:rsidRPr="00DA4C7A">
        <w:rPr>
          <w:sz w:val="24"/>
          <w:szCs w:val="24"/>
        </w:rPr>
        <w:t xml:space="preserve">В </w:t>
      </w:r>
      <w:r>
        <w:rPr>
          <w:sz w:val="24"/>
          <w:szCs w:val="24"/>
        </w:rPr>
        <w:t>общем объёме</w:t>
      </w:r>
      <w:r w:rsidRPr="00DA4C7A">
        <w:rPr>
          <w:sz w:val="24"/>
          <w:szCs w:val="24"/>
        </w:rPr>
        <w:t xml:space="preserve"> ресурсной базы банков на средства клиентов пришлось 77,3% </w:t>
      </w:r>
      <w:r>
        <w:rPr>
          <w:sz w:val="24"/>
          <w:szCs w:val="24"/>
        </w:rPr>
        <w:br/>
      </w:r>
      <w:r w:rsidRPr="00DA4C7A">
        <w:rPr>
          <w:sz w:val="24"/>
          <w:szCs w:val="24"/>
        </w:rPr>
        <w:t xml:space="preserve">(+0,3 п.п.). Остатки на их счетах за 2017 год увеличились в 1,5 раза, или на 1 758,4 млн руб., до 5 319,7 млн руб. </w:t>
      </w:r>
    </w:p>
    <w:p w:rsidR="004E2069" w:rsidRPr="00DA4C7A" w:rsidRDefault="004E2069" w:rsidP="00DC0A7D">
      <w:pPr>
        <w:pStyle w:val="Heading4"/>
        <w:widowControl w:val="0"/>
        <w:spacing w:before="120" w:after="120"/>
        <w:ind w:firstLine="425"/>
        <w:jc w:val="right"/>
        <w:rPr>
          <w:rFonts w:ascii="Times New Roman" w:hAnsi="Times New Roman" w:cs="Times New Roman"/>
          <w:b/>
          <w:bCs/>
          <w:color w:val="000000"/>
          <w:sz w:val="24"/>
          <w:szCs w:val="24"/>
        </w:rPr>
      </w:pPr>
      <w:r w:rsidRPr="00DA4C7A">
        <w:rPr>
          <w:rFonts w:ascii="Times New Roman" w:hAnsi="Times New Roman" w:cs="Times New Roman"/>
          <w:b/>
          <w:bCs/>
          <w:color w:val="000000"/>
          <w:sz w:val="24"/>
          <w:szCs w:val="24"/>
        </w:rPr>
        <w:t>Таблица 1.4</w:t>
      </w:r>
    </w:p>
    <w:p w:rsidR="004E2069" w:rsidRPr="00DA4C7A" w:rsidRDefault="004E2069" w:rsidP="00DC0A7D">
      <w:pPr>
        <w:pStyle w:val="Heading3"/>
        <w:widowControl w:val="0"/>
        <w:spacing w:after="120"/>
        <w:ind w:firstLine="0"/>
        <w:jc w:val="center"/>
        <w:rPr>
          <w:rFonts w:ascii="Times New Roman" w:hAnsi="Times New Roman" w:cs="Times New Roman"/>
          <w:b/>
          <w:bCs/>
          <w:color w:val="000000"/>
          <w:sz w:val="24"/>
          <w:szCs w:val="24"/>
        </w:rPr>
      </w:pPr>
      <w:r w:rsidRPr="00DA4C7A">
        <w:rPr>
          <w:rFonts w:ascii="Times New Roman" w:hAnsi="Times New Roman" w:cs="Times New Roman"/>
          <w:b/>
          <w:bCs/>
          <w:color w:val="000000"/>
          <w:sz w:val="24"/>
          <w:szCs w:val="24"/>
        </w:rPr>
        <w:t>Структура и динамика пассивов коммерческих банков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50"/>
        <w:gridCol w:w="1163"/>
        <w:gridCol w:w="1164"/>
        <w:gridCol w:w="1164"/>
        <w:gridCol w:w="1164"/>
        <w:gridCol w:w="1134"/>
      </w:tblGrid>
      <w:tr w:rsidR="004E2069" w:rsidRPr="00DA4C7A" w:rsidTr="009541ED">
        <w:trPr>
          <w:trHeight w:val="145"/>
        </w:trPr>
        <w:tc>
          <w:tcPr>
            <w:tcW w:w="3850" w:type="dxa"/>
            <w:vMerge w:val="restart"/>
            <w:tcBorders>
              <w:bottom w:val="double" w:sz="4" w:space="0" w:color="auto"/>
            </w:tcBorders>
            <w:shd w:val="clear" w:color="auto" w:fill="CCCCCC"/>
            <w:vAlign w:val="center"/>
          </w:tcPr>
          <w:p w:rsidR="004E2069" w:rsidRPr="00DA4C7A" w:rsidRDefault="004E2069" w:rsidP="0080373F">
            <w:pPr>
              <w:widowControl w:val="0"/>
              <w:ind w:left="34"/>
              <w:jc w:val="center"/>
              <w:rPr>
                <w:color w:val="000000"/>
                <w:sz w:val="22"/>
                <w:szCs w:val="24"/>
              </w:rPr>
            </w:pPr>
            <w:bookmarkStart w:id="4" w:name="OLE_LINK7"/>
            <w:bookmarkStart w:id="5" w:name="OLE_LINK12"/>
          </w:p>
        </w:tc>
        <w:tc>
          <w:tcPr>
            <w:tcW w:w="2327" w:type="dxa"/>
            <w:gridSpan w:val="2"/>
            <w:shd w:val="clear" w:color="auto" w:fill="CCCCCC"/>
            <w:vAlign w:val="center"/>
          </w:tcPr>
          <w:p w:rsidR="004E2069" w:rsidRPr="00DA4C7A" w:rsidRDefault="004E2069" w:rsidP="0080373F">
            <w:pPr>
              <w:widowControl w:val="0"/>
              <w:ind w:left="-94" w:right="-101"/>
              <w:jc w:val="center"/>
              <w:rPr>
                <w:color w:val="000000"/>
                <w:sz w:val="22"/>
                <w:szCs w:val="24"/>
              </w:rPr>
            </w:pPr>
            <w:r w:rsidRPr="00DA4C7A">
              <w:rPr>
                <w:color w:val="000000"/>
                <w:sz w:val="22"/>
                <w:szCs w:val="24"/>
              </w:rPr>
              <w:t>на 01.01.2017</w:t>
            </w:r>
          </w:p>
        </w:tc>
        <w:tc>
          <w:tcPr>
            <w:tcW w:w="2328" w:type="dxa"/>
            <w:gridSpan w:val="2"/>
            <w:shd w:val="clear" w:color="auto" w:fill="CCCCCC"/>
            <w:vAlign w:val="center"/>
          </w:tcPr>
          <w:p w:rsidR="004E2069" w:rsidRPr="00DA4C7A" w:rsidRDefault="004E2069" w:rsidP="0080373F">
            <w:pPr>
              <w:widowControl w:val="0"/>
              <w:ind w:left="-94" w:right="-101"/>
              <w:jc w:val="center"/>
              <w:rPr>
                <w:color w:val="000000"/>
                <w:sz w:val="22"/>
                <w:szCs w:val="24"/>
              </w:rPr>
            </w:pPr>
            <w:r w:rsidRPr="00DA4C7A">
              <w:rPr>
                <w:color w:val="000000"/>
                <w:sz w:val="22"/>
                <w:szCs w:val="24"/>
              </w:rPr>
              <w:t>на 01.01.2018</w:t>
            </w:r>
          </w:p>
        </w:tc>
        <w:tc>
          <w:tcPr>
            <w:tcW w:w="1134" w:type="dxa"/>
            <w:vMerge w:val="restart"/>
            <w:tcBorders>
              <w:bottom w:val="double" w:sz="4" w:space="0" w:color="auto"/>
            </w:tcBorders>
            <w:shd w:val="clear" w:color="auto" w:fill="CCCCCC"/>
            <w:vAlign w:val="center"/>
          </w:tcPr>
          <w:p w:rsidR="004E2069" w:rsidRPr="00DA4C7A" w:rsidRDefault="004E2069" w:rsidP="0080373F">
            <w:pPr>
              <w:widowControl w:val="0"/>
              <w:ind w:left="-94" w:right="-101"/>
              <w:jc w:val="center"/>
              <w:rPr>
                <w:color w:val="000000"/>
                <w:sz w:val="22"/>
                <w:szCs w:val="24"/>
              </w:rPr>
            </w:pPr>
            <w:r w:rsidRPr="00DA4C7A">
              <w:rPr>
                <w:color w:val="000000"/>
                <w:sz w:val="22"/>
                <w:szCs w:val="24"/>
              </w:rPr>
              <w:t>темп роста, %</w:t>
            </w:r>
          </w:p>
        </w:tc>
      </w:tr>
      <w:tr w:rsidR="004E2069" w:rsidRPr="00DA4C7A" w:rsidTr="009541ED">
        <w:trPr>
          <w:trHeight w:val="388"/>
        </w:trPr>
        <w:tc>
          <w:tcPr>
            <w:tcW w:w="3850" w:type="dxa"/>
            <w:vMerge/>
            <w:tcBorders>
              <w:bottom w:val="double" w:sz="4" w:space="0" w:color="auto"/>
            </w:tcBorders>
            <w:vAlign w:val="center"/>
          </w:tcPr>
          <w:p w:rsidR="004E2069" w:rsidRPr="00DA4C7A" w:rsidRDefault="004E2069" w:rsidP="0080373F">
            <w:pPr>
              <w:widowControl w:val="0"/>
              <w:rPr>
                <w:color w:val="000000"/>
                <w:sz w:val="22"/>
                <w:szCs w:val="24"/>
              </w:rPr>
            </w:pPr>
          </w:p>
        </w:tc>
        <w:tc>
          <w:tcPr>
            <w:tcW w:w="1163" w:type="dxa"/>
            <w:tcBorders>
              <w:bottom w:val="double" w:sz="4" w:space="0" w:color="auto"/>
            </w:tcBorders>
            <w:shd w:val="clear" w:color="auto" w:fill="CCCCCC"/>
            <w:vAlign w:val="center"/>
          </w:tcPr>
          <w:p w:rsidR="004E2069" w:rsidRPr="00DA4C7A" w:rsidRDefault="004E2069" w:rsidP="0080373F">
            <w:pPr>
              <w:widowControl w:val="0"/>
              <w:ind w:left="-94" w:right="-101"/>
              <w:jc w:val="center"/>
              <w:rPr>
                <w:color w:val="000000"/>
                <w:sz w:val="22"/>
                <w:szCs w:val="24"/>
              </w:rPr>
            </w:pPr>
            <w:r w:rsidRPr="00DA4C7A">
              <w:rPr>
                <w:color w:val="000000"/>
                <w:sz w:val="22"/>
                <w:szCs w:val="24"/>
              </w:rPr>
              <w:t>млн руб.</w:t>
            </w:r>
          </w:p>
        </w:tc>
        <w:tc>
          <w:tcPr>
            <w:tcW w:w="1164" w:type="dxa"/>
            <w:tcBorders>
              <w:bottom w:val="double" w:sz="4" w:space="0" w:color="auto"/>
            </w:tcBorders>
            <w:shd w:val="clear" w:color="auto" w:fill="CCCCCC"/>
            <w:vAlign w:val="center"/>
          </w:tcPr>
          <w:p w:rsidR="004E2069" w:rsidRPr="00DA4C7A" w:rsidRDefault="004E2069" w:rsidP="0080373F">
            <w:pPr>
              <w:widowControl w:val="0"/>
              <w:ind w:left="-94" w:right="-101"/>
              <w:jc w:val="center"/>
              <w:rPr>
                <w:color w:val="000000"/>
                <w:sz w:val="22"/>
                <w:szCs w:val="24"/>
              </w:rPr>
            </w:pPr>
            <w:r w:rsidRPr="00DA4C7A">
              <w:rPr>
                <w:color w:val="000000"/>
                <w:sz w:val="22"/>
                <w:szCs w:val="24"/>
              </w:rPr>
              <w:t xml:space="preserve">уд. вес, </w:t>
            </w:r>
          </w:p>
          <w:p w:rsidR="004E2069" w:rsidRPr="00DA4C7A" w:rsidRDefault="004E2069" w:rsidP="0080373F">
            <w:pPr>
              <w:widowControl w:val="0"/>
              <w:ind w:left="-94" w:right="-101"/>
              <w:jc w:val="center"/>
              <w:rPr>
                <w:color w:val="000000"/>
                <w:sz w:val="22"/>
                <w:szCs w:val="24"/>
              </w:rPr>
            </w:pPr>
            <w:r w:rsidRPr="00DA4C7A">
              <w:rPr>
                <w:color w:val="000000"/>
                <w:sz w:val="22"/>
                <w:szCs w:val="24"/>
              </w:rPr>
              <w:t>%</w:t>
            </w:r>
          </w:p>
        </w:tc>
        <w:tc>
          <w:tcPr>
            <w:tcW w:w="1164" w:type="dxa"/>
            <w:tcBorders>
              <w:bottom w:val="double" w:sz="4" w:space="0" w:color="auto"/>
            </w:tcBorders>
            <w:shd w:val="clear" w:color="auto" w:fill="CCCCCC"/>
            <w:vAlign w:val="center"/>
          </w:tcPr>
          <w:p w:rsidR="004E2069" w:rsidRPr="00DA4C7A" w:rsidRDefault="004E2069" w:rsidP="0080373F">
            <w:pPr>
              <w:widowControl w:val="0"/>
              <w:ind w:left="-94" w:right="-101"/>
              <w:jc w:val="center"/>
              <w:rPr>
                <w:color w:val="000000"/>
                <w:sz w:val="22"/>
                <w:szCs w:val="24"/>
              </w:rPr>
            </w:pPr>
            <w:r w:rsidRPr="00DA4C7A">
              <w:rPr>
                <w:color w:val="000000"/>
                <w:sz w:val="22"/>
                <w:szCs w:val="24"/>
              </w:rPr>
              <w:t>млн руб.</w:t>
            </w:r>
          </w:p>
        </w:tc>
        <w:tc>
          <w:tcPr>
            <w:tcW w:w="1164" w:type="dxa"/>
            <w:tcBorders>
              <w:bottom w:val="double" w:sz="4" w:space="0" w:color="auto"/>
            </w:tcBorders>
            <w:shd w:val="clear" w:color="auto" w:fill="CCCCCC"/>
            <w:vAlign w:val="center"/>
          </w:tcPr>
          <w:p w:rsidR="004E2069" w:rsidRPr="00DA4C7A" w:rsidRDefault="004E2069" w:rsidP="0080373F">
            <w:pPr>
              <w:widowControl w:val="0"/>
              <w:ind w:left="-94" w:right="-101"/>
              <w:jc w:val="center"/>
              <w:rPr>
                <w:color w:val="000000"/>
                <w:sz w:val="22"/>
                <w:szCs w:val="24"/>
              </w:rPr>
            </w:pPr>
            <w:r w:rsidRPr="00DA4C7A">
              <w:rPr>
                <w:color w:val="000000"/>
                <w:sz w:val="22"/>
                <w:szCs w:val="24"/>
              </w:rPr>
              <w:t xml:space="preserve">уд. вес, </w:t>
            </w:r>
          </w:p>
          <w:p w:rsidR="004E2069" w:rsidRPr="00DA4C7A" w:rsidRDefault="004E2069" w:rsidP="0080373F">
            <w:pPr>
              <w:widowControl w:val="0"/>
              <w:ind w:left="-94" w:right="-101"/>
              <w:jc w:val="center"/>
              <w:rPr>
                <w:color w:val="000000"/>
                <w:sz w:val="22"/>
                <w:szCs w:val="24"/>
              </w:rPr>
            </w:pPr>
            <w:r w:rsidRPr="00DA4C7A">
              <w:rPr>
                <w:color w:val="000000"/>
                <w:sz w:val="22"/>
                <w:szCs w:val="24"/>
              </w:rPr>
              <w:t>%</w:t>
            </w:r>
          </w:p>
        </w:tc>
        <w:tc>
          <w:tcPr>
            <w:tcW w:w="1134" w:type="dxa"/>
            <w:vMerge/>
            <w:tcBorders>
              <w:bottom w:val="double" w:sz="4" w:space="0" w:color="auto"/>
            </w:tcBorders>
            <w:vAlign w:val="center"/>
          </w:tcPr>
          <w:p w:rsidR="004E2069" w:rsidRPr="00DA4C7A" w:rsidRDefault="004E2069" w:rsidP="0080373F">
            <w:pPr>
              <w:widowControl w:val="0"/>
              <w:rPr>
                <w:color w:val="000000"/>
                <w:sz w:val="22"/>
                <w:szCs w:val="24"/>
              </w:rPr>
            </w:pPr>
          </w:p>
        </w:tc>
      </w:tr>
      <w:tr w:rsidR="004E2069" w:rsidRPr="00DA4C7A" w:rsidTr="009541ED">
        <w:trPr>
          <w:trHeight w:val="204"/>
        </w:trPr>
        <w:tc>
          <w:tcPr>
            <w:tcW w:w="3850" w:type="dxa"/>
            <w:tcBorders>
              <w:top w:val="double" w:sz="4" w:space="0" w:color="auto"/>
            </w:tcBorders>
            <w:shd w:val="clear" w:color="auto" w:fill="E0E0E0"/>
            <w:vAlign w:val="center"/>
          </w:tcPr>
          <w:p w:rsidR="004E2069" w:rsidRPr="00DA4C7A" w:rsidRDefault="004E2069" w:rsidP="0080373F">
            <w:pPr>
              <w:widowControl w:val="0"/>
              <w:rPr>
                <w:color w:val="000000"/>
                <w:sz w:val="22"/>
                <w:szCs w:val="24"/>
              </w:rPr>
            </w:pPr>
            <w:r w:rsidRPr="00DA4C7A">
              <w:rPr>
                <w:color w:val="000000"/>
                <w:sz w:val="22"/>
                <w:szCs w:val="24"/>
              </w:rPr>
              <w:t>Валюта баланса - нетто</w:t>
            </w:r>
          </w:p>
        </w:tc>
        <w:tc>
          <w:tcPr>
            <w:tcW w:w="1163" w:type="dxa"/>
            <w:tcBorders>
              <w:top w:val="double" w:sz="4" w:space="0" w:color="auto"/>
            </w:tcBorders>
            <w:shd w:val="clear" w:color="auto" w:fill="E0E0E0"/>
            <w:vAlign w:val="bottom"/>
          </w:tcPr>
          <w:p w:rsidR="004E2069" w:rsidRPr="00DA4C7A" w:rsidRDefault="004E2069" w:rsidP="0080373F">
            <w:pPr>
              <w:jc w:val="right"/>
              <w:rPr>
                <w:color w:val="000000"/>
                <w:sz w:val="22"/>
                <w:szCs w:val="24"/>
              </w:rPr>
            </w:pPr>
            <w:r w:rsidRPr="00DA4C7A">
              <w:rPr>
                <w:color w:val="000000"/>
                <w:sz w:val="22"/>
                <w:szCs w:val="24"/>
              </w:rPr>
              <w:t>6 280,4</w:t>
            </w:r>
          </w:p>
        </w:tc>
        <w:tc>
          <w:tcPr>
            <w:tcW w:w="1164" w:type="dxa"/>
            <w:tcBorders>
              <w:top w:val="double" w:sz="4" w:space="0" w:color="auto"/>
            </w:tcBorders>
            <w:shd w:val="clear" w:color="auto" w:fill="E0E0E0"/>
            <w:vAlign w:val="bottom"/>
          </w:tcPr>
          <w:p w:rsidR="004E2069" w:rsidRPr="00DA4C7A" w:rsidRDefault="004E2069" w:rsidP="009541ED">
            <w:pPr>
              <w:ind w:right="115"/>
              <w:jc w:val="right"/>
              <w:rPr>
                <w:color w:val="000000"/>
                <w:sz w:val="22"/>
                <w:szCs w:val="24"/>
              </w:rPr>
            </w:pPr>
            <w:r w:rsidRPr="00DA4C7A">
              <w:rPr>
                <w:color w:val="000000"/>
                <w:sz w:val="22"/>
                <w:szCs w:val="24"/>
              </w:rPr>
              <w:t>100,0</w:t>
            </w:r>
          </w:p>
        </w:tc>
        <w:tc>
          <w:tcPr>
            <w:tcW w:w="1164" w:type="dxa"/>
            <w:tcBorders>
              <w:top w:val="double" w:sz="4" w:space="0" w:color="auto"/>
            </w:tcBorders>
            <w:shd w:val="clear" w:color="auto" w:fill="E0E0E0"/>
            <w:vAlign w:val="bottom"/>
          </w:tcPr>
          <w:p w:rsidR="004E2069" w:rsidRPr="00DA4C7A" w:rsidRDefault="004E2069" w:rsidP="0080373F">
            <w:pPr>
              <w:jc w:val="right"/>
              <w:rPr>
                <w:color w:val="000000"/>
                <w:sz w:val="22"/>
                <w:szCs w:val="24"/>
              </w:rPr>
            </w:pPr>
            <w:r w:rsidRPr="00DA4C7A">
              <w:rPr>
                <w:color w:val="000000"/>
                <w:sz w:val="22"/>
                <w:szCs w:val="24"/>
              </w:rPr>
              <w:t>8 412,0</w:t>
            </w:r>
          </w:p>
        </w:tc>
        <w:tc>
          <w:tcPr>
            <w:tcW w:w="1164" w:type="dxa"/>
            <w:tcBorders>
              <w:top w:val="double" w:sz="4" w:space="0" w:color="auto"/>
            </w:tcBorders>
            <w:shd w:val="clear" w:color="auto" w:fill="E0E0E0"/>
            <w:vAlign w:val="bottom"/>
          </w:tcPr>
          <w:p w:rsidR="004E2069" w:rsidRPr="00DA4C7A" w:rsidRDefault="004E2069" w:rsidP="009541ED">
            <w:pPr>
              <w:ind w:right="128"/>
              <w:jc w:val="right"/>
              <w:rPr>
                <w:color w:val="000000"/>
                <w:sz w:val="22"/>
                <w:szCs w:val="24"/>
              </w:rPr>
            </w:pPr>
            <w:r w:rsidRPr="00DA4C7A">
              <w:rPr>
                <w:color w:val="000000"/>
                <w:sz w:val="22"/>
                <w:szCs w:val="24"/>
              </w:rPr>
              <w:t>100,0</w:t>
            </w:r>
          </w:p>
        </w:tc>
        <w:tc>
          <w:tcPr>
            <w:tcW w:w="1134" w:type="dxa"/>
            <w:tcBorders>
              <w:top w:val="double" w:sz="4" w:space="0" w:color="auto"/>
            </w:tcBorders>
            <w:shd w:val="clear" w:color="auto" w:fill="E0E0E0"/>
            <w:vAlign w:val="bottom"/>
          </w:tcPr>
          <w:p w:rsidR="004E2069" w:rsidRPr="00DA4C7A" w:rsidRDefault="004E2069" w:rsidP="009541ED">
            <w:pPr>
              <w:ind w:right="128"/>
              <w:jc w:val="right"/>
              <w:rPr>
                <w:color w:val="000000"/>
                <w:sz w:val="22"/>
                <w:szCs w:val="24"/>
              </w:rPr>
            </w:pPr>
            <w:r w:rsidRPr="00DA4C7A">
              <w:rPr>
                <w:color w:val="000000"/>
                <w:sz w:val="22"/>
                <w:szCs w:val="24"/>
              </w:rPr>
              <w:t>133,9</w:t>
            </w:r>
          </w:p>
        </w:tc>
      </w:tr>
      <w:tr w:rsidR="004E2069" w:rsidRPr="00DA4C7A" w:rsidTr="009541ED">
        <w:trPr>
          <w:trHeight w:val="61"/>
        </w:trPr>
        <w:tc>
          <w:tcPr>
            <w:tcW w:w="3850" w:type="dxa"/>
            <w:vAlign w:val="center"/>
          </w:tcPr>
          <w:p w:rsidR="004E2069" w:rsidRPr="00DA4C7A" w:rsidRDefault="004E2069" w:rsidP="0080373F">
            <w:pPr>
              <w:widowControl w:val="0"/>
              <w:rPr>
                <w:color w:val="000000"/>
                <w:sz w:val="22"/>
                <w:szCs w:val="24"/>
              </w:rPr>
            </w:pPr>
            <w:r w:rsidRPr="00DA4C7A">
              <w:rPr>
                <w:color w:val="000000"/>
                <w:sz w:val="22"/>
                <w:szCs w:val="24"/>
              </w:rPr>
              <w:t>1. Обязательства</w:t>
            </w:r>
          </w:p>
        </w:tc>
        <w:tc>
          <w:tcPr>
            <w:tcW w:w="1163" w:type="dxa"/>
            <w:vAlign w:val="bottom"/>
          </w:tcPr>
          <w:p w:rsidR="004E2069" w:rsidRPr="00DA4C7A" w:rsidRDefault="004E2069" w:rsidP="0080373F">
            <w:pPr>
              <w:jc w:val="right"/>
              <w:rPr>
                <w:color w:val="000000"/>
                <w:sz w:val="22"/>
                <w:szCs w:val="24"/>
              </w:rPr>
            </w:pPr>
            <w:r w:rsidRPr="00DA4C7A">
              <w:rPr>
                <w:color w:val="000000"/>
                <w:sz w:val="22"/>
                <w:szCs w:val="24"/>
              </w:rPr>
              <w:t>4 623,9</w:t>
            </w:r>
          </w:p>
        </w:tc>
        <w:tc>
          <w:tcPr>
            <w:tcW w:w="1164" w:type="dxa"/>
            <w:vAlign w:val="bottom"/>
          </w:tcPr>
          <w:p w:rsidR="004E2069" w:rsidRPr="00DA4C7A" w:rsidRDefault="004E2069" w:rsidP="009541ED">
            <w:pPr>
              <w:ind w:right="115"/>
              <w:jc w:val="right"/>
              <w:rPr>
                <w:color w:val="000000"/>
                <w:sz w:val="22"/>
                <w:szCs w:val="24"/>
              </w:rPr>
            </w:pPr>
            <w:r w:rsidRPr="00DA4C7A">
              <w:rPr>
                <w:color w:val="000000"/>
                <w:sz w:val="22"/>
                <w:szCs w:val="24"/>
              </w:rPr>
              <w:t>73,6</w:t>
            </w:r>
          </w:p>
        </w:tc>
        <w:tc>
          <w:tcPr>
            <w:tcW w:w="1164" w:type="dxa"/>
            <w:vAlign w:val="bottom"/>
          </w:tcPr>
          <w:p w:rsidR="004E2069" w:rsidRPr="00DA4C7A" w:rsidRDefault="004E2069" w:rsidP="0080373F">
            <w:pPr>
              <w:jc w:val="right"/>
              <w:rPr>
                <w:color w:val="000000"/>
                <w:sz w:val="22"/>
                <w:szCs w:val="24"/>
              </w:rPr>
            </w:pPr>
            <w:r w:rsidRPr="00DA4C7A">
              <w:rPr>
                <w:color w:val="000000"/>
                <w:sz w:val="22"/>
                <w:szCs w:val="24"/>
              </w:rPr>
              <w:t>6 885,9</w:t>
            </w:r>
          </w:p>
        </w:tc>
        <w:tc>
          <w:tcPr>
            <w:tcW w:w="1164" w:type="dxa"/>
            <w:vAlign w:val="bottom"/>
          </w:tcPr>
          <w:p w:rsidR="004E2069" w:rsidRPr="00DA4C7A" w:rsidRDefault="004E2069" w:rsidP="009541ED">
            <w:pPr>
              <w:ind w:right="128"/>
              <w:jc w:val="right"/>
              <w:rPr>
                <w:color w:val="000000"/>
                <w:sz w:val="22"/>
                <w:szCs w:val="24"/>
              </w:rPr>
            </w:pPr>
            <w:r w:rsidRPr="00DA4C7A">
              <w:rPr>
                <w:color w:val="000000"/>
                <w:sz w:val="22"/>
                <w:szCs w:val="24"/>
              </w:rPr>
              <w:t>81,9</w:t>
            </w:r>
          </w:p>
        </w:tc>
        <w:tc>
          <w:tcPr>
            <w:tcW w:w="1134" w:type="dxa"/>
            <w:vAlign w:val="bottom"/>
          </w:tcPr>
          <w:p w:rsidR="004E2069" w:rsidRPr="00DA4C7A" w:rsidRDefault="004E2069" w:rsidP="009541ED">
            <w:pPr>
              <w:ind w:right="128"/>
              <w:jc w:val="right"/>
              <w:rPr>
                <w:color w:val="000000"/>
                <w:sz w:val="22"/>
                <w:szCs w:val="24"/>
              </w:rPr>
            </w:pPr>
            <w:r w:rsidRPr="00DA4C7A">
              <w:rPr>
                <w:color w:val="000000"/>
                <w:sz w:val="22"/>
                <w:szCs w:val="24"/>
              </w:rPr>
              <w:t>148,9</w:t>
            </w:r>
          </w:p>
        </w:tc>
      </w:tr>
      <w:tr w:rsidR="004E2069" w:rsidRPr="00DA4C7A" w:rsidTr="009541ED">
        <w:trPr>
          <w:trHeight w:val="61"/>
        </w:trPr>
        <w:tc>
          <w:tcPr>
            <w:tcW w:w="3850" w:type="dxa"/>
            <w:vAlign w:val="center"/>
          </w:tcPr>
          <w:p w:rsidR="004E2069" w:rsidRPr="00DA4C7A" w:rsidRDefault="004E2069" w:rsidP="0080373F">
            <w:pPr>
              <w:widowControl w:val="0"/>
              <w:ind w:left="242"/>
              <w:rPr>
                <w:color w:val="000000"/>
                <w:sz w:val="22"/>
                <w:szCs w:val="24"/>
              </w:rPr>
            </w:pPr>
            <w:r w:rsidRPr="00DA4C7A">
              <w:rPr>
                <w:color w:val="000000"/>
                <w:sz w:val="22"/>
                <w:szCs w:val="24"/>
              </w:rPr>
              <w:t>из них:</w:t>
            </w:r>
          </w:p>
        </w:tc>
        <w:tc>
          <w:tcPr>
            <w:tcW w:w="1163" w:type="dxa"/>
            <w:vAlign w:val="bottom"/>
          </w:tcPr>
          <w:p w:rsidR="004E2069" w:rsidRPr="00DA4C7A" w:rsidRDefault="004E2069" w:rsidP="0080373F">
            <w:pPr>
              <w:jc w:val="right"/>
              <w:rPr>
                <w:color w:val="000000"/>
                <w:sz w:val="22"/>
                <w:szCs w:val="24"/>
              </w:rPr>
            </w:pPr>
            <w:r w:rsidRPr="00DA4C7A">
              <w:rPr>
                <w:color w:val="000000"/>
                <w:sz w:val="22"/>
                <w:szCs w:val="24"/>
              </w:rPr>
              <w:t> </w:t>
            </w:r>
          </w:p>
        </w:tc>
        <w:tc>
          <w:tcPr>
            <w:tcW w:w="1164" w:type="dxa"/>
            <w:vAlign w:val="bottom"/>
          </w:tcPr>
          <w:p w:rsidR="004E2069" w:rsidRPr="00DA4C7A" w:rsidRDefault="004E2069" w:rsidP="009541ED">
            <w:pPr>
              <w:ind w:right="115"/>
              <w:jc w:val="right"/>
              <w:rPr>
                <w:color w:val="000000"/>
                <w:sz w:val="22"/>
                <w:szCs w:val="24"/>
              </w:rPr>
            </w:pPr>
            <w:r w:rsidRPr="00DA4C7A">
              <w:rPr>
                <w:color w:val="000000"/>
                <w:sz w:val="22"/>
                <w:szCs w:val="24"/>
              </w:rPr>
              <w:t> </w:t>
            </w:r>
          </w:p>
        </w:tc>
        <w:tc>
          <w:tcPr>
            <w:tcW w:w="1164" w:type="dxa"/>
            <w:vAlign w:val="bottom"/>
          </w:tcPr>
          <w:p w:rsidR="004E2069" w:rsidRPr="00DA4C7A" w:rsidRDefault="004E2069" w:rsidP="0080373F">
            <w:pPr>
              <w:jc w:val="right"/>
              <w:rPr>
                <w:color w:val="000000"/>
                <w:sz w:val="22"/>
                <w:szCs w:val="24"/>
              </w:rPr>
            </w:pPr>
            <w:r w:rsidRPr="00DA4C7A">
              <w:rPr>
                <w:color w:val="000000"/>
                <w:sz w:val="22"/>
                <w:szCs w:val="24"/>
              </w:rPr>
              <w:t> </w:t>
            </w:r>
          </w:p>
        </w:tc>
        <w:tc>
          <w:tcPr>
            <w:tcW w:w="1164" w:type="dxa"/>
            <w:vAlign w:val="bottom"/>
          </w:tcPr>
          <w:p w:rsidR="004E2069" w:rsidRPr="00DA4C7A" w:rsidRDefault="004E2069" w:rsidP="009541ED">
            <w:pPr>
              <w:ind w:right="128"/>
              <w:jc w:val="right"/>
              <w:rPr>
                <w:color w:val="000000"/>
                <w:sz w:val="22"/>
                <w:szCs w:val="24"/>
              </w:rPr>
            </w:pPr>
            <w:r w:rsidRPr="00DA4C7A">
              <w:rPr>
                <w:color w:val="000000"/>
                <w:sz w:val="22"/>
                <w:szCs w:val="24"/>
              </w:rPr>
              <w:t> </w:t>
            </w:r>
          </w:p>
        </w:tc>
        <w:tc>
          <w:tcPr>
            <w:tcW w:w="1134" w:type="dxa"/>
            <w:vAlign w:val="bottom"/>
          </w:tcPr>
          <w:p w:rsidR="004E2069" w:rsidRPr="00DA4C7A" w:rsidRDefault="004E2069" w:rsidP="009541ED">
            <w:pPr>
              <w:ind w:right="128"/>
              <w:jc w:val="right"/>
              <w:rPr>
                <w:color w:val="000000"/>
                <w:sz w:val="22"/>
                <w:szCs w:val="24"/>
              </w:rPr>
            </w:pPr>
            <w:r w:rsidRPr="00DA4C7A">
              <w:rPr>
                <w:color w:val="000000"/>
                <w:sz w:val="22"/>
                <w:szCs w:val="24"/>
              </w:rPr>
              <w:t> </w:t>
            </w:r>
          </w:p>
        </w:tc>
      </w:tr>
      <w:tr w:rsidR="004E2069" w:rsidRPr="00DA4C7A" w:rsidTr="009541ED">
        <w:trPr>
          <w:trHeight w:val="61"/>
        </w:trPr>
        <w:tc>
          <w:tcPr>
            <w:tcW w:w="3850" w:type="dxa"/>
            <w:vAlign w:val="center"/>
          </w:tcPr>
          <w:p w:rsidR="004E2069" w:rsidRPr="00DA4C7A" w:rsidRDefault="004E2069" w:rsidP="0080373F">
            <w:pPr>
              <w:widowControl w:val="0"/>
              <w:ind w:left="242" w:right="-126"/>
              <w:rPr>
                <w:color w:val="000000"/>
                <w:sz w:val="22"/>
                <w:szCs w:val="24"/>
              </w:rPr>
            </w:pPr>
            <w:r w:rsidRPr="00DA4C7A">
              <w:rPr>
                <w:color w:val="000000"/>
                <w:sz w:val="22"/>
                <w:szCs w:val="24"/>
              </w:rPr>
              <w:t>депозиты и прочие средства от ПРБ</w:t>
            </w:r>
          </w:p>
        </w:tc>
        <w:tc>
          <w:tcPr>
            <w:tcW w:w="1163" w:type="dxa"/>
            <w:vAlign w:val="bottom"/>
          </w:tcPr>
          <w:p w:rsidR="004E2069" w:rsidRPr="00DA4C7A" w:rsidRDefault="004E2069" w:rsidP="0080373F">
            <w:pPr>
              <w:jc w:val="right"/>
              <w:rPr>
                <w:color w:val="000000"/>
                <w:sz w:val="22"/>
                <w:szCs w:val="24"/>
              </w:rPr>
            </w:pPr>
            <w:r w:rsidRPr="00DA4C7A">
              <w:rPr>
                <w:color w:val="000000"/>
                <w:sz w:val="22"/>
                <w:szCs w:val="24"/>
              </w:rPr>
              <w:t>735,0</w:t>
            </w:r>
          </w:p>
        </w:tc>
        <w:tc>
          <w:tcPr>
            <w:tcW w:w="1164" w:type="dxa"/>
            <w:vAlign w:val="bottom"/>
          </w:tcPr>
          <w:p w:rsidR="004E2069" w:rsidRPr="00DA4C7A" w:rsidRDefault="004E2069" w:rsidP="009541ED">
            <w:pPr>
              <w:ind w:right="115"/>
              <w:jc w:val="right"/>
              <w:rPr>
                <w:color w:val="000000"/>
                <w:sz w:val="22"/>
                <w:szCs w:val="24"/>
              </w:rPr>
            </w:pPr>
            <w:r w:rsidRPr="00DA4C7A">
              <w:rPr>
                <w:color w:val="000000"/>
                <w:sz w:val="22"/>
                <w:szCs w:val="24"/>
              </w:rPr>
              <w:t>11,7</w:t>
            </w:r>
          </w:p>
        </w:tc>
        <w:tc>
          <w:tcPr>
            <w:tcW w:w="1164" w:type="dxa"/>
            <w:vAlign w:val="bottom"/>
          </w:tcPr>
          <w:p w:rsidR="004E2069" w:rsidRPr="00DA4C7A" w:rsidRDefault="004E2069" w:rsidP="0080373F">
            <w:pPr>
              <w:jc w:val="right"/>
              <w:rPr>
                <w:color w:val="000000"/>
                <w:sz w:val="22"/>
                <w:szCs w:val="24"/>
              </w:rPr>
            </w:pPr>
            <w:r w:rsidRPr="00DA4C7A">
              <w:rPr>
                <w:color w:val="000000"/>
                <w:sz w:val="22"/>
                <w:szCs w:val="24"/>
              </w:rPr>
              <w:t>160,0</w:t>
            </w:r>
          </w:p>
        </w:tc>
        <w:tc>
          <w:tcPr>
            <w:tcW w:w="1164" w:type="dxa"/>
            <w:vAlign w:val="bottom"/>
          </w:tcPr>
          <w:p w:rsidR="004E2069" w:rsidRPr="00DA4C7A" w:rsidRDefault="004E2069" w:rsidP="009541ED">
            <w:pPr>
              <w:ind w:right="128"/>
              <w:jc w:val="right"/>
              <w:rPr>
                <w:color w:val="000000"/>
                <w:sz w:val="22"/>
                <w:szCs w:val="24"/>
              </w:rPr>
            </w:pPr>
            <w:r w:rsidRPr="00DA4C7A">
              <w:rPr>
                <w:color w:val="000000"/>
                <w:sz w:val="22"/>
                <w:szCs w:val="24"/>
              </w:rPr>
              <w:t>1,9</w:t>
            </w:r>
          </w:p>
        </w:tc>
        <w:tc>
          <w:tcPr>
            <w:tcW w:w="1134" w:type="dxa"/>
            <w:vAlign w:val="bottom"/>
          </w:tcPr>
          <w:p w:rsidR="004E2069" w:rsidRPr="00DA4C7A" w:rsidRDefault="004E2069" w:rsidP="009541ED">
            <w:pPr>
              <w:ind w:right="128"/>
              <w:jc w:val="right"/>
              <w:rPr>
                <w:color w:val="000000"/>
                <w:sz w:val="22"/>
                <w:szCs w:val="24"/>
              </w:rPr>
            </w:pPr>
            <w:r w:rsidRPr="00DA4C7A">
              <w:rPr>
                <w:color w:val="000000"/>
                <w:sz w:val="22"/>
                <w:szCs w:val="24"/>
              </w:rPr>
              <w:t>21,8</w:t>
            </w:r>
          </w:p>
        </w:tc>
      </w:tr>
      <w:tr w:rsidR="004E2069" w:rsidRPr="00DA4C7A" w:rsidTr="009541ED">
        <w:trPr>
          <w:trHeight w:val="61"/>
        </w:trPr>
        <w:tc>
          <w:tcPr>
            <w:tcW w:w="3850" w:type="dxa"/>
            <w:vAlign w:val="center"/>
          </w:tcPr>
          <w:p w:rsidR="004E2069" w:rsidRPr="00DA4C7A" w:rsidRDefault="004E2069" w:rsidP="0080373F">
            <w:pPr>
              <w:widowControl w:val="0"/>
              <w:ind w:left="242"/>
              <w:rPr>
                <w:color w:val="000000"/>
                <w:sz w:val="22"/>
                <w:szCs w:val="24"/>
              </w:rPr>
            </w:pPr>
            <w:r w:rsidRPr="00DA4C7A">
              <w:rPr>
                <w:color w:val="000000"/>
                <w:sz w:val="22"/>
                <w:szCs w:val="24"/>
              </w:rPr>
              <w:t>средства кредитных организаций</w:t>
            </w:r>
          </w:p>
        </w:tc>
        <w:tc>
          <w:tcPr>
            <w:tcW w:w="1163" w:type="dxa"/>
            <w:vAlign w:val="bottom"/>
          </w:tcPr>
          <w:p w:rsidR="004E2069" w:rsidRPr="00DA4C7A" w:rsidRDefault="004E2069" w:rsidP="0080373F">
            <w:pPr>
              <w:jc w:val="right"/>
              <w:rPr>
                <w:color w:val="000000"/>
                <w:sz w:val="22"/>
                <w:szCs w:val="24"/>
              </w:rPr>
            </w:pPr>
            <w:r w:rsidRPr="00DA4C7A">
              <w:rPr>
                <w:color w:val="000000"/>
                <w:sz w:val="22"/>
                <w:szCs w:val="24"/>
              </w:rPr>
              <w:t>90,6</w:t>
            </w:r>
          </w:p>
        </w:tc>
        <w:tc>
          <w:tcPr>
            <w:tcW w:w="1164" w:type="dxa"/>
            <w:vAlign w:val="bottom"/>
          </w:tcPr>
          <w:p w:rsidR="004E2069" w:rsidRPr="00DA4C7A" w:rsidRDefault="004E2069" w:rsidP="009541ED">
            <w:pPr>
              <w:ind w:right="115"/>
              <w:jc w:val="right"/>
              <w:rPr>
                <w:color w:val="000000"/>
                <w:sz w:val="22"/>
                <w:szCs w:val="24"/>
              </w:rPr>
            </w:pPr>
            <w:r w:rsidRPr="00DA4C7A">
              <w:rPr>
                <w:color w:val="000000"/>
                <w:sz w:val="22"/>
                <w:szCs w:val="24"/>
              </w:rPr>
              <w:t>1,4</w:t>
            </w:r>
          </w:p>
        </w:tc>
        <w:tc>
          <w:tcPr>
            <w:tcW w:w="1164" w:type="dxa"/>
            <w:vAlign w:val="bottom"/>
          </w:tcPr>
          <w:p w:rsidR="004E2069" w:rsidRPr="00DA4C7A" w:rsidRDefault="004E2069" w:rsidP="0080373F">
            <w:pPr>
              <w:jc w:val="right"/>
              <w:rPr>
                <w:color w:val="000000"/>
                <w:sz w:val="22"/>
                <w:szCs w:val="24"/>
              </w:rPr>
            </w:pPr>
            <w:r w:rsidRPr="00DA4C7A">
              <w:rPr>
                <w:color w:val="000000"/>
                <w:sz w:val="22"/>
                <w:szCs w:val="24"/>
              </w:rPr>
              <w:t>83,9</w:t>
            </w:r>
          </w:p>
        </w:tc>
        <w:tc>
          <w:tcPr>
            <w:tcW w:w="1164" w:type="dxa"/>
            <w:vAlign w:val="bottom"/>
          </w:tcPr>
          <w:p w:rsidR="004E2069" w:rsidRPr="00DA4C7A" w:rsidRDefault="004E2069" w:rsidP="009541ED">
            <w:pPr>
              <w:ind w:right="128"/>
              <w:jc w:val="right"/>
              <w:rPr>
                <w:color w:val="000000"/>
                <w:sz w:val="22"/>
                <w:szCs w:val="24"/>
              </w:rPr>
            </w:pPr>
            <w:r w:rsidRPr="00DA4C7A">
              <w:rPr>
                <w:color w:val="000000"/>
                <w:sz w:val="22"/>
                <w:szCs w:val="24"/>
              </w:rPr>
              <w:t>1,0</w:t>
            </w:r>
          </w:p>
        </w:tc>
        <w:tc>
          <w:tcPr>
            <w:tcW w:w="1134" w:type="dxa"/>
            <w:vAlign w:val="bottom"/>
          </w:tcPr>
          <w:p w:rsidR="004E2069" w:rsidRPr="00DA4C7A" w:rsidRDefault="004E2069" w:rsidP="009541ED">
            <w:pPr>
              <w:ind w:right="128"/>
              <w:jc w:val="right"/>
              <w:rPr>
                <w:color w:val="000000"/>
                <w:sz w:val="22"/>
                <w:szCs w:val="24"/>
              </w:rPr>
            </w:pPr>
            <w:r w:rsidRPr="00DA4C7A">
              <w:rPr>
                <w:color w:val="000000"/>
                <w:sz w:val="22"/>
                <w:szCs w:val="24"/>
              </w:rPr>
              <w:t>92,6</w:t>
            </w:r>
          </w:p>
        </w:tc>
      </w:tr>
      <w:tr w:rsidR="004E2069" w:rsidRPr="00DA4C7A" w:rsidTr="009541ED">
        <w:trPr>
          <w:trHeight w:val="61"/>
        </w:trPr>
        <w:tc>
          <w:tcPr>
            <w:tcW w:w="3850" w:type="dxa"/>
            <w:vAlign w:val="center"/>
          </w:tcPr>
          <w:p w:rsidR="004E2069" w:rsidRPr="00DA4C7A" w:rsidRDefault="004E2069" w:rsidP="0080373F">
            <w:pPr>
              <w:widowControl w:val="0"/>
              <w:ind w:left="242"/>
              <w:rPr>
                <w:color w:val="000000"/>
                <w:sz w:val="22"/>
                <w:szCs w:val="24"/>
              </w:rPr>
            </w:pPr>
            <w:r w:rsidRPr="00DA4C7A">
              <w:rPr>
                <w:color w:val="000000"/>
                <w:sz w:val="22"/>
                <w:szCs w:val="24"/>
              </w:rPr>
              <w:t>средства юридических лиц</w:t>
            </w:r>
          </w:p>
        </w:tc>
        <w:tc>
          <w:tcPr>
            <w:tcW w:w="1163" w:type="dxa"/>
            <w:vAlign w:val="bottom"/>
          </w:tcPr>
          <w:p w:rsidR="004E2069" w:rsidRPr="00DA4C7A" w:rsidRDefault="004E2069" w:rsidP="0080373F">
            <w:pPr>
              <w:jc w:val="right"/>
              <w:rPr>
                <w:color w:val="000000"/>
                <w:sz w:val="22"/>
                <w:szCs w:val="24"/>
              </w:rPr>
            </w:pPr>
            <w:r w:rsidRPr="00DA4C7A">
              <w:rPr>
                <w:color w:val="000000"/>
                <w:sz w:val="22"/>
                <w:szCs w:val="24"/>
              </w:rPr>
              <w:t>2 248,0</w:t>
            </w:r>
          </w:p>
        </w:tc>
        <w:tc>
          <w:tcPr>
            <w:tcW w:w="1164" w:type="dxa"/>
            <w:vAlign w:val="bottom"/>
          </w:tcPr>
          <w:p w:rsidR="004E2069" w:rsidRPr="00DA4C7A" w:rsidRDefault="004E2069" w:rsidP="009541ED">
            <w:pPr>
              <w:ind w:right="115"/>
              <w:jc w:val="right"/>
              <w:rPr>
                <w:color w:val="000000"/>
                <w:sz w:val="22"/>
                <w:szCs w:val="24"/>
              </w:rPr>
            </w:pPr>
            <w:r w:rsidRPr="00DA4C7A">
              <w:rPr>
                <w:color w:val="000000"/>
                <w:sz w:val="22"/>
                <w:szCs w:val="24"/>
              </w:rPr>
              <w:t>35,8</w:t>
            </w:r>
          </w:p>
        </w:tc>
        <w:tc>
          <w:tcPr>
            <w:tcW w:w="1164" w:type="dxa"/>
            <w:vAlign w:val="bottom"/>
          </w:tcPr>
          <w:p w:rsidR="004E2069" w:rsidRPr="00DA4C7A" w:rsidRDefault="004E2069" w:rsidP="0080373F">
            <w:pPr>
              <w:jc w:val="right"/>
              <w:rPr>
                <w:color w:val="000000"/>
                <w:sz w:val="22"/>
                <w:szCs w:val="24"/>
              </w:rPr>
            </w:pPr>
            <w:r w:rsidRPr="00DA4C7A">
              <w:rPr>
                <w:color w:val="000000"/>
                <w:sz w:val="22"/>
                <w:szCs w:val="24"/>
              </w:rPr>
              <w:t>3 307,8</w:t>
            </w:r>
          </w:p>
        </w:tc>
        <w:tc>
          <w:tcPr>
            <w:tcW w:w="1164" w:type="dxa"/>
            <w:vAlign w:val="bottom"/>
          </w:tcPr>
          <w:p w:rsidR="004E2069" w:rsidRPr="00DA4C7A" w:rsidRDefault="004E2069" w:rsidP="009541ED">
            <w:pPr>
              <w:ind w:right="128"/>
              <w:jc w:val="right"/>
              <w:rPr>
                <w:color w:val="000000"/>
                <w:sz w:val="22"/>
                <w:szCs w:val="24"/>
              </w:rPr>
            </w:pPr>
            <w:r w:rsidRPr="00DA4C7A">
              <w:rPr>
                <w:color w:val="000000"/>
                <w:sz w:val="22"/>
                <w:szCs w:val="24"/>
              </w:rPr>
              <w:t>39,3</w:t>
            </w:r>
          </w:p>
        </w:tc>
        <w:tc>
          <w:tcPr>
            <w:tcW w:w="1134" w:type="dxa"/>
            <w:vAlign w:val="bottom"/>
          </w:tcPr>
          <w:p w:rsidR="004E2069" w:rsidRPr="00DA4C7A" w:rsidRDefault="004E2069" w:rsidP="009541ED">
            <w:pPr>
              <w:ind w:right="128"/>
              <w:jc w:val="right"/>
              <w:rPr>
                <w:color w:val="000000"/>
                <w:sz w:val="22"/>
                <w:szCs w:val="24"/>
              </w:rPr>
            </w:pPr>
            <w:r w:rsidRPr="00DA4C7A">
              <w:rPr>
                <w:color w:val="000000"/>
                <w:sz w:val="22"/>
                <w:szCs w:val="24"/>
              </w:rPr>
              <w:t>147,1</w:t>
            </w:r>
          </w:p>
        </w:tc>
      </w:tr>
      <w:tr w:rsidR="004E2069" w:rsidRPr="00DA4C7A" w:rsidTr="009541ED">
        <w:trPr>
          <w:trHeight w:val="61"/>
        </w:trPr>
        <w:tc>
          <w:tcPr>
            <w:tcW w:w="3850" w:type="dxa"/>
            <w:tcBorders>
              <w:bottom w:val="nil"/>
            </w:tcBorders>
            <w:vAlign w:val="center"/>
          </w:tcPr>
          <w:p w:rsidR="004E2069" w:rsidRPr="00DA4C7A" w:rsidRDefault="004E2069" w:rsidP="0080373F">
            <w:pPr>
              <w:widowControl w:val="0"/>
              <w:ind w:left="242"/>
              <w:rPr>
                <w:color w:val="000000"/>
                <w:sz w:val="22"/>
                <w:szCs w:val="24"/>
              </w:rPr>
            </w:pPr>
            <w:r w:rsidRPr="00DA4C7A">
              <w:rPr>
                <w:color w:val="000000"/>
                <w:sz w:val="22"/>
                <w:szCs w:val="24"/>
              </w:rPr>
              <w:t>средства физических лиц</w:t>
            </w:r>
          </w:p>
        </w:tc>
        <w:tc>
          <w:tcPr>
            <w:tcW w:w="1163" w:type="dxa"/>
            <w:tcBorders>
              <w:bottom w:val="nil"/>
            </w:tcBorders>
            <w:vAlign w:val="bottom"/>
          </w:tcPr>
          <w:p w:rsidR="004E2069" w:rsidRPr="00DA4C7A" w:rsidRDefault="004E2069" w:rsidP="0080373F">
            <w:pPr>
              <w:jc w:val="right"/>
              <w:rPr>
                <w:color w:val="000000"/>
                <w:sz w:val="22"/>
                <w:szCs w:val="24"/>
              </w:rPr>
            </w:pPr>
            <w:r w:rsidRPr="00DA4C7A">
              <w:rPr>
                <w:color w:val="000000"/>
                <w:sz w:val="22"/>
                <w:szCs w:val="24"/>
              </w:rPr>
              <w:t>1 313,3</w:t>
            </w:r>
          </w:p>
        </w:tc>
        <w:tc>
          <w:tcPr>
            <w:tcW w:w="1164" w:type="dxa"/>
            <w:tcBorders>
              <w:bottom w:val="nil"/>
            </w:tcBorders>
            <w:vAlign w:val="bottom"/>
          </w:tcPr>
          <w:p w:rsidR="004E2069" w:rsidRPr="00DA4C7A" w:rsidRDefault="004E2069" w:rsidP="009541ED">
            <w:pPr>
              <w:ind w:right="115"/>
              <w:jc w:val="right"/>
              <w:rPr>
                <w:color w:val="000000"/>
                <w:sz w:val="22"/>
                <w:szCs w:val="24"/>
              </w:rPr>
            </w:pPr>
            <w:r w:rsidRPr="00DA4C7A">
              <w:rPr>
                <w:color w:val="000000"/>
                <w:sz w:val="22"/>
                <w:szCs w:val="24"/>
              </w:rPr>
              <w:t>20,9</w:t>
            </w:r>
          </w:p>
        </w:tc>
        <w:tc>
          <w:tcPr>
            <w:tcW w:w="1164" w:type="dxa"/>
            <w:tcBorders>
              <w:bottom w:val="nil"/>
            </w:tcBorders>
            <w:vAlign w:val="bottom"/>
          </w:tcPr>
          <w:p w:rsidR="004E2069" w:rsidRPr="00DA4C7A" w:rsidRDefault="004E2069" w:rsidP="0080373F">
            <w:pPr>
              <w:jc w:val="right"/>
              <w:rPr>
                <w:color w:val="000000"/>
                <w:sz w:val="22"/>
                <w:szCs w:val="24"/>
              </w:rPr>
            </w:pPr>
            <w:r w:rsidRPr="00DA4C7A">
              <w:rPr>
                <w:color w:val="000000"/>
                <w:sz w:val="22"/>
                <w:szCs w:val="24"/>
              </w:rPr>
              <w:t>2 011,9</w:t>
            </w:r>
          </w:p>
        </w:tc>
        <w:tc>
          <w:tcPr>
            <w:tcW w:w="1164" w:type="dxa"/>
            <w:tcBorders>
              <w:bottom w:val="nil"/>
            </w:tcBorders>
            <w:vAlign w:val="bottom"/>
          </w:tcPr>
          <w:p w:rsidR="004E2069" w:rsidRPr="00DA4C7A" w:rsidRDefault="004E2069" w:rsidP="009541ED">
            <w:pPr>
              <w:ind w:right="128"/>
              <w:jc w:val="right"/>
              <w:rPr>
                <w:color w:val="000000"/>
                <w:sz w:val="22"/>
                <w:szCs w:val="24"/>
              </w:rPr>
            </w:pPr>
            <w:r w:rsidRPr="00DA4C7A">
              <w:rPr>
                <w:color w:val="000000"/>
                <w:sz w:val="22"/>
                <w:szCs w:val="24"/>
              </w:rPr>
              <w:t>23,9</w:t>
            </w:r>
          </w:p>
        </w:tc>
        <w:tc>
          <w:tcPr>
            <w:tcW w:w="1134" w:type="dxa"/>
            <w:tcBorders>
              <w:bottom w:val="nil"/>
            </w:tcBorders>
            <w:vAlign w:val="bottom"/>
          </w:tcPr>
          <w:p w:rsidR="004E2069" w:rsidRPr="00DA4C7A" w:rsidRDefault="004E2069" w:rsidP="009541ED">
            <w:pPr>
              <w:ind w:right="128"/>
              <w:jc w:val="right"/>
              <w:rPr>
                <w:color w:val="000000"/>
                <w:sz w:val="22"/>
                <w:szCs w:val="24"/>
              </w:rPr>
            </w:pPr>
            <w:r w:rsidRPr="00DA4C7A">
              <w:rPr>
                <w:color w:val="000000"/>
                <w:sz w:val="22"/>
                <w:szCs w:val="24"/>
              </w:rPr>
              <w:t>153,2</w:t>
            </w:r>
          </w:p>
        </w:tc>
      </w:tr>
      <w:tr w:rsidR="004E2069" w:rsidRPr="00DA4C7A" w:rsidTr="009541ED">
        <w:tc>
          <w:tcPr>
            <w:tcW w:w="3850" w:type="dxa"/>
            <w:vAlign w:val="center"/>
          </w:tcPr>
          <w:p w:rsidR="004E2069" w:rsidRPr="00DA4C7A" w:rsidRDefault="004E2069" w:rsidP="0080373F">
            <w:pPr>
              <w:widowControl w:val="0"/>
              <w:rPr>
                <w:color w:val="000000"/>
                <w:sz w:val="22"/>
                <w:szCs w:val="24"/>
              </w:rPr>
            </w:pPr>
            <w:r w:rsidRPr="00DA4C7A">
              <w:rPr>
                <w:color w:val="000000"/>
                <w:sz w:val="22"/>
                <w:szCs w:val="24"/>
              </w:rPr>
              <w:t>2. Собственные средства</w:t>
            </w:r>
          </w:p>
        </w:tc>
        <w:tc>
          <w:tcPr>
            <w:tcW w:w="1163" w:type="dxa"/>
            <w:vAlign w:val="bottom"/>
          </w:tcPr>
          <w:p w:rsidR="004E2069" w:rsidRPr="00DA4C7A" w:rsidRDefault="004E2069" w:rsidP="0080373F">
            <w:pPr>
              <w:jc w:val="right"/>
              <w:rPr>
                <w:color w:val="000000"/>
                <w:sz w:val="22"/>
                <w:szCs w:val="24"/>
              </w:rPr>
            </w:pPr>
            <w:r w:rsidRPr="00DA4C7A">
              <w:rPr>
                <w:color w:val="000000"/>
                <w:sz w:val="22"/>
                <w:szCs w:val="24"/>
              </w:rPr>
              <w:t>1 656,5</w:t>
            </w:r>
          </w:p>
        </w:tc>
        <w:tc>
          <w:tcPr>
            <w:tcW w:w="1164" w:type="dxa"/>
            <w:vAlign w:val="bottom"/>
          </w:tcPr>
          <w:p w:rsidR="004E2069" w:rsidRPr="00DA4C7A" w:rsidRDefault="004E2069" w:rsidP="009541ED">
            <w:pPr>
              <w:ind w:right="115"/>
              <w:jc w:val="right"/>
              <w:rPr>
                <w:color w:val="000000"/>
                <w:sz w:val="22"/>
                <w:szCs w:val="24"/>
              </w:rPr>
            </w:pPr>
            <w:r w:rsidRPr="00DA4C7A">
              <w:rPr>
                <w:color w:val="000000"/>
                <w:sz w:val="22"/>
                <w:szCs w:val="24"/>
              </w:rPr>
              <w:t>26,4</w:t>
            </w:r>
          </w:p>
        </w:tc>
        <w:tc>
          <w:tcPr>
            <w:tcW w:w="1164" w:type="dxa"/>
            <w:vAlign w:val="bottom"/>
          </w:tcPr>
          <w:p w:rsidR="004E2069" w:rsidRPr="00DA4C7A" w:rsidRDefault="004E2069" w:rsidP="0080373F">
            <w:pPr>
              <w:jc w:val="right"/>
              <w:rPr>
                <w:color w:val="000000"/>
                <w:sz w:val="22"/>
                <w:szCs w:val="24"/>
              </w:rPr>
            </w:pPr>
            <w:r w:rsidRPr="00DA4C7A">
              <w:rPr>
                <w:color w:val="000000"/>
                <w:sz w:val="22"/>
                <w:szCs w:val="24"/>
              </w:rPr>
              <w:t>1 526,0</w:t>
            </w:r>
          </w:p>
        </w:tc>
        <w:tc>
          <w:tcPr>
            <w:tcW w:w="1164" w:type="dxa"/>
            <w:vAlign w:val="bottom"/>
          </w:tcPr>
          <w:p w:rsidR="004E2069" w:rsidRPr="00DA4C7A" w:rsidRDefault="004E2069" w:rsidP="009541ED">
            <w:pPr>
              <w:ind w:right="128"/>
              <w:jc w:val="right"/>
              <w:rPr>
                <w:color w:val="000000"/>
                <w:sz w:val="22"/>
                <w:szCs w:val="24"/>
              </w:rPr>
            </w:pPr>
            <w:r w:rsidRPr="00DA4C7A">
              <w:rPr>
                <w:color w:val="000000"/>
                <w:sz w:val="22"/>
                <w:szCs w:val="24"/>
              </w:rPr>
              <w:t>18,1</w:t>
            </w:r>
          </w:p>
        </w:tc>
        <w:tc>
          <w:tcPr>
            <w:tcW w:w="1134" w:type="dxa"/>
            <w:vAlign w:val="bottom"/>
          </w:tcPr>
          <w:p w:rsidR="004E2069" w:rsidRPr="00DA4C7A" w:rsidRDefault="004E2069" w:rsidP="009541ED">
            <w:pPr>
              <w:ind w:right="128"/>
              <w:jc w:val="right"/>
              <w:rPr>
                <w:color w:val="000000"/>
                <w:sz w:val="22"/>
                <w:szCs w:val="24"/>
              </w:rPr>
            </w:pPr>
            <w:r w:rsidRPr="00DA4C7A">
              <w:rPr>
                <w:color w:val="000000"/>
                <w:sz w:val="22"/>
                <w:szCs w:val="24"/>
              </w:rPr>
              <w:t>92,1</w:t>
            </w:r>
          </w:p>
        </w:tc>
      </w:tr>
    </w:tbl>
    <w:bookmarkEnd w:id="4"/>
    <w:bookmarkEnd w:id="5"/>
    <w:p w:rsidR="004E2069" w:rsidRPr="00DA4C7A" w:rsidRDefault="004E2069" w:rsidP="00DC0A7D">
      <w:pPr>
        <w:spacing w:before="120"/>
        <w:ind w:firstLine="425"/>
        <w:jc w:val="both"/>
        <w:rPr>
          <w:sz w:val="24"/>
          <w:szCs w:val="24"/>
        </w:rPr>
      </w:pPr>
      <w:r w:rsidRPr="00DA4C7A">
        <w:rPr>
          <w:color w:val="000000"/>
          <w:sz w:val="24"/>
          <w:szCs w:val="24"/>
        </w:rPr>
        <w:t xml:space="preserve">Доля ресурсов корпоративного сектора в совокупных привлечениях составила 48,0%. </w:t>
      </w:r>
      <w:r w:rsidRPr="00DA4C7A">
        <w:rPr>
          <w:sz w:val="24"/>
          <w:szCs w:val="24"/>
        </w:rPr>
        <w:t>Вследствие переоценки валютных обязательств</w:t>
      </w:r>
      <w:r w:rsidRPr="00DA4C7A">
        <w:rPr>
          <w:color w:val="000000"/>
          <w:sz w:val="24"/>
          <w:szCs w:val="24"/>
        </w:rPr>
        <w:t xml:space="preserve"> объём средств юридических лиц увеличился на 47,1% (+1 059,9 млн руб.) к уровню начала года, до 3 307,8 млн руб.</w:t>
      </w:r>
    </w:p>
    <w:p w:rsidR="004E2069" w:rsidRPr="00DA4C7A" w:rsidRDefault="004E2069" w:rsidP="00DC0A7D">
      <w:pPr>
        <w:widowControl w:val="0"/>
        <w:autoSpaceDE w:val="0"/>
        <w:autoSpaceDN w:val="0"/>
        <w:adjustRightInd w:val="0"/>
        <w:ind w:firstLine="425"/>
        <w:jc w:val="both"/>
        <w:rPr>
          <w:sz w:val="24"/>
          <w:szCs w:val="24"/>
        </w:rPr>
      </w:pPr>
      <w:r w:rsidRPr="00DA4C7A">
        <w:rPr>
          <w:color w:val="000000"/>
          <w:sz w:val="24"/>
          <w:szCs w:val="24"/>
        </w:rPr>
        <w:t>Ввиду достаточно высокой степени валютизации остатки средств на счетах физических лиц продемонстрировали ещё более активную динамику: +53,2% (+17,4% в реальном выражении), или +698,6 млн руб., до 2 011,9 млн руб., что составило 29,2% обязательств банков (+0,8 п.п.).</w:t>
      </w:r>
      <w:r w:rsidRPr="00DA4C7A">
        <w:rPr>
          <w:sz w:val="24"/>
          <w:szCs w:val="24"/>
        </w:rPr>
        <w:t xml:space="preserve"> </w:t>
      </w:r>
    </w:p>
    <w:p w:rsidR="004E2069" w:rsidRDefault="004E2069" w:rsidP="00DC0A7D">
      <w:pPr>
        <w:widowControl w:val="0"/>
        <w:ind w:firstLine="425"/>
        <w:jc w:val="both"/>
        <w:rPr>
          <w:sz w:val="24"/>
          <w:szCs w:val="24"/>
        </w:rPr>
      </w:pPr>
      <w:r w:rsidRPr="00DA4C7A">
        <w:rPr>
          <w:sz w:val="24"/>
          <w:szCs w:val="24"/>
        </w:rPr>
        <w:t xml:space="preserve">В то же время практически в 4 раза сократился </w:t>
      </w:r>
      <w:r>
        <w:rPr>
          <w:sz w:val="24"/>
          <w:szCs w:val="24"/>
        </w:rPr>
        <w:t xml:space="preserve">общий </w:t>
      </w:r>
      <w:r w:rsidRPr="00DA4C7A">
        <w:rPr>
          <w:sz w:val="24"/>
          <w:szCs w:val="24"/>
        </w:rPr>
        <w:t>объём привлечений и заимствований</w:t>
      </w:r>
      <w:r w:rsidRPr="00DA4C7A">
        <w:rPr>
          <w:color w:val="000000"/>
          <w:sz w:val="24"/>
          <w:szCs w:val="24"/>
        </w:rPr>
        <w:t xml:space="preserve"> на </w:t>
      </w:r>
      <w:r w:rsidRPr="00DA4C7A">
        <w:rPr>
          <w:sz w:val="24"/>
          <w:szCs w:val="24"/>
        </w:rPr>
        <w:t>межбанковском рынке</w:t>
      </w:r>
      <w:r>
        <w:rPr>
          <w:sz w:val="24"/>
          <w:szCs w:val="24"/>
        </w:rPr>
        <w:t xml:space="preserve"> (включая ПРБ)</w:t>
      </w:r>
      <w:r w:rsidRPr="00DA4C7A">
        <w:rPr>
          <w:color w:val="000000"/>
          <w:sz w:val="24"/>
          <w:szCs w:val="24"/>
        </w:rPr>
        <w:t xml:space="preserve">. </w:t>
      </w:r>
      <w:r w:rsidRPr="00DA4C7A">
        <w:rPr>
          <w:bCs/>
          <w:sz w:val="24"/>
          <w:szCs w:val="24"/>
        </w:rPr>
        <w:t xml:space="preserve">В итоге их сумма на балансе банковской системы составила </w:t>
      </w:r>
      <w:r w:rsidRPr="00DA4C7A">
        <w:rPr>
          <w:color w:val="000000"/>
          <w:sz w:val="24"/>
          <w:szCs w:val="24"/>
        </w:rPr>
        <w:t>243,9</w:t>
      </w:r>
      <w:r w:rsidRPr="00DA4C7A">
        <w:rPr>
          <w:sz w:val="24"/>
          <w:szCs w:val="24"/>
        </w:rPr>
        <w:t xml:space="preserve"> млн руб., сформировав на начало 2018 года 3,5% ресурсов действующих банков (-14,4 п.п.). Данная динамика </w:t>
      </w:r>
      <w:r>
        <w:rPr>
          <w:sz w:val="24"/>
          <w:szCs w:val="24"/>
        </w:rPr>
        <w:t xml:space="preserve">также </w:t>
      </w:r>
      <w:r w:rsidRPr="00DA4C7A">
        <w:rPr>
          <w:sz w:val="24"/>
          <w:szCs w:val="24"/>
        </w:rPr>
        <w:t xml:space="preserve">обусловлена исполнением норм Закона </w:t>
      </w:r>
      <w:r>
        <w:rPr>
          <w:sz w:val="24"/>
          <w:szCs w:val="24"/>
        </w:rPr>
        <w:t>о стабилизации банковской системы.</w:t>
      </w:r>
    </w:p>
    <w:p w:rsidR="004E2069" w:rsidRDefault="004E2069" w:rsidP="009E52B4">
      <w:pPr>
        <w:widowControl w:val="0"/>
        <w:ind w:firstLine="425"/>
        <w:jc w:val="both"/>
        <w:rPr>
          <w:sz w:val="24"/>
          <w:szCs w:val="24"/>
        </w:rPr>
      </w:pPr>
      <w:r>
        <w:rPr>
          <w:sz w:val="24"/>
          <w:szCs w:val="24"/>
        </w:rPr>
        <w:t>На фоне расширения привлечённых средств с</w:t>
      </w:r>
      <w:r w:rsidRPr="009E52B4">
        <w:rPr>
          <w:sz w:val="24"/>
          <w:szCs w:val="24"/>
        </w:rPr>
        <w:t xml:space="preserve">уммарные активы-нетто коммерческих банков в реальном выражении возросли на 9,6%, отразив увеличение активов в иностранной валюте на 41,7% (до 5 637,4 млн руб.) при сокращении рублёвой составляющей на 17,9% (до 2 774,6 млн руб.). </w:t>
      </w:r>
      <w:r>
        <w:rPr>
          <w:sz w:val="24"/>
          <w:szCs w:val="24"/>
        </w:rPr>
        <w:t>В результате</w:t>
      </w:r>
      <w:r w:rsidRPr="009E52B4">
        <w:rPr>
          <w:sz w:val="24"/>
          <w:szCs w:val="24"/>
        </w:rPr>
        <w:t xml:space="preserve"> степень валютизации банковских активов-нетто повысилась на 20,8 п.п.</w:t>
      </w:r>
      <w:r>
        <w:rPr>
          <w:sz w:val="24"/>
          <w:szCs w:val="24"/>
        </w:rPr>
        <w:t xml:space="preserve">, до </w:t>
      </w:r>
      <w:r w:rsidRPr="009E52B4">
        <w:rPr>
          <w:sz w:val="24"/>
          <w:szCs w:val="24"/>
        </w:rPr>
        <w:t>67,0%.</w:t>
      </w:r>
    </w:p>
    <w:p w:rsidR="004E2069" w:rsidRDefault="004E2069" w:rsidP="001915E3">
      <w:pPr>
        <w:widowControl w:val="0"/>
        <w:ind w:firstLine="425"/>
        <w:jc w:val="both"/>
        <w:rPr>
          <w:b/>
          <w:bCs/>
          <w:i/>
          <w:iCs/>
          <w:color w:val="000000"/>
          <w:sz w:val="24"/>
          <w:szCs w:val="24"/>
        </w:rPr>
      </w:pPr>
      <w:r w:rsidRPr="00DA4C7A">
        <w:rPr>
          <w:sz w:val="24"/>
          <w:szCs w:val="24"/>
        </w:rPr>
        <w:t xml:space="preserve">Совокупный кредитный портфель банковской системы за 2017 год увеличился на 6,6% </w:t>
      </w:r>
      <w:r w:rsidRPr="00DA4C7A">
        <w:rPr>
          <w:sz w:val="24"/>
          <w:szCs w:val="24"/>
        </w:rPr>
        <w:br/>
        <w:t>(+266,7 млн руб.), сложившись на 01.01.2018 в объёме 4 328,8 млн руб., что соответствует 51,5% валюты баланса-нетто (табл. 1.5). Из них 82,0% банками были направлены на кредитование хозяйствующих субъектов и населения (85,0% годом ранее). В абсолютном выражении на 1 января 2018 года сумма задолженности по кредитам юридических и физических лиц составила 3 548,6 млн руб., превысив значение на начало отчётного года на 2,8%. Данная динамика определялась расширением задолженности хозяйствующих субъектов на 65,8 млн руб., или на 2,4%, до 2 766,7 млн руб. При этом без учёта изменения курсов иностранных валют «чистое» сокращение задолженности по кредитам юридическим лицам составило 17,6%. Это было обусловлено, прежде всего, мероприятиями по оздоровлению финансовой системы республики, в результате которых проблемные активы кредитных организаций были переданы ОАО «Агентство по оздоровлению банковской системы».</w:t>
      </w:r>
    </w:p>
    <w:p w:rsidR="004E2069" w:rsidRPr="00DA4C7A" w:rsidRDefault="004E2069" w:rsidP="00DC0A7D">
      <w:pPr>
        <w:widowControl w:val="0"/>
        <w:spacing w:before="120" w:after="120"/>
        <w:ind w:firstLine="425"/>
        <w:jc w:val="right"/>
        <w:rPr>
          <w:b/>
          <w:bCs/>
          <w:i/>
          <w:iCs/>
          <w:color w:val="000000"/>
          <w:sz w:val="24"/>
          <w:szCs w:val="24"/>
        </w:rPr>
      </w:pPr>
      <w:r w:rsidRPr="00DA4C7A">
        <w:rPr>
          <w:b/>
          <w:bCs/>
          <w:i/>
          <w:iCs/>
          <w:color w:val="000000"/>
          <w:sz w:val="24"/>
          <w:szCs w:val="24"/>
        </w:rPr>
        <w:t>Таблица 1.5</w:t>
      </w:r>
    </w:p>
    <w:p w:rsidR="004E2069" w:rsidRPr="00DA4C7A" w:rsidRDefault="004E2069" w:rsidP="00DC0A7D">
      <w:pPr>
        <w:pStyle w:val="Heading3"/>
        <w:widowControl w:val="0"/>
        <w:spacing w:after="120"/>
        <w:jc w:val="center"/>
        <w:rPr>
          <w:rFonts w:ascii="Times New Roman" w:hAnsi="Times New Roman" w:cs="Times New Roman"/>
          <w:b/>
          <w:bCs/>
          <w:color w:val="000000"/>
          <w:sz w:val="24"/>
          <w:szCs w:val="24"/>
        </w:rPr>
      </w:pPr>
      <w:r w:rsidRPr="00DA4C7A">
        <w:rPr>
          <w:rFonts w:ascii="Times New Roman" w:hAnsi="Times New Roman" w:cs="Times New Roman"/>
          <w:b/>
          <w:bCs/>
          <w:color w:val="000000"/>
          <w:sz w:val="24"/>
          <w:szCs w:val="24"/>
        </w:rPr>
        <w:t>Структура и динамика активов коммерческих банков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1169"/>
        <w:gridCol w:w="1169"/>
        <w:gridCol w:w="1169"/>
        <w:gridCol w:w="1170"/>
        <w:gridCol w:w="1134"/>
      </w:tblGrid>
      <w:tr w:rsidR="004E2069" w:rsidRPr="00DA4C7A" w:rsidTr="009541ED">
        <w:trPr>
          <w:cantSplit/>
          <w:trHeight w:val="72"/>
        </w:trPr>
        <w:tc>
          <w:tcPr>
            <w:tcW w:w="3828" w:type="dxa"/>
            <w:vMerge w:val="restart"/>
            <w:tcBorders>
              <w:bottom w:val="nil"/>
            </w:tcBorders>
            <w:shd w:val="clear" w:color="auto" w:fill="CCCCCC"/>
            <w:vAlign w:val="center"/>
          </w:tcPr>
          <w:p w:rsidR="004E2069" w:rsidRPr="00DA4C7A" w:rsidRDefault="004E2069" w:rsidP="0080373F">
            <w:pPr>
              <w:pStyle w:val="Heading2"/>
              <w:widowControl w:val="0"/>
              <w:spacing w:after="0" w:line="238" w:lineRule="auto"/>
              <w:ind w:left="34"/>
              <w:rPr>
                <w:rFonts w:ascii="Times New Roman" w:hAnsi="Times New Roman" w:cs="Times New Roman"/>
                <w:i/>
                <w:iCs/>
                <w:color w:val="000000"/>
                <w:sz w:val="22"/>
                <w:szCs w:val="24"/>
              </w:rPr>
            </w:pPr>
          </w:p>
        </w:tc>
        <w:tc>
          <w:tcPr>
            <w:tcW w:w="2338" w:type="dxa"/>
            <w:gridSpan w:val="2"/>
            <w:shd w:val="clear" w:color="auto" w:fill="CCCCCC"/>
            <w:vAlign w:val="center"/>
          </w:tcPr>
          <w:p w:rsidR="004E2069" w:rsidRPr="00DA4C7A" w:rsidRDefault="004E2069" w:rsidP="0080373F">
            <w:pPr>
              <w:widowControl w:val="0"/>
              <w:spacing w:line="238" w:lineRule="auto"/>
              <w:ind w:left="-94" w:right="-101"/>
              <w:jc w:val="center"/>
              <w:rPr>
                <w:color w:val="000000"/>
                <w:sz w:val="22"/>
                <w:szCs w:val="24"/>
              </w:rPr>
            </w:pPr>
            <w:r w:rsidRPr="00DA4C7A">
              <w:rPr>
                <w:color w:val="000000"/>
                <w:sz w:val="22"/>
                <w:szCs w:val="24"/>
              </w:rPr>
              <w:t>на 01.01.2017</w:t>
            </w:r>
          </w:p>
        </w:tc>
        <w:tc>
          <w:tcPr>
            <w:tcW w:w="2339" w:type="dxa"/>
            <w:gridSpan w:val="2"/>
            <w:shd w:val="clear" w:color="auto" w:fill="CCCCCC"/>
            <w:vAlign w:val="center"/>
          </w:tcPr>
          <w:p w:rsidR="004E2069" w:rsidRPr="00DA4C7A" w:rsidRDefault="004E2069" w:rsidP="0080373F">
            <w:pPr>
              <w:widowControl w:val="0"/>
              <w:spacing w:line="238" w:lineRule="auto"/>
              <w:ind w:left="-94" w:right="-101"/>
              <w:jc w:val="center"/>
              <w:rPr>
                <w:color w:val="000000"/>
                <w:sz w:val="22"/>
                <w:szCs w:val="24"/>
              </w:rPr>
            </w:pPr>
            <w:r w:rsidRPr="00DA4C7A">
              <w:rPr>
                <w:color w:val="000000"/>
                <w:sz w:val="22"/>
                <w:szCs w:val="24"/>
              </w:rPr>
              <w:t>на 01.01.2018</w:t>
            </w:r>
          </w:p>
        </w:tc>
        <w:tc>
          <w:tcPr>
            <w:tcW w:w="1134" w:type="dxa"/>
            <w:vMerge w:val="restart"/>
            <w:tcBorders>
              <w:bottom w:val="nil"/>
            </w:tcBorders>
            <w:shd w:val="clear" w:color="auto" w:fill="CCCCCC"/>
            <w:vAlign w:val="center"/>
          </w:tcPr>
          <w:p w:rsidR="004E2069" w:rsidRPr="00DA4C7A" w:rsidRDefault="004E2069" w:rsidP="0080373F">
            <w:pPr>
              <w:widowControl w:val="0"/>
              <w:spacing w:line="238" w:lineRule="auto"/>
              <w:ind w:left="-108" w:right="-108"/>
              <w:jc w:val="center"/>
              <w:rPr>
                <w:color w:val="000000"/>
                <w:sz w:val="22"/>
                <w:szCs w:val="24"/>
              </w:rPr>
            </w:pPr>
            <w:r w:rsidRPr="00DA4C7A">
              <w:rPr>
                <w:color w:val="000000"/>
                <w:sz w:val="22"/>
                <w:szCs w:val="24"/>
              </w:rPr>
              <w:t xml:space="preserve">темп </w:t>
            </w:r>
          </w:p>
          <w:p w:rsidR="004E2069" w:rsidRPr="00DA4C7A" w:rsidRDefault="004E2069" w:rsidP="0080373F">
            <w:pPr>
              <w:widowControl w:val="0"/>
              <w:spacing w:line="238" w:lineRule="auto"/>
              <w:ind w:left="-108" w:right="-108"/>
              <w:jc w:val="center"/>
              <w:rPr>
                <w:color w:val="000000"/>
                <w:sz w:val="22"/>
                <w:szCs w:val="24"/>
              </w:rPr>
            </w:pPr>
            <w:r w:rsidRPr="00DA4C7A">
              <w:rPr>
                <w:color w:val="000000"/>
                <w:sz w:val="22"/>
                <w:szCs w:val="24"/>
              </w:rPr>
              <w:t>роста, %</w:t>
            </w:r>
          </w:p>
        </w:tc>
      </w:tr>
      <w:tr w:rsidR="004E2069" w:rsidRPr="00DA4C7A" w:rsidTr="009541ED">
        <w:trPr>
          <w:cantSplit/>
          <w:trHeight w:val="386"/>
        </w:trPr>
        <w:tc>
          <w:tcPr>
            <w:tcW w:w="3828" w:type="dxa"/>
            <w:vMerge/>
            <w:tcBorders>
              <w:bottom w:val="double" w:sz="4" w:space="0" w:color="auto"/>
            </w:tcBorders>
            <w:shd w:val="clear" w:color="auto" w:fill="CCCCCC"/>
            <w:vAlign w:val="center"/>
          </w:tcPr>
          <w:p w:rsidR="004E2069" w:rsidRPr="00DA4C7A" w:rsidRDefault="004E2069" w:rsidP="0080373F">
            <w:pPr>
              <w:pStyle w:val="Heading2"/>
              <w:widowControl w:val="0"/>
              <w:spacing w:after="0" w:line="238" w:lineRule="auto"/>
              <w:ind w:left="34"/>
              <w:rPr>
                <w:rFonts w:ascii="Times New Roman" w:hAnsi="Times New Roman" w:cs="Times New Roman"/>
                <w:i/>
                <w:iCs/>
                <w:color w:val="000000"/>
                <w:sz w:val="22"/>
                <w:szCs w:val="24"/>
              </w:rPr>
            </w:pPr>
          </w:p>
        </w:tc>
        <w:tc>
          <w:tcPr>
            <w:tcW w:w="1169" w:type="dxa"/>
            <w:tcBorders>
              <w:bottom w:val="double" w:sz="4" w:space="0" w:color="auto"/>
            </w:tcBorders>
            <w:shd w:val="clear" w:color="auto" w:fill="CCCCCC"/>
            <w:vAlign w:val="center"/>
          </w:tcPr>
          <w:p w:rsidR="004E2069" w:rsidRPr="00DA4C7A" w:rsidRDefault="004E2069" w:rsidP="0080373F">
            <w:pPr>
              <w:widowControl w:val="0"/>
              <w:spacing w:line="238" w:lineRule="auto"/>
              <w:ind w:left="-129" w:right="-138"/>
              <w:jc w:val="center"/>
              <w:rPr>
                <w:color w:val="000000"/>
                <w:sz w:val="22"/>
                <w:szCs w:val="24"/>
              </w:rPr>
            </w:pPr>
            <w:r w:rsidRPr="00DA4C7A">
              <w:rPr>
                <w:color w:val="000000"/>
                <w:sz w:val="22"/>
                <w:szCs w:val="24"/>
              </w:rPr>
              <w:t>млн руб.</w:t>
            </w:r>
          </w:p>
        </w:tc>
        <w:tc>
          <w:tcPr>
            <w:tcW w:w="1169" w:type="dxa"/>
            <w:tcBorders>
              <w:bottom w:val="double" w:sz="4" w:space="0" w:color="auto"/>
            </w:tcBorders>
            <w:shd w:val="clear" w:color="auto" w:fill="CCCCCC"/>
            <w:vAlign w:val="center"/>
          </w:tcPr>
          <w:p w:rsidR="004E2069" w:rsidRPr="00DA4C7A" w:rsidRDefault="004E2069" w:rsidP="0080373F">
            <w:pPr>
              <w:widowControl w:val="0"/>
              <w:spacing w:line="238" w:lineRule="auto"/>
              <w:ind w:left="-129" w:right="-138"/>
              <w:jc w:val="center"/>
              <w:rPr>
                <w:color w:val="000000"/>
                <w:sz w:val="22"/>
                <w:szCs w:val="24"/>
              </w:rPr>
            </w:pPr>
            <w:r w:rsidRPr="00DA4C7A">
              <w:rPr>
                <w:color w:val="000000"/>
                <w:sz w:val="22"/>
                <w:szCs w:val="24"/>
              </w:rPr>
              <w:t xml:space="preserve">уд. вес, </w:t>
            </w:r>
          </w:p>
          <w:p w:rsidR="004E2069" w:rsidRPr="00DA4C7A" w:rsidRDefault="004E2069" w:rsidP="0080373F">
            <w:pPr>
              <w:widowControl w:val="0"/>
              <w:spacing w:line="238" w:lineRule="auto"/>
              <w:ind w:left="-129" w:right="-138"/>
              <w:jc w:val="center"/>
              <w:rPr>
                <w:color w:val="000000"/>
                <w:sz w:val="22"/>
                <w:szCs w:val="24"/>
              </w:rPr>
            </w:pPr>
            <w:r w:rsidRPr="00DA4C7A">
              <w:rPr>
                <w:color w:val="000000"/>
                <w:sz w:val="22"/>
                <w:szCs w:val="24"/>
              </w:rPr>
              <w:t>%</w:t>
            </w:r>
          </w:p>
        </w:tc>
        <w:tc>
          <w:tcPr>
            <w:tcW w:w="1169" w:type="dxa"/>
            <w:tcBorders>
              <w:bottom w:val="double" w:sz="4" w:space="0" w:color="auto"/>
            </w:tcBorders>
            <w:shd w:val="clear" w:color="auto" w:fill="CCCCCC"/>
            <w:vAlign w:val="center"/>
          </w:tcPr>
          <w:p w:rsidR="004E2069" w:rsidRPr="00DA4C7A" w:rsidRDefault="004E2069" w:rsidP="0080373F">
            <w:pPr>
              <w:widowControl w:val="0"/>
              <w:spacing w:line="238" w:lineRule="auto"/>
              <w:ind w:left="-129" w:right="-138"/>
              <w:jc w:val="center"/>
              <w:rPr>
                <w:color w:val="000000"/>
                <w:sz w:val="22"/>
                <w:szCs w:val="24"/>
              </w:rPr>
            </w:pPr>
            <w:r w:rsidRPr="00DA4C7A">
              <w:rPr>
                <w:color w:val="000000"/>
                <w:sz w:val="22"/>
                <w:szCs w:val="24"/>
              </w:rPr>
              <w:t>млн руб.</w:t>
            </w:r>
          </w:p>
        </w:tc>
        <w:tc>
          <w:tcPr>
            <w:tcW w:w="1170" w:type="dxa"/>
            <w:tcBorders>
              <w:bottom w:val="double" w:sz="4" w:space="0" w:color="auto"/>
            </w:tcBorders>
            <w:shd w:val="clear" w:color="auto" w:fill="CCCCCC"/>
            <w:vAlign w:val="center"/>
          </w:tcPr>
          <w:p w:rsidR="004E2069" w:rsidRPr="00DA4C7A" w:rsidRDefault="004E2069" w:rsidP="0080373F">
            <w:pPr>
              <w:widowControl w:val="0"/>
              <w:spacing w:line="238" w:lineRule="auto"/>
              <w:ind w:left="-129" w:right="-138"/>
              <w:jc w:val="center"/>
              <w:rPr>
                <w:color w:val="000000"/>
                <w:sz w:val="22"/>
                <w:szCs w:val="24"/>
              </w:rPr>
            </w:pPr>
            <w:r w:rsidRPr="00DA4C7A">
              <w:rPr>
                <w:color w:val="000000"/>
                <w:sz w:val="22"/>
                <w:szCs w:val="24"/>
              </w:rPr>
              <w:t xml:space="preserve">уд. вес, </w:t>
            </w:r>
          </w:p>
          <w:p w:rsidR="004E2069" w:rsidRPr="00DA4C7A" w:rsidRDefault="004E2069" w:rsidP="0080373F">
            <w:pPr>
              <w:widowControl w:val="0"/>
              <w:spacing w:line="238" w:lineRule="auto"/>
              <w:ind w:left="-129" w:right="-138"/>
              <w:jc w:val="center"/>
              <w:rPr>
                <w:color w:val="000000"/>
                <w:sz w:val="22"/>
                <w:szCs w:val="24"/>
              </w:rPr>
            </w:pPr>
            <w:r w:rsidRPr="00DA4C7A">
              <w:rPr>
                <w:color w:val="000000"/>
                <w:sz w:val="22"/>
                <w:szCs w:val="24"/>
              </w:rPr>
              <w:t>%</w:t>
            </w:r>
          </w:p>
        </w:tc>
        <w:tc>
          <w:tcPr>
            <w:tcW w:w="1134" w:type="dxa"/>
            <w:vMerge/>
            <w:tcBorders>
              <w:bottom w:val="double" w:sz="4" w:space="0" w:color="auto"/>
            </w:tcBorders>
            <w:vAlign w:val="center"/>
          </w:tcPr>
          <w:p w:rsidR="004E2069" w:rsidRPr="00DA4C7A" w:rsidRDefault="004E2069" w:rsidP="0080373F">
            <w:pPr>
              <w:pStyle w:val="Heading2"/>
              <w:widowControl w:val="0"/>
              <w:spacing w:after="0" w:line="238" w:lineRule="auto"/>
              <w:ind w:left="34"/>
              <w:rPr>
                <w:rFonts w:ascii="Times New Roman" w:hAnsi="Times New Roman" w:cs="Times New Roman"/>
                <w:i/>
                <w:iCs/>
                <w:color w:val="000000"/>
                <w:sz w:val="22"/>
                <w:szCs w:val="24"/>
              </w:rPr>
            </w:pPr>
          </w:p>
        </w:tc>
      </w:tr>
      <w:tr w:rsidR="004E2069" w:rsidRPr="00DA4C7A" w:rsidTr="009541ED">
        <w:tc>
          <w:tcPr>
            <w:tcW w:w="3828" w:type="dxa"/>
            <w:tcBorders>
              <w:top w:val="double" w:sz="4" w:space="0" w:color="auto"/>
              <w:bottom w:val="single" w:sz="2" w:space="0" w:color="auto"/>
            </w:tcBorders>
            <w:shd w:val="clear" w:color="auto" w:fill="E0E0E0"/>
          </w:tcPr>
          <w:p w:rsidR="004E2069" w:rsidRPr="00DA4C7A" w:rsidRDefault="004E2069" w:rsidP="0080373F">
            <w:pPr>
              <w:widowControl w:val="0"/>
              <w:rPr>
                <w:color w:val="000000"/>
                <w:sz w:val="22"/>
                <w:szCs w:val="24"/>
              </w:rPr>
            </w:pPr>
            <w:r>
              <w:rPr>
                <w:color w:val="000000"/>
                <w:sz w:val="22"/>
                <w:szCs w:val="24"/>
              </w:rPr>
              <w:t>Активы</w:t>
            </w:r>
            <w:r w:rsidRPr="00DA4C7A">
              <w:rPr>
                <w:color w:val="000000"/>
                <w:sz w:val="22"/>
                <w:szCs w:val="24"/>
              </w:rPr>
              <w:t>-нетто</w:t>
            </w:r>
            <w:r>
              <w:rPr>
                <w:color w:val="000000"/>
                <w:sz w:val="22"/>
                <w:szCs w:val="24"/>
              </w:rPr>
              <w:t>, всего</w:t>
            </w:r>
          </w:p>
        </w:tc>
        <w:tc>
          <w:tcPr>
            <w:tcW w:w="1169" w:type="dxa"/>
            <w:tcBorders>
              <w:top w:val="double" w:sz="4" w:space="0" w:color="auto"/>
              <w:bottom w:val="single" w:sz="2" w:space="0" w:color="auto"/>
            </w:tcBorders>
            <w:shd w:val="clear" w:color="auto" w:fill="E0E0E0"/>
            <w:vAlign w:val="bottom"/>
          </w:tcPr>
          <w:p w:rsidR="004E2069" w:rsidRPr="00DA4C7A" w:rsidRDefault="004E2069" w:rsidP="0080373F">
            <w:pPr>
              <w:jc w:val="right"/>
              <w:rPr>
                <w:color w:val="000000"/>
                <w:sz w:val="22"/>
                <w:szCs w:val="24"/>
              </w:rPr>
            </w:pPr>
            <w:r w:rsidRPr="00DA4C7A">
              <w:rPr>
                <w:color w:val="000000"/>
                <w:sz w:val="22"/>
                <w:szCs w:val="24"/>
              </w:rPr>
              <w:t>6 280,4</w:t>
            </w:r>
          </w:p>
        </w:tc>
        <w:tc>
          <w:tcPr>
            <w:tcW w:w="1169" w:type="dxa"/>
            <w:tcBorders>
              <w:top w:val="double" w:sz="4" w:space="0" w:color="auto"/>
              <w:bottom w:val="single" w:sz="2" w:space="0" w:color="auto"/>
            </w:tcBorders>
            <w:shd w:val="clear" w:color="auto" w:fill="E0E0E0"/>
            <w:vAlign w:val="bottom"/>
          </w:tcPr>
          <w:p w:rsidR="004E2069" w:rsidRPr="00DA4C7A" w:rsidRDefault="004E2069" w:rsidP="009541ED">
            <w:pPr>
              <w:ind w:right="104"/>
              <w:jc w:val="right"/>
              <w:rPr>
                <w:color w:val="000000"/>
                <w:sz w:val="22"/>
                <w:szCs w:val="24"/>
              </w:rPr>
            </w:pPr>
            <w:r w:rsidRPr="00DA4C7A">
              <w:rPr>
                <w:color w:val="000000"/>
                <w:sz w:val="22"/>
                <w:szCs w:val="24"/>
              </w:rPr>
              <w:t>100,0</w:t>
            </w:r>
          </w:p>
        </w:tc>
        <w:tc>
          <w:tcPr>
            <w:tcW w:w="1169" w:type="dxa"/>
            <w:tcBorders>
              <w:top w:val="double" w:sz="4" w:space="0" w:color="auto"/>
              <w:bottom w:val="single" w:sz="2" w:space="0" w:color="auto"/>
            </w:tcBorders>
            <w:shd w:val="clear" w:color="auto" w:fill="E0E0E0"/>
            <w:vAlign w:val="bottom"/>
          </w:tcPr>
          <w:p w:rsidR="004E2069" w:rsidRPr="00DA4C7A" w:rsidRDefault="004E2069" w:rsidP="0080373F">
            <w:pPr>
              <w:jc w:val="right"/>
              <w:rPr>
                <w:color w:val="000000"/>
                <w:sz w:val="22"/>
                <w:szCs w:val="24"/>
              </w:rPr>
            </w:pPr>
            <w:r w:rsidRPr="00DA4C7A">
              <w:rPr>
                <w:color w:val="000000"/>
                <w:sz w:val="22"/>
                <w:szCs w:val="24"/>
              </w:rPr>
              <w:t>8 412,0</w:t>
            </w:r>
          </w:p>
        </w:tc>
        <w:tc>
          <w:tcPr>
            <w:tcW w:w="1170" w:type="dxa"/>
            <w:tcBorders>
              <w:top w:val="double" w:sz="4" w:space="0" w:color="auto"/>
              <w:bottom w:val="single" w:sz="2" w:space="0" w:color="auto"/>
            </w:tcBorders>
            <w:shd w:val="clear" w:color="auto" w:fill="E0E0E0"/>
            <w:vAlign w:val="bottom"/>
          </w:tcPr>
          <w:p w:rsidR="004E2069" w:rsidRPr="00DA4C7A" w:rsidRDefault="004E2069" w:rsidP="009541ED">
            <w:pPr>
              <w:ind w:right="134"/>
              <w:jc w:val="right"/>
              <w:rPr>
                <w:color w:val="000000"/>
                <w:sz w:val="22"/>
                <w:szCs w:val="24"/>
              </w:rPr>
            </w:pPr>
            <w:r w:rsidRPr="00DA4C7A">
              <w:rPr>
                <w:color w:val="000000"/>
                <w:sz w:val="22"/>
                <w:szCs w:val="24"/>
              </w:rPr>
              <w:t>100,0</w:t>
            </w:r>
          </w:p>
        </w:tc>
        <w:tc>
          <w:tcPr>
            <w:tcW w:w="1134" w:type="dxa"/>
            <w:tcBorders>
              <w:top w:val="double" w:sz="4" w:space="0" w:color="auto"/>
              <w:bottom w:val="single" w:sz="2" w:space="0" w:color="auto"/>
            </w:tcBorders>
            <w:shd w:val="clear" w:color="auto" w:fill="E0E0E0"/>
            <w:vAlign w:val="bottom"/>
          </w:tcPr>
          <w:p w:rsidR="004E2069" w:rsidRPr="00DA4C7A" w:rsidRDefault="004E2069" w:rsidP="009541ED">
            <w:pPr>
              <w:ind w:right="134"/>
              <w:jc w:val="right"/>
              <w:rPr>
                <w:color w:val="000000"/>
                <w:sz w:val="22"/>
                <w:szCs w:val="24"/>
              </w:rPr>
            </w:pPr>
            <w:r w:rsidRPr="00DA4C7A">
              <w:rPr>
                <w:color w:val="000000"/>
                <w:sz w:val="22"/>
                <w:szCs w:val="24"/>
              </w:rPr>
              <w:t>133,9</w:t>
            </w:r>
          </w:p>
        </w:tc>
      </w:tr>
      <w:tr w:rsidR="004E2069" w:rsidRPr="00DA4C7A" w:rsidTr="009541ED">
        <w:tc>
          <w:tcPr>
            <w:tcW w:w="3828" w:type="dxa"/>
            <w:tcBorders>
              <w:top w:val="single" w:sz="2" w:space="0" w:color="auto"/>
            </w:tcBorders>
          </w:tcPr>
          <w:p w:rsidR="004E2069" w:rsidRDefault="004E2069" w:rsidP="00E3561A">
            <w:pPr>
              <w:widowControl w:val="0"/>
              <w:ind w:firstLine="176"/>
              <w:rPr>
                <w:color w:val="000000"/>
                <w:sz w:val="22"/>
                <w:szCs w:val="24"/>
              </w:rPr>
            </w:pPr>
            <w:r>
              <w:rPr>
                <w:color w:val="000000"/>
                <w:sz w:val="22"/>
                <w:szCs w:val="24"/>
              </w:rPr>
              <w:t>из них:</w:t>
            </w:r>
          </w:p>
        </w:tc>
        <w:tc>
          <w:tcPr>
            <w:tcW w:w="1169" w:type="dxa"/>
            <w:tcBorders>
              <w:top w:val="single" w:sz="2" w:space="0" w:color="auto"/>
            </w:tcBorders>
            <w:vAlign w:val="bottom"/>
          </w:tcPr>
          <w:p w:rsidR="004E2069" w:rsidRPr="00DA4C7A" w:rsidRDefault="004E2069" w:rsidP="0080373F">
            <w:pPr>
              <w:jc w:val="right"/>
              <w:rPr>
                <w:color w:val="000000"/>
                <w:sz w:val="22"/>
                <w:szCs w:val="24"/>
              </w:rPr>
            </w:pPr>
          </w:p>
        </w:tc>
        <w:tc>
          <w:tcPr>
            <w:tcW w:w="1169" w:type="dxa"/>
            <w:tcBorders>
              <w:top w:val="single" w:sz="2" w:space="0" w:color="auto"/>
            </w:tcBorders>
            <w:vAlign w:val="bottom"/>
          </w:tcPr>
          <w:p w:rsidR="004E2069" w:rsidRPr="00DA4C7A" w:rsidRDefault="004E2069" w:rsidP="009541ED">
            <w:pPr>
              <w:ind w:right="104"/>
              <w:jc w:val="right"/>
              <w:rPr>
                <w:color w:val="000000"/>
                <w:sz w:val="22"/>
                <w:szCs w:val="24"/>
              </w:rPr>
            </w:pPr>
          </w:p>
        </w:tc>
        <w:tc>
          <w:tcPr>
            <w:tcW w:w="1169" w:type="dxa"/>
            <w:tcBorders>
              <w:top w:val="single" w:sz="2" w:space="0" w:color="auto"/>
            </w:tcBorders>
            <w:vAlign w:val="bottom"/>
          </w:tcPr>
          <w:p w:rsidR="004E2069" w:rsidRPr="00DA4C7A" w:rsidRDefault="004E2069" w:rsidP="0080373F">
            <w:pPr>
              <w:jc w:val="right"/>
              <w:rPr>
                <w:color w:val="000000"/>
                <w:sz w:val="22"/>
                <w:szCs w:val="24"/>
              </w:rPr>
            </w:pPr>
          </w:p>
        </w:tc>
        <w:tc>
          <w:tcPr>
            <w:tcW w:w="1170" w:type="dxa"/>
            <w:tcBorders>
              <w:top w:val="single" w:sz="2" w:space="0" w:color="auto"/>
            </w:tcBorders>
            <w:vAlign w:val="bottom"/>
          </w:tcPr>
          <w:p w:rsidR="004E2069" w:rsidRPr="00DA4C7A" w:rsidRDefault="004E2069" w:rsidP="009541ED">
            <w:pPr>
              <w:ind w:right="134"/>
              <w:jc w:val="right"/>
              <w:rPr>
                <w:color w:val="000000"/>
                <w:sz w:val="22"/>
                <w:szCs w:val="24"/>
              </w:rPr>
            </w:pPr>
          </w:p>
        </w:tc>
        <w:tc>
          <w:tcPr>
            <w:tcW w:w="1134" w:type="dxa"/>
            <w:tcBorders>
              <w:top w:val="single" w:sz="2" w:space="0" w:color="auto"/>
            </w:tcBorders>
            <w:vAlign w:val="bottom"/>
          </w:tcPr>
          <w:p w:rsidR="004E2069" w:rsidRPr="00DA4C7A" w:rsidRDefault="004E2069" w:rsidP="009541ED">
            <w:pPr>
              <w:ind w:right="134"/>
              <w:jc w:val="right"/>
              <w:rPr>
                <w:color w:val="000000"/>
                <w:sz w:val="22"/>
                <w:szCs w:val="24"/>
              </w:rPr>
            </w:pPr>
          </w:p>
        </w:tc>
      </w:tr>
      <w:tr w:rsidR="004E2069" w:rsidRPr="00DA4C7A" w:rsidTr="009541ED">
        <w:tc>
          <w:tcPr>
            <w:tcW w:w="3828" w:type="dxa"/>
          </w:tcPr>
          <w:p w:rsidR="004E2069" w:rsidRPr="00DA4C7A" w:rsidRDefault="004E2069" w:rsidP="0080373F">
            <w:pPr>
              <w:widowControl w:val="0"/>
              <w:tabs>
                <w:tab w:val="left" w:pos="231"/>
              </w:tabs>
              <w:ind w:left="176"/>
              <w:rPr>
                <w:color w:val="000000"/>
                <w:sz w:val="22"/>
                <w:szCs w:val="24"/>
              </w:rPr>
            </w:pPr>
            <w:r w:rsidRPr="00DA4C7A">
              <w:rPr>
                <w:color w:val="000000"/>
                <w:sz w:val="22"/>
                <w:szCs w:val="24"/>
              </w:rPr>
              <w:t>денежные средства</w:t>
            </w:r>
          </w:p>
        </w:tc>
        <w:tc>
          <w:tcPr>
            <w:tcW w:w="1169" w:type="dxa"/>
            <w:vAlign w:val="bottom"/>
          </w:tcPr>
          <w:p w:rsidR="004E2069" w:rsidRPr="00DA4C7A" w:rsidRDefault="004E2069" w:rsidP="0080373F">
            <w:pPr>
              <w:jc w:val="right"/>
              <w:rPr>
                <w:color w:val="000000"/>
                <w:sz w:val="22"/>
                <w:szCs w:val="24"/>
              </w:rPr>
            </w:pPr>
            <w:r w:rsidRPr="00DA4C7A">
              <w:rPr>
                <w:color w:val="000000"/>
                <w:sz w:val="22"/>
                <w:szCs w:val="24"/>
              </w:rPr>
              <w:t>554,7</w:t>
            </w:r>
          </w:p>
        </w:tc>
        <w:tc>
          <w:tcPr>
            <w:tcW w:w="1169" w:type="dxa"/>
            <w:vAlign w:val="bottom"/>
          </w:tcPr>
          <w:p w:rsidR="004E2069" w:rsidRPr="00DA4C7A" w:rsidRDefault="004E2069" w:rsidP="009541ED">
            <w:pPr>
              <w:ind w:right="104"/>
              <w:jc w:val="right"/>
              <w:rPr>
                <w:color w:val="000000"/>
                <w:sz w:val="22"/>
                <w:szCs w:val="24"/>
              </w:rPr>
            </w:pPr>
            <w:r w:rsidRPr="00DA4C7A">
              <w:rPr>
                <w:color w:val="000000"/>
                <w:sz w:val="22"/>
                <w:szCs w:val="24"/>
              </w:rPr>
              <w:t>8,8</w:t>
            </w:r>
          </w:p>
        </w:tc>
        <w:tc>
          <w:tcPr>
            <w:tcW w:w="1169" w:type="dxa"/>
            <w:vAlign w:val="bottom"/>
          </w:tcPr>
          <w:p w:rsidR="004E2069" w:rsidRPr="00DA4C7A" w:rsidRDefault="004E2069" w:rsidP="0080373F">
            <w:pPr>
              <w:jc w:val="right"/>
              <w:rPr>
                <w:color w:val="000000"/>
                <w:sz w:val="22"/>
                <w:szCs w:val="24"/>
              </w:rPr>
            </w:pPr>
            <w:r w:rsidRPr="00DA4C7A">
              <w:rPr>
                <w:color w:val="000000"/>
                <w:sz w:val="22"/>
                <w:szCs w:val="24"/>
              </w:rPr>
              <w:t>458,0</w:t>
            </w:r>
          </w:p>
        </w:tc>
        <w:tc>
          <w:tcPr>
            <w:tcW w:w="1170" w:type="dxa"/>
            <w:vAlign w:val="bottom"/>
          </w:tcPr>
          <w:p w:rsidR="004E2069" w:rsidRPr="00DA4C7A" w:rsidRDefault="004E2069" w:rsidP="009541ED">
            <w:pPr>
              <w:ind w:right="134"/>
              <w:jc w:val="right"/>
              <w:rPr>
                <w:color w:val="000000"/>
                <w:sz w:val="22"/>
                <w:szCs w:val="24"/>
              </w:rPr>
            </w:pPr>
            <w:r w:rsidRPr="00DA4C7A">
              <w:rPr>
                <w:color w:val="000000"/>
                <w:sz w:val="22"/>
                <w:szCs w:val="24"/>
              </w:rPr>
              <w:t>5,4</w:t>
            </w:r>
          </w:p>
        </w:tc>
        <w:tc>
          <w:tcPr>
            <w:tcW w:w="1134" w:type="dxa"/>
            <w:vAlign w:val="bottom"/>
          </w:tcPr>
          <w:p w:rsidR="004E2069" w:rsidRPr="00DA4C7A" w:rsidRDefault="004E2069" w:rsidP="009541ED">
            <w:pPr>
              <w:ind w:right="134"/>
              <w:jc w:val="right"/>
              <w:rPr>
                <w:color w:val="000000"/>
                <w:sz w:val="22"/>
                <w:szCs w:val="24"/>
              </w:rPr>
            </w:pPr>
            <w:r w:rsidRPr="00DA4C7A">
              <w:rPr>
                <w:color w:val="000000"/>
                <w:sz w:val="22"/>
                <w:szCs w:val="24"/>
              </w:rPr>
              <w:t>82,6</w:t>
            </w:r>
          </w:p>
        </w:tc>
      </w:tr>
      <w:tr w:rsidR="004E2069" w:rsidRPr="00DA4C7A" w:rsidTr="009541ED">
        <w:tc>
          <w:tcPr>
            <w:tcW w:w="3828" w:type="dxa"/>
          </w:tcPr>
          <w:p w:rsidR="004E2069" w:rsidRPr="00DA4C7A" w:rsidRDefault="004E2069" w:rsidP="0080373F">
            <w:pPr>
              <w:widowControl w:val="0"/>
              <w:tabs>
                <w:tab w:val="left" w:pos="231"/>
              </w:tabs>
              <w:ind w:left="176"/>
              <w:rPr>
                <w:color w:val="000000"/>
                <w:sz w:val="22"/>
                <w:szCs w:val="24"/>
              </w:rPr>
            </w:pPr>
            <w:r w:rsidRPr="00DA4C7A">
              <w:rPr>
                <w:color w:val="000000"/>
                <w:sz w:val="22"/>
                <w:szCs w:val="24"/>
              </w:rPr>
              <w:t>корреспондентские счета</w:t>
            </w:r>
          </w:p>
        </w:tc>
        <w:tc>
          <w:tcPr>
            <w:tcW w:w="1169" w:type="dxa"/>
            <w:vAlign w:val="bottom"/>
          </w:tcPr>
          <w:p w:rsidR="004E2069" w:rsidRPr="00DA4C7A" w:rsidRDefault="004E2069" w:rsidP="0080373F">
            <w:pPr>
              <w:jc w:val="right"/>
              <w:rPr>
                <w:color w:val="000000"/>
                <w:sz w:val="22"/>
                <w:szCs w:val="24"/>
              </w:rPr>
            </w:pPr>
            <w:r w:rsidRPr="00DA4C7A">
              <w:rPr>
                <w:color w:val="000000"/>
                <w:sz w:val="22"/>
                <w:szCs w:val="24"/>
              </w:rPr>
              <w:t>1 070,7</w:t>
            </w:r>
          </w:p>
        </w:tc>
        <w:tc>
          <w:tcPr>
            <w:tcW w:w="1169" w:type="dxa"/>
            <w:vAlign w:val="bottom"/>
          </w:tcPr>
          <w:p w:rsidR="004E2069" w:rsidRPr="00DA4C7A" w:rsidRDefault="004E2069" w:rsidP="009541ED">
            <w:pPr>
              <w:ind w:right="104"/>
              <w:jc w:val="right"/>
              <w:rPr>
                <w:color w:val="000000"/>
                <w:sz w:val="22"/>
                <w:szCs w:val="24"/>
              </w:rPr>
            </w:pPr>
            <w:r w:rsidRPr="00DA4C7A">
              <w:rPr>
                <w:color w:val="000000"/>
                <w:sz w:val="22"/>
                <w:szCs w:val="24"/>
              </w:rPr>
              <w:t>17,0</w:t>
            </w:r>
          </w:p>
        </w:tc>
        <w:tc>
          <w:tcPr>
            <w:tcW w:w="1169" w:type="dxa"/>
            <w:vAlign w:val="bottom"/>
          </w:tcPr>
          <w:p w:rsidR="004E2069" w:rsidRPr="00DA4C7A" w:rsidRDefault="004E2069" w:rsidP="0080373F">
            <w:pPr>
              <w:jc w:val="right"/>
              <w:rPr>
                <w:color w:val="000000"/>
                <w:sz w:val="22"/>
                <w:szCs w:val="24"/>
              </w:rPr>
            </w:pPr>
            <w:r w:rsidRPr="00DA4C7A">
              <w:rPr>
                <w:color w:val="000000"/>
                <w:sz w:val="22"/>
                <w:szCs w:val="24"/>
              </w:rPr>
              <w:t>935,2</w:t>
            </w:r>
          </w:p>
        </w:tc>
        <w:tc>
          <w:tcPr>
            <w:tcW w:w="1170" w:type="dxa"/>
            <w:vAlign w:val="bottom"/>
          </w:tcPr>
          <w:p w:rsidR="004E2069" w:rsidRPr="00DA4C7A" w:rsidRDefault="004E2069" w:rsidP="009541ED">
            <w:pPr>
              <w:ind w:right="134"/>
              <w:jc w:val="right"/>
              <w:rPr>
                <w:color w:val="000000"/>
                <w:sz w:val="22"/>
                <w:szCs w:val="24"/>
              </w:rPr>
            </w:pPr>
            <w:r w:rsidRPr="00DA4C7A">
              <w:rPr>
                <w:color w:val="000000"/>
                <w:sz w:val="22"/>
                <w:szCs w:val="24"/>
              </w:rPr>
              <w:t>11,1</w:t>
            </w:r>
          </w:p>
        </w:tc>
        <w:tc>
          <w:tcPr>
            <w:tcW w:w="1134" w:type="dxa"/>
            <w:vAlign w:val="bottom"/>
          </w:tcPr>
          <w:p w:rsidR="004E2069" w:rsidRPr="00DA4C7A" w:rsidRDefault="004E2069" w:rsidP="009541ED">
            <w:pPr>
              <w:ind w:right="134"/>
              <w:jc w:val="right"/>
              <w:rPr>
                <w:color w:val="000000"/>
                <w:sz w:val="22"/>
                <w:szCs w:val="24"/>
              </w:rPr>
            </w:pPr>
            <w:r w:rsidRPr="00DA4C7A">
              <w:rPr>
                <w:color w:val="000000"/>
                <w:sz w:val="22"/>
                <w:szCs w:val="24"/>
              </w:rPr>
              <w:t>87,3</w:t>
            </w:r>
          </w:p>
        </w:tc>
      </w:tr>
      <w:tr w:rsidR="004E2069" w:rsidRPr="00DA4C7A" w:rsidTr="009541ED">
        <w:tc>
          <w:tcPr>
            <w:tcW w:w="3828" w:type="dxa"/>
          </w:tcPr>
          <w:p w:rsidR="004E2069" w:rsidRPr="00DA4C7A" w:rsidRDefault="004E2069" w:rsidP="0080373F">
            <w:pPr>
              <w:widowControl w:val="0"/>
              <w:tabs>
                <w:tab w:val="left" w:pos="231"/>
              </w:tabs>
              <w:ind w:left="176"/>
              <w:rPr>
                <w:color w:val="000000"/>
                <w:sz w:val="22"/>
                <w:szCs w:val="24"/>
              </w:rPr>
            </w:pPr>
            <w:r w:rsidRPr="00DA4C7A">
              <w:rPr>
                <w:color w:val="000000"/>
                <w:sz w:val="22"/>
                <w:szCs w:val="24"/>
              </w:rPr>
              <w:t>вложения в ценные бумаги</w:t>
            </w:r>
          </w:p>
        </w:tc>
        <w:tc>
          <w:tcPr>
            <w:tcW w:w="1169" w:type="dxa"/>
            <w:vAlign w:val="bottom"/>
          </w:tcPr>
          <w:p w:rsidR="004E2069" w:rsidRPr="00DA4C7A" w:rsidRDefault="004E2069" w:rsidP="0080373F">
            <w:pPr>
              <w:jc w:val="right"/>
              <w:rPr>
                <w:color w:val="000000"/>
                <w:sz w:val="22"/>
                <w:szCs w:val="24"/>
              </w:rPr>
            </w:pPr>
            <w:r w:rsidRPr="00DA4C7A">
              <w:rPr>
                <w:color w:val="000000"/>
                <w:sz w:val="22"/>
                <w:szCs w:val="24"/>
              </w:rPr>
              <w:t>21,5</w:t>
            </w:r>
          </w:p>
        </w:tc>
        <w:tc>
          <w:tcPr>
            <w:tcW w:w="1169" w:type="dxa"/>
            <w:vAlign w:val="bottom"/>
          </w:tcPr>
          <w:p w:rsidR="004E2069" w:rsidRPr="00DA4C7A" w:rsidRDefault="004E2069" w:rsidP="009541ED">
            <w:pPr>
              <w:ind w:right="104"/>
              <w:jc w:val="right"/>
              <w:rPr>
                <w:color w:val="000000"/>
                <w:sz w:val="22"/>
                <w:szCs w:val="24"/>
              </w:rPr>
            </w:pPr>
            <w:r w:rsidRPr="00DA4C7A">
              <w:rPr>
                <w:color w:val="000000"/>
                <w:sz w:val="22"/>
                <w:szCs w:val="24"/>
              </w:rPr>
              <w:t>0,3</w:t>
            </w:r>
          </w:p>
        </w:tc>
        <w:tc>
          <w:tcPr>
            <w:tcW w:w="1169" w:type="dxa"/>
            <w:vAlign w:val="bottom"/>
          </w:tcPr>
          <w:p w:rsidR="004E2069" w:rsidRPr="00DA4C7A" w:rsidRDefault="004E2069" w:rsidP="0080373F">
            <w:pPr>
              <w:jc w:val="right"/>
              <w:rPr>
                <w:color w:val="000000"/>
                <w:sz w:val="22"/>
                <w:szCs w:val="24"/>
              </w:rPr>
            </w:pPr>
            <w:r w:rsidRPr="00DA4C7A">
              <w:rPr>
                <w:color w:val="000000"/>
                <w:sz w:val="22"/>
                <w:szCs w:val="24"/>
              </w:rPr>
              <w:t>31,1</w:t>
            </w:r>
          </w:p>
        </w:tc>
        <w:tc>
          <w:tcPr>
            <w:tcW w:w="1170" w:type="dxa"/>
            <w:vAlign w:val="bottom"/>
          </w:tcPr>
          <w:p w:rsidR="004E2069" w:rsidRPr="00DA4C7A" w:rsidRDefault="004E2069" w:rsidP="009541ED">
            <w:pPr>
              <w:ind w:right="134"/>
              <w:jc w:val="right"/>
              <w:rPr>
                <w:color w:val="000000"/>
                <w:sz w:val="22"/>
                <w:szCs w:val="24"/>
              </w:rPr>
            </w:pPr>
            <w:r w:rsidRPr="00DA4C7A">
              <w:rPr>
                <w:color w:val="000000"/>
                <w:sz w:val="22"/>
                <w:szCs w:val="24"/>
              </w:rPr>
              <w:t>0,4</w:t>
            </w:r>
          </w:p>
        </w:tc>
        <w:tc>
          <w:tcPr>
            <w:tcW w:w="1134" w:type="dxa"/>
            <w:vAlign w:val="bottom"/>
          </w:tcPr>
          <w:p w:rsidR="004E2069" w:rsidRPr="00DA4C7A" w:rsidRDefault="004E2069" w:rsidP="009541ED">
            <w:pPr>
              <w:ind w:right="134"/>
              <w:jc w:val="right"/>
              <w:rPr>
                <w:color w:val="000000"/>
                <w:sz w:val="22"/>
                <w:szCs w:val="24"/>
              </w:rPr>
            </w:pPr>
            <w:r w:rsidRPr="00DA4C7A">
              <w:rPr>
                <w:color w:val="000000"/>
                <w:sz w:val="22"/>
                <w:szCs w:val="24"/>
              </w:rPr>
              <w:t>144,4</w:t>
            </w:r>
          </w:p>
        </w:tc>
      </w:tr>
      <w:tr w:rsidR="004E2069" w:rsidRPr="00DA4C7A" w:rsidTr="009541ED">
        <w:tc>
          <w:tcPr>
            <w:tcW w:w="3828" w:type="dxa"/>
          </w:tcPr>
          <w:p w:rsidR="004E2069" w:rsidRPr="00DA4C7A" w:rsidRDefault="004E2069" w:rsidP="00E3561A">
            <w:pPr>
              <w:widowControl w:val="0"/>
              <w:tabs>
                <w:tab w:val="left" w:pos="231"/>
              </w:tabs>
              <w:ind w:left="176" w:right="-133"/>
              <w:rPr>
                <w:color w:val="000000"/>
                <w:sz w:val="22"/>
                <w:szCs w:val="24"/>
              </w:rPr>
            </w:pPr>
            <w:r>
              <w:rPr>
                <w:color w:val="000000"/>
                <w:sz w:val="22"/>
                <w:szCs w:val="24"/>
              </w:rPr>
              <w:t xml:space="preserve"> </w:t>
            </w:r>
            <w:r w:rsidRPr="00DA4C7A">
              <w:rPr>
                <w:color w:val="000000"/>
                <w:sz w:val="22"/>
                <w:szCs w:val="24"/>
              </w:rPr>
              <w:t>чистая задолженность по кредитам</w:t>
            </w:r>
            <w:r w:rsidRPr="00DA4C7A">
              <w:rPr>
                <w:color w:val="000000"/>
                <w:sz w:val="22"/>
                <w:szCs w:val="24"/>
              </w:rPr>
              <w:br/>
              <w:t xml:space="preserve"> и приравненным к ним средствам</w:t>
            </w:r>
          </w:p>
        </w:tc>
        <w:tc>
          <w:tcPr>
            <w:tcW w:w="1169" w:type="dxa"/>
            <w:vAlign w:val="bottom"/>
          </w:tcPr>
          <w:p w:rsidR="004E2069" w:rsidRPr="00DA4C7A" w:rsidRDefault="004E2069" w:rsidP="0080373F">
            <w:pPr>
              <w:jc w:val="right"/>
              <w:rPr>
                <w:color w:val="000000"/>
                <w:sz w:val="22"/>
                <w:szCs w:val="24"/>
              </w:rPr>
            </w:pPr>
            <w:r w:rsidRPr="00DA4C7A">
              <w:rPr>
                <w:color w:val="000000"/>
                <w:sz w:val="22"/>
                <w:szCs w:val="24"/>
              </w:rPr>
              <w:t>3 655,2</w:t>
            </w:r>
          </w:p>
        </w:tc>
        <w:tc>
          <w:tcPr>
            <w:tcW w:w="1169" w:type="dxa"/>
            <w:vAlign w:val="bottom"/>
          </w:tcPr>
          <w:p w:rsidR="004E2069" w:rsidRPr="00DA4C7A" w:rsidRDefault="004E2069" w:rsidP="009541ED">
            <w:pPr>
              <w:ind w:right="104"/>
              <w:jc w:val="right"/>
              <w:rPr>
                <w:color w:val="000000"/>
                <w:sz w:val="22"/>
                <w:szCs w:val="24"/>
              </w:rPr>
            </w:pPr>
            <w:r w:rsidRPr="00DA4C7A">
              <w:rPr>
                <w:color w:val="000000"/>
                <w:sz w:val="22"/>
                <w:szCs w:val="24"/>
              </w:rPr>
              <w:t>58,2</w:t>
            </w:r>
          </w:p>
        </w:tc>
        <w:tc>
          <w:tcPr>
            <w:tcW w:w="1169" w:type="dxa"/>
            <w:vAlign w:val="bottom"/>
          </w:tcPr>
          <w:p w:rsidR="004E2069" w:rsidRPr="00DA4C7A" w:rsidRDefault="004E2069" w:rsidP="0080373F">
            <w:pPr>
              <w:jc w:val="right"/>
              <w:rPr>
                <w:color w:val="000000"/>
                <w:sz w:val="22"/>
                <w:szCs w:val="24"/>
              </w:rPr>
            </w:pPr>
            <w:r w:rsidRPr="00DA4C7A">
              <w:rPr>
                <w:color w:val="000000"/>
                <w:sz w:val="22"/>
                <w:szCs w:val="24"/>
              </w:rPr>
              <w:t>3 821,0</w:t>
            </w:r>
          </w:p>
        </w:tc>
        <w:tc>
          <w:tcPr>
            <w:tcW w:w="1170" w:type="dxa"/>
            <w:vAlign w:val="bottom"/>
          </w:tcPr>
          <w:p w:rsidR="004E2069" w:rsidRPr="00DA4C7A" w:rsidRDefault="004E2069" w:rsidP="009541ED">
            <w:pPr>
              <w:ind w:right="134"/>
              <w:jc w:val="right"/>
              <w:rPr>
                <w:color w:val="000000"/>
                <w:sz w:val="22"/>
                <w:szCs w:val="24"/>
              </w:rPr>
            </w:pPr>
            <w:r w:rsidRPr="00DA4C7A">
              <w:rPr>
                <w:color w:val="000000"/>
                <w:sz w:val="22"/>
                <w:szCs w:val="24"/>
              </w:rPr>
              <w:t>45,4</w:t>
            </w:r>
          </w:p>
        </w:tc>
        <w:tc>
          <w:tcPr>
            <w:tcW w:w="1134" w:type="dxa"/>
            <w:vAlign w:val="bottom"/>
          </w:tcPr>
          <w:p w:rsidR="004E2069" w:rsidRPr="00DA4C7A" w:rsidRDefault="004E2069" w:rsidP="009541ED">
            <w:pPr>
              <w:ind w:right="134"/>
              <w:jc w:val="right"/>
              <w:rPr>
                <w:color w:val="000000"/>
                <w:sz w:val="22"/>
                <w:szCs w:val="24"/>
              </w:rPr>
            </w:pPr>
            <w:r w:rsidRPr="00DA4C7A">
              <w:rPr>
                <w:color w:val="000000"/>
                <w:sz w:val="22"/>
                <w:szCs w:val="24"/>
              </w:rPr>
              <w:t>104,5</w:t>
            </w:r>
          </w:p>
        </w:tc>
      </w:tr>
      <w:tr w:rsidR="004E2069" w:rsidRPr="00DA4C7A" w:rsidTr="009541ED">
        <w:tc>
          <w:tcPr>
            <w:tcW w:w="3828" w:type="dxa"/>
          </w:tcPr>
          <w:p w:rsidR="004E2069" w:rsidRPr="00DA4C7A" w:rsidRDefault="004E2069" w:rsidP="004E2069">
            <w:pPr>
              <w:widowControl w:val="0"/>
              <w:ind w:firstLineChars="100" w:firstLine="31680"/>
              <w:jc w:val="right"/>
              <w:rPr>
                <w:i/>
                <w:iCs/>
                <w:color w:val="000000"/>
                <w:sz w:val="22"/>
                <w:szCs w:val="24"/>
              </w:rPr>
            </w:pPr>
            <w:r w:rsidRPr="00DA4C7A">
              <w:rPr>
                <w:i/>
                <w:iCs/>
                <w:color w:val="000000"/>
                <w:sz w:val="22"/>
                <w:szCs w:val="24"/>
              </w:rPr>
              <w:t>совокупная задолженность по кредитам и приравненным к ним средствам, всего</w:t>
            </w:r>
          </w:p>
        </w:tc>
        <w:tc>
          <w:tcPr>
            <w:tcW w:w="1169" w:type="dxa"/>
            <w:vAlign w:val="bottom"/>
          </w:tcPr>
          <w:p w:rsidR="004E2069" w:rsidRPr="00C74379" w:rsidRDefault="004E2069" w:rsidP="0080373F">
            <w:pPr>
              <w:jc w:val="right"/>
              <w:rPr>
                <w:i/>
                <w:color w:val="000000"/>
                <w:sz w:val="22"/>
                <w:szCs w:val="24"/>
              </w:rPr>
            </w:pPr>
            <w:r w:rsidRPr="00C74379">
              <w:rPr>
                <w:i/>
                <w:color w:val="000000"/>
                <w:sz w:val="22"/>
                <w:szCs w:val="24"/>
              </w:rPr>
              <w:t>4 062,1</w:t>
            </w:r>
          </w:p>
        </w:tc>
        <w:tc>
          <w:tcPr>
            <w:tcW w:w="1169" w:type="dxa"/>
            <w:vAlign w:val="bottom"/>
          </w:tcPr>
          <w:p w:rsidR="004E2069" w:rsidRPr="00C74379" w:rsidRDefault="004E2069" w:rsidP="009541ED">
            <w:pPr>
              <w:ind w:right="104"/>
              <w:jc w:val="right"/>
              <w:rPr>
                <w:i/>
                <w:color w:val="000000"/>
                <w:sz w:val="22"/>
                <w:szCs w:val="24"/>
              </w:rPr>
            </w:pPr>
            <w:r w:rsidRPr="00C74379">
              <w:rPr>
                <w:i/>
                <w:color w:val="000000"/>
                <w:sz w:val="22"/>
                <w:szCs w:val="24"/>
              </w:rPr>
              <w:t>64,7</w:t>
            </w:r>
          </w:p>
        </w:tc>
        <w:tc>
          <w:tcPr>
            <w:tcW w:w="1169" w:type="dxa"/>
            <w:vAlign w:val="bottom"/>
          </w:tcPr>
          <w:p w:rsidR="004E2069" w:rsidRPr="00C74379" w:rsidRDefault="004E2069" w:rsidP="0080373F">
            <w:pPr>
              <w:jc w:val="right"/>
              <w:rPr>
                <w:i/>
                <w:color w:val="000000"/>
                <w:sz w:val="22"/>
                <w:szCs w:val="24"/>
              </w:rPr>
            </w:pPr>
            <w:r w:rsidRPr="00C74379">
              <w:rPr>
                <w:i/>
                <w:color w:val="000000"/>
                <w:sz w:val="22"/>
                <w:szCs w:val="24"/>
              </w:rPr>
              <w:t>4 328,8</w:t>
            </w:r>
          </w:p>
        </w:tc>
        <w:tc>
          <w:tcPr>
            <w:tcW w:w="1170" w:type="dxa"/>
            <w:vAlign w:val="bottom"/>
          </w:tcPr>
          <w:p w:rsidR="004E2069" w:rsidRPr="00C74379" w:rsidRDefault="004E2069" w:rsidP="009541ED">
            <w:pPr>
              <w:ind w:right="134"/>
              <w:jc w:val="right"/>
              <w:rPr>
                <w:i/>
                <w:color w:val="000000"/>
                <w:sz w:val="22"/>
                <w:szCs w:val="24"/>
              </w:rPr>
            </w:pPr>
            <w:r w:rsidRPr="00C74379">
              <w:rPr>
                <w:i/>
                <w:color w:val="000000"/>
                <w:sz w:val="22"/>
                <w:szCs w:val="24"/>
              </w:rPr>
              <w:t>51,5</w:t>
            </w:r>
          </w:p>
        </w:tc>
        <w:tc>
          <w:tcPr>
            <w:tcW w:w="1134" w:type="dxa"/>
            <w:vAlign w:val="bottom"/>
          </w:tcPr>
          <w:p w:rsidR="004E2069" w:rsidRPr="00C74379" w:rsidRDefault="004E2069" w:rsidP="009541ED">
            <w:pPr>
              <w:ind w:right="134"/>
              <w:jc w:val="right"/>
              <w:rPr>
                <w:i/>
                <w:color w:val="000000"/>
                <w:sz w:val="22"/>
                <w:szCs w:val="24"/>
              </w:rPr>
            </w:pPr>
            <w:r w:rsidRPr="00C74379">
              <w:rPr>
                <w:i/>
                <w:color w:val="000000"/>
                <w:sz w:val="22"/>
                <w:szCs w:val="24"/>
              </w:rPr>
              <w:t>106,6</w:t>
            </w:r>
          </w:p>
        </w:tc>
      </w:tr>
      <w:tr w:rsidR="004E2069" w:rsidRPr="00DA4C7A" w:rsidTr="009541ED">
        <w:tc>
          <w:tcPr>
            <w:tcW w:w="3828" w:type="dxa"/>
          </w:tcPr>
          <w:p w:rsidR="004E2069" w:rsidRPr="00DA4C7A" w:rsidRDefault="004E2069" w:rsidP="004E2069">
            <w:pPr>
              <w:widowControl w:val="0"/>
              <w:ind w:firstLineChars="100" w:firstLine="31680"/>
              <w:jc w:val="right"/>
              <w:rPr>
                <w:i/>
                <w:iCs/>
                <w:color w:val="000000"/>
                <w:sz w:val="22"/>
                <w:szCs w:val="24"/>
              </w:rPr>
            </w:pPr>
            <w:r w:rsidRPr="00DA4C7A">
              <w:rPr>
                <w:i/>
                <w:iCs/>
                <w:color w:val="000000"/>
                <w:sz w:val="22"/>
                <w:szCs w:val="24"/>
              </w:rPr>
              <w:t>резерв по рискам</w:t>
            </w:r>
          </w:p>
        </w:tc>
        <w:tc>
          <w:tcPr>
            <w:tcW w:w="1169" w:type="dxa"/>
            <w:vAlign w:val="bottom"/>
          </w:tcPr>
          <w:p w:rsidR="004E2069" w:rsidRPr="00C74379" w:rsidRDefault="004E2069" w:rsidP="0080373F">
            <w:pPr>
              <w:jc w:val="right"/>
              <w:rPr>
                <w:i/>
                <w:color w:val="000000"/>
                <w:sz w:val="22"/>
                <w:szCs w:val="24"/>
              </w:rPr>
            </w:pPr>
            <w:r w:rsidRPr="00C74379">
              <w:rPr>
                <w:i/>
                <w:color w:val="000000"/>
                <w:sz w:val="22"/>
                <w:szCs w:val="24"/>
              </w:rPr>
              <w:t>-406,9</w:t>
            </w:r>
          </w:p>
        </w:tc>
        <w:tc>
          <w:tcPr>
            <w:tcW w:w="1169" w:type="dxa"/>
            <w:vAlign w:val="bottom"/>
          </w:tcPr>
          <w:p w:rsidR="004E2069" w:rsidRPr="00C74379" w:rsidRDefault="004E2069" w:rsidP="009541ED">
            <w:pPr>
              <w:ind w:right="104"/>
              <w:jc w:val="right"/>
              <w:rPr>
                <w:i/>
                <w:color w:val="000000"/>
                <w:sz w:val="22"/>
                <w:szCs w:val="24"/>
              </w:rPr>
            </w:pPr>
            <w:r w:rsidRPr="00C74379">
              <w:rPr>
                <w:i/>
                <w:color w:val="000000"/>
                <w:sz w:val="22"/>
                <w:szCs w:val="24"/>
              </w:rPr>
              <w:t>-6,5</w:t>
            </w:r>
          </w:p>
        </w:tc>
        <w:tc>
          <w:tcPr>
            <w:tcW w:w="1169" w:type="dxa"/>
            <w:vAlign w:val="bottom"/>
          </w:tcPr>
          <w:p w:rsidR="004E2069" w:rsidRPr="00C74379" w:rsidRDefault="004E2069" w:rsidP="0080373F">
            <w:pPr>
              <w:jc w:val="right"/>
              <w:rPr>
                <w:i/>
                <w:color w:val="000000"/>
                <w:sz w:val="22"/>
                <w:szCs w:val="24"/>
              </w:rPr>
            </w:pPr>
            <w:r w:rsidRPr="00C74379">
              <w:rPr>
                <w:i/>
                <w:color w:val="000000"/>
                <w:sz w:val="22"/>
                <w:szCs w:val="24"/>
              </w:rPr>
              <w:t>-507,8</w:t>
            </w:r>
          </w:p>
        </w:tc>
        <w:tc>
          <w:tcPr>
            <w:tcW w:w="1170" w:type="dxa"/>
            <w:vAlign w:val="bottom"/>
          </w:tcPr>
          <w:p w:rsidR="004E2069" w:rsidRPr="00C74379" w:rsidRDefault="004E2069" w:rsidP="009541ED">
            <w:pPr>
              <w:ind w:right="134"/>
              <w:jc w:val="right"/>
              <w:rPr>
                <w:i/>
                <w:color w:val="000000"/>
                <w:sz w:val="22"/>
                <w:szCs w:val="24"/>
              </w:rPr>
            </w:pPr>
            <w:r w:rsidRPr="00C74379">
              <w:rPr>
                <w:i/>
                <w:color w:val="000000"/>
                <w:sz w:val="22"/>
                <w:szCs w:val="24"/>
              </w:rPr>
              <w:t>-6,0</w:t>
            </w:r>
          </w:p>
        </w:tc>
        <w:tc>
          <w:tcPr>
            <w:tcW w:w="1134" w:type="dxa"/>
            <w:vAlign w:val="bottom"/>
          </w:tcPr>
          <w:p w:rsidR="004E2069" w:rsidRPr="00C74379" w:rsidRDefault="004E2069" w:rsidP="009541ED">
            <w:pPr>
              <w:ind w:right="134"/>
              <w:jc w:val="right"/>
              <w:rPr>
                <w:i/>
                <w:color w:val="000000"/>
                <w:sz w:val="22"/>
                <w:szCs w:val="24"/>
              </w:rPr>
            </w:pPr>
            <w:r w:rsidRPr="00C74379">
              <w:rPr>
                <w:i/>
                <w:color w:val="000000"/>
                <w:sz w:val="22"/>
                <w:szCs w:val="24"/>
              </w:rPr>
              <w:t>124,8</w:t>
            </w:r>
          </w:p>
        </w:tc>
      </w:tr>
      <w:tr w:rsidR="004E2069" w:rsidRPr="00DA4C7A" w:rsidTr="009541ED">
        <w:tc>
          <w:tcPr>
            <w:tcW w:w="3828" w:type="dxa"/>
            <w:tcBorders>
              <w:top w:val="nil"/>
            </w:tcBorders>
          </w:tcPr>
          <w:p w:rsidR="004E2069" w:rsidRPr="00DA4C7A" w:rsidRDefault="004E2069" w:rsidP="00E3561A">
            <w:pPr>
              <w:widowControl w:val="0"/>
              <w:ind w:firstLine="176"/>
              <w:rPr>
                <w:color w:val="000000"/>
                <w:sz w:val="22"/>
                <w:szCs w:val="24"/>
              </w:rPr>
            </w:pPr>
            <w:r>
              <w:rPr>
                <w:color w:val="000000"/>
                <w:sz w:val="22"/>
                <w:szCs w:val="24"/>
              </w:rPr>
              <w:t xml:space="preserve"> </w:t>
            </w:r>
            <w:r w:rsidRPr="00DA4C7A">
              <w:rPr>
                <w:color w:val="000000"/>
                <w:sz w:val="22"/>
                <w:szCs w:val="24"/>
              </w:rPr>
              <w:t xml:space="preserve">имущество </w:t>
            </w:r>
          </w:p>
        </w:tc>
        <w:tc>
          <w:tcPr>
            <w:tcW w:w="1169" w:type="dxa"/>
            <w:tcBorders>
              <w:top w:val="nil"/>
            </w:tcBorders>
            <w:vAlign w:val="bottom"/>
          </w:tcPr>
          <w:p w:rsidR="004E2069" w:rsidRPr="00DA4C7A" w:rsidRDefault="004E2069" w:rsidP="0080373F">
            <w:pPr>
              <w:jc w:val="right"/>
              <w:rPr>
                <w:color w:val="000000"/>
                <w:sz w:val="22"/>
                <w:szCs w:val="24"/>
              </w:rPr>
            </w:pPr>
            <w:r w:rsidRPr="00DA4C7A">
              <w:rPr>
                <w:color w:val="000000"/>
                <w:sz w:val="22"/>
                <w:szCs w:val="24"/>
              </w:rPr>
              <w:t>330,1</w:t>
            </w:r>
          </w:p>
        </w:tc>
        <w:tc>
          <w:tcPr>
            <w:tcW w:w="1169" w:type="dxa"/>
            <w:tcBorders>
              <w:top w:val="nil"/>
            </w:tcBorders>
            <w:vAlign w:val="bottom"/>
          </w:tcPr>
          <w:p w:rsidR="004E2069" w:rsidRPr="00DA4C7A" w:rsidRDefault="004E2069" w:rsidP="009541ED">
            <w:pPr>
              <w:ind w:right="104"/>
              <w:jc w:val="right"/>
              <w:rPr>
                <w:color w:val="000000"/>
                <w:sz w:val="22"/>
                <w:szCs w:val="24"/>
              </w:rPr>
            </w:pPr>
            <w:r w:rsidRPr="00DA4C7A">
              <w:rPr>
                <w:color w:val="000000"/>
                <w:sz w:val="22"/>
                <w:szCs w:val="24"/>
              </w:rPr>
              <w:t>5,3</w:t>
            </w:r>
          </w:p>
        </w:tc>
        <w:tc>
          <w:tcPr>
            <w:tcW w:w="1169" w:type="dxa"/>
            <w:tcBorders>
              <w:top w:val="nil"/>
            </w:tcBorders>
            <w:vAlign w:val="bottom"/>
          </w:tcPr>
          <w:p w:rsidR="004E2069" w:rsidRPr="00DA4C7A" w:rsidRDefault="004E2069" w:rsidP="0080373F">
            <w:pPr>
              <w:jc w:val="right"/>
              <w:rPr>
                <w:color w:val="000000"/>
                <w:sz w:val="22"/>
                <w:szCs w:val="24"/>
              </w:rPr>
            </w:pPr>
            <w:r w:rsidRPr="00DA4C7A">
              <w:rPr>
                <w:color w:val="000000"/>
                <w:sz w:val="22"/>
                <w:szCs w:val="24"/>
              </w:rPr>
              <w:t>272,3</w:t>
            </w:r>
          </w:p>
        </w:tc>
        <w:tc>
          <w:tcPr>
            <w:tcW w:w="1170" w:type="dxa"/>
            <w:tcBorders>
              <w:top w:val="nil"/>
            </w:tcBorders>
            <w:vAlign w:val="bottom"/>
          </w:tcPr>
          <w:p w:rsidR="004E2069" w:rsidRPr="00DA4C7A" w:rsidRDefault="004E2069" w:rsidP="009541ED">
            <w:pPr>
              <w:ind w:right="134"/>
              <w:jc w:val="right"/>
              <w:rPr>
                <w:color w:val="000000"/>
                <w:sz w:val="22"/>
                <w:szCs w:val="24"/>
              </w:rPr>
            </w:pPr>
            <w:r w:rsidRPr="00DA4C7A">
              <w:rPr>
                <w:color w:val="000000"/>
                <w:sz w:val="22"/>
                <w:szCs w:val="24"/>
              </w:rPr>
              <w:t>3,2</w:t>
            </w:r>
          </w:p>
        </w:tc>
        <w:tc>
          <w:tcPr>
            <w:tcW w:w="1134" w:type="dxa"/>
            <w:tcBorders>
              <w:top w:val="nil"/>
            </w:tcBorders>
            <w:vAlign w:val="bottom"/>
          </w:tcPr>
          <w:p w:rsidR="004E2069" w:rsidRPr="00DA4C7A" w:rsidRDefault="004E2069" w:rsidP="009541ED">
            <w:pPr>
              <w:ind w:right="134"/>
              <w:jc w:val="right"/>
              <w:rPr>
                <w:color w:val="000000"/>
                <w:sz w:val="22"/>
                <w:szCs w:val="24"/>
              </w:rPr>
            </w:pPr>
            <w:r w:rsidRPr="00DA4C7A">
              <w:rPr>
                <w:color w:val="000000"/>
                <w:sz w:val="22"/>
                <w:szCs w:val="24"/>
              </w:rPr>
              <w:t>82,5</w:t>
            </w:r>
          </w:p>
        </w:tc>
      </w:tr>
    </w:tbl>
    <w:p w:rsidR="004E2069" w:rsidRPr="00DA4C7A" w:rsidRDefault="004E2069" w:rsidP="00177656">
      <w:pPr>
        <w:autoSpaceDE w:val="0"/>
        <w:autoSpaceDN w:val="0"/>
        <w:adjustRightInd w:val="0"/>
        <w:spacing w:before="120"/>
        <w:ind w:firstLine="425"/>
        <w:jc w:val="both"/>
        <w:rPr>
          <w:sz w:val="24"/>
          <w:szCs w:val="24"/>
        </w:rPr>
      </w:pPr>
      <w:r w:rsidRPr="00DA4C7A">
        <w:rPr>
          <w:sz w:val="24"/>
          <w:szCs w:val="24"/>
        </w:rPr>
        <w:t xml:space="preserve">Динамика ссудной задолженности юридических лиц в отраслевом разрезе носила разнонаправленный характер. В промышленности вследствие переоценки валютных кредитов совокупный показатель увеличился на 11,1%, или на 152,2 млн руб., составив 1 523,9 млн руб. </w:t>
      </w:r>
      <w:r w:rsidRPr="00DA4C7A">
        <w:rPr>
          <w:color w:val="000000"/>
          <w:sz w:val="24"/>
          <w:szCs w:val="24"/>
        </w:rPr>
        <w:t xml:space="preserve">Удельный вес </w:t>
      </w:r>
      <w:r w:rsidRPr="00DA4C7A">
        <w:rPr>
          <w:sz w:val="24"/>
          <w:szCs w:val="24"/>
        </w:rPr>
        <w:t>задолженности предприятий индустриального комплекса воз</w:t>
      </w:r>
      <w:r w:rsidRPr="00DA4C7A">
        <w:rPr>
          <w:color w:val="000000"/>
          <w:sz w:val="24"/>
          <w:szCs w:val="24"/>
        </w:rPr>
        <w:t xml:space="preserve">рос </w:t>
      </w:r>
      <w:r w:rsidRPr="00DA4C7A">
        <w:rPr>
          <w:sz w:val="24"/>
          <w:szCs w:val="24"/>
        </w:rPr>
        <w:t xml:space="preserve">с 50,8% до 55,1%. Также </w:t>
      </w:r>
      <w:r>
        <w:rPr>
          <w:sz w:val="24"/>
          <w:szCs w:val="24"/>
        </w:rPr>
        <w:t>возрос</w:t>
      </w:r>
      <w:r w:rsidRPr="00DA4C7A">
        <w:rPr>
          <w:sz w:val="24"/>
          <w:szCs w:val="24"/>
        </w:rPr>
        <w:t xml:space="preserve"> д</w:t>
      </w:r>
      <w:r w:rsidRPr="00DA4C7A">
        <w:rPr>
          <w:color w:val="000000"/>
          <w:sz w:val="24"/>
          <w:szCs w:val="24"/>
        </w:rPr>
        <w:t>олг агрофирм (+</w:t>
      </w:r>
      <w:r>
        <w:rPr>
          <w:color w:val="000000"/>
          <w:sz w:val="24"/>
          <w:szCs w:val="24"/>
        </w:rPr>
        <w:t>2,8%, или +</w:t>
      </w:r>
      <w:r w:rsidRPr="00DA4C7A">
        <w:rPr>
          <w:color w:val="000000"/>
          <w:sz w:val="24"/>
          <w:szCs w:val="24"/>
        </w:rPr>
        <w:t xml:space="preserve">13,2 млн руб.) и на </w:t>
      </w:r>
      <w:r>
        <w:rPr>
          <w:color w:val="000000"/>
          <w:sz w:val="24"/>
          <w:szCs w:val="24"/>
        </w:rPr>
        <w:br/>
      </w:r>
      <w:r w:rsidRPr="00DA4C7A">
        <w:rPr>
          <w:color w:val="000000"/>
          <w:sz w:val="24"/>
          <w:szCs w:val="24"/>
        </w:rPr>
        <w:t xml:space="preserve">1 января 2018 года составил 493,9 млн руб., что соответствует 17,8% общей задолженности реального сектора. В то же время заимствования торговых организаций по отношению к уровню </w:t>
      </w:r>
      <w:r w:rsidRPr="00DA4C7A">
        <w:rPr>
          <w:sz w:val="24"/>
          <w:szCs w:val="24"/>
        </w:rPr>
        <w:t>на 1 января 2017</w:t>
      </w:r>
      <w:r w:rsidRPr="00DA4C7A">
        <w:rPr>
          <w:color w:val="000000"/>
          <w:sz w:val="24"/>
          <w:szCs w:val="24"/>
        </w:rPr>
        <w:t xml:space="preserve"> года уменьшились на 78,8 млн руб. (-12,5%) и на конец отчётного года составили 552,6 млн руб., или 20,0% совокупного показателя. Ссудная задолженность строительных организаций перед коммерческими банками уменьшилась в 2,7 раза, или на 21,3</w:t>
      </w:r>
      <w:r w:rsidRPr="00DA4C7A">
        <w:rPr>
          <w:sz w:val="24"/>
          <w:szCs w:val="24"/>
        </w:rPr>
        <w:t xml:space="preserve"> млн руб., до 12,9 млн руб.</w:t>
      </w:r>
    </w:p>
    <w:p w:rsidR="004E2069" w:rsidRPr="00DA4C7A" w:rsidRDefault="004E2069" w:rsidP="00DC0A7D">
      <w:pPr>
        <w:autoSpaceDE w:val="0"/>
        <w:autoSpaceDN w:val="0"/>
        <w:adjustRightInd w:val="0"/>
        <w:ind w:firstLine="425"/>
        <w:jc w:val="both"/>
        <w:rPr>
          <w:sz w:val="24"/>
          <w:szCs w:val="24"/>
        </w:rPr>
      </w:pPr>
      <w:r w:rsidRPr="00DA4C7A">
        <w:rPr>
          <w:sz w:val="24"/>
          <w:szCs w:val="24"/>
        </w:rPr>
        <w:t xml:space="preserve">По итогам 2017 года задолженность населения по кредитам увеличилась на 3,9% </w:t>
      </w:r>
      <w:r>
        <w:rPr>
          <w:sz w:val="24"/>
          <w:szCs w:val="24"/>
        </w:rPr>
        <w:br/>
      </w:r>
      <w:r w:rsidRPr="00DA4C7A">
        <w:rPr>
          <w:sz w:val="24"/>
          <w:szCs w:val="24"/>
        </w:rPr>
        <w:t xml:space="preserve">(+29,2 млн руб.) и сложилась на 1 января 2018 года на уровне 781,9 млн руб., что соответствует 22,0% в структуре кредитов нефинансовому сектору. </w:t>
      </w:r>
      <w:r>
        <w:rPr>
          <w:sz w:val="24"/>
          <w:szCs w:val="24"/>
        </w:rPr>
        <w:t>Данная д</w:t>
      </w:r>
      <w:r w:rsidRPr="00DA4C7A">
        <w:rPr>
          <w:bCs/>
          <w:sz w:val="24"/>
          <w:szCs w:val="24"/>
        </w:rPr>
        <w:t xml:space="preserve">инамика </w:t>
      </w:r>
      <w:r>
        <w:rPr>
          <w:bCs/>
          <w:sz w:val="24"/>
          <w:szCs w:val="24"/>
        </w:rPr>
        <w:t>об</w:t>
      </w:r>
      <w:r w:rsidRPr="00DA4C7A">
        <w:rPr>
          <w:bCs/>
          <w:sz w:val="24"/>
          <w:szCs w:val="24"/>
        </w:rPr>
        <w:t xml:space="preserve">условлена ростом остатков по </w:t>
      </w:r>
      <w:r w:rsidRPr="00DA4C7A">
        <w:rPr>
          <w:sz w:val="24"/>
          <w:szCs w:val="24"/>
        </w:rPr>
        <w:t xml:space="preserve">рублёвым заимствованиям (+12,5%, или +61,5 млн руб.) при сокращении задолженности по </w:t>
      </w:r>
      <w:r w:rsidRPr="00DA4C7A">
        <w:rPr>
          <w:bCs/>
          <w:sz w:val="24"/>
          <w:szCs w:val="24"/>
        </w:rPr>
        <w:t>в</w:t>
      </w:r>
      <w:r w:rsidRPr="00DA4C7A">
        <w:rPr>
          <w:sz w:val="24"/>
          <w:szCs w:val="24"/>
        </w:rPr>
        <w:t>алютным кредитам (-12,3%, или -32,3 млн руб.). В результате степень валютизации потребительских ссуд снизилась на 5,4 п.п.</w:t>
      </w:r>
      <w:r>
        <w:rPr>
          <w:sz w:val="24"/>
          <w:szCs w:val="24"/>
        </w:rPr>
        <w:t xml:space="preserve">, до </w:t>
      </w:r>
      <w:r w:rsidRPr="00DA4C7A">
        <w:rPr>
          <w:sz w:val="24"/>
          <w:szCs w:val="24"/>
        </w:rPr>
        <w:t xml:space="preserve">29,4%. </w:t>
      </w:r>
    </w:p>
    <w:p w:rsidR="004E2069" w:rsidRPr="00DA4C7A" w:rsidRDefault="004E2069" w:rsidP="00DC0A7D">
      <w:pPr>
        <w:ind w:firstLine="425"/>
        <w:jc w:val="both"/>
        <w:rPr>
          <w:sz w:val="24"/>
          <w:szCs w:val="24"/>
        </w:rPr>
      </w:pPr>
      <w:r w:rsidRPr="00DA4C7A">
        <w:rPr>
          <w:sz w:val="24"/>
          <w:szCs w:val="24"/>
        </w:rPr>
        <w:t xml:space="preserve">По состоянию на 1 января 2018 года совокупный объём </w:t>
      </w:r>
      <w:r>
        <w:rPr>
          <w:sz w:val="24"/>
          <w:szCs w:val="24"/>
        </w:rPr>
        <w:t xml:space="preserve">задолженности </w:t>
      </w:r>
      <w:r w:rsidRPr="00DA4C7A">
        <w:rPr>
          <w:sz w:val="24"/>
          <w:szCs w:val="24"/>
        </w:rPr>
        <w:t>нефинансового сектора с нарушениями сроков погашения сложился на отметке 199,2 млн руб., что в 4,1 раза ниже показателя на начало 2017 года (810,5 млн руб.). В результате интегрированный показатель</w:t>
      </w:r>
      <w:r w:rsidRPr="00DA4C7A">
        <w:rPr>
          <w:rStyle w:val="FootnoteReference"/>
          <w:color w:val="000000"/>
          <w:sz w:val="24"/>
          <w:szCs w:val="24"/>
        </w:rPr>
        <w:footnoteReference w:id="15"/>
      </w:r>
      <w:r w:rsidRPr="00DA4C7A">
        <w:rPr>
          <w:sz w:val="24"/>
          <w:szCs w:val="24"/>
        </w:rPr>
        <w:t xml:space="preserve"> качественных</w:t>
      </w:r>
      <w:r w:rsidRPr="00DA4C7A">
        <w:rPr>
          <w:color w:val="000000"/>
          <w:sz w:val="24"/>
          <w:szCs w:val="24"/>
        </w:rPr>
        <w:t xml:space="preserve"> характеристик операций кредитования повысился на 15,7 п.п.</w:t>
      </w:r>
      <w:r>
        <w:rPr>
          <w:color w:val="000000"/>
          <w:sz w:val="24"/>
          <w:szCs w:val="24"/>
        </w:rPr>
        <w:t xml:space="preserve">, до </w:t>
      </w:r>
      <w:r w:rsidRPr="00DA4C7A">
        <w:rPr>
          <w:color w:val="000000"/>
          <w:sz w:val="24"/>
          <w:szCs w:val="24"/>
        </w:rPr>
        <w:t>95,2%.</w:t>
      </w:r>
    </w:p>
    <w:p w:rsidR="004E2069" w:rsidRDefault="004E2069" w:rsidP="0080373F">
      <w:pPr>
        <w:pStyle w:val="BodyText"/>
        <w:spacing w:before="0" w:after="0"/>
        <w:ind w:firstLine="425"/>
        <w:rPr>
          <w:rFonts w:ascii="Times New Roman" w:hAnsi="Times New Roman" w:cs="Times New Roman"/>
          <w:sz w:val="24"/>
          <w:szCs w:val="24"/>
        </w:rPr>
      </w:pPr>
      <w:r w:rsidRPr="00AA517E">
        <w:rPr>
          <w:rFonts w:ascii="Times New Roman" w:hAnsi="Times New Roman" w:cs="Times New Roman"/>
          <w:sz w:val="24"/>
        </w:rPr>
        <w:t>Проведённые проверки и детальный анализ деятельности кредитных организаций обусловили необходимость усиления контроля за рисками активных операций</w:t>
      </w:r>
      <w:r w:rsidRPr="00AA517E">
        <w:rPr>
          <w:rFonts w:ascii="Times New Roman" w:hAnsi="Times New Roman" w:cs="Times New Roman"/>
          <w:sz w:val="24"/>
          <w:szCs w:val="24"/>
        </w:rPr>
        <w:t xml:space="preserve">. Так, коммерческим банкам было предписано произвести адекватную классификацию выданных кредитов. Следствием этого стало расширение категории сомнительных кредитов </w:t>
      </w:r>
      <w:r w:rsidRPr="00AA517E">
        <w:rPr>
          <w:rFonts w:ascii="Times New Roman" w:hAnsi="Times New Roman" w:cs="Times New Roman"/>
          <w:sz w:val="24"/>
          <w:szCs w:val="24"/>
        </w:rPr>
        <w:br/>
        <w:t>(+243,3 млн руб.), обусловившее увеличение их доли с 22,7% до 26,6%. Это привело к</w:t>
      </w:r>
      <w:r w:rsidRPr="00FE3AFF">
        <w:rPr>
          <w:rFonts w:ascii="Times New Roman" w:hAnsi="Times New Roman" w:cs="Times New Roman"/>
          <w:sz w:val="24"/>
          <w:szCs w:val="24"/>
        </w:rPr>
        <w:t xml:space="preserve"> наращиванию объёма резервов на возможные потери по кредитам и приравненным к ним средствам: по отношению к уровню начала 2017 года он был увеличен на четверть и сложился на отметке 507,4 млн руб., составив 12,0% </w:t>
      </w:r>
      <w:r w:rsidRPr="00FE3AFF">
        <w:rPr>
          <w:rFonts w:ascii="Times New Roman" w:hAnsi="Times New Roman" w:cs="Times New Roman"/>
          <w:color w:val="000000"/>
          <w:sz w:val="24"/>
          <w:szCs w:val="24"/>
        </w:rPr>
        <w:t xml:space="preserve">общего объёма выданных займов </w:t>
      </w:r>
      <w:r w:rsidRPr="00FE3AFF">
        <w:rPr>
          <w:rFonts w:ascii="Times New Roman" w:hAnsi="Times New Roman" w:cs="Times New Roman"/>
          <w:color w:val="000000"/>
          <w:sz w:val="24"/>
          <w:szCs w:val="24"/>
        </w:rPr>
        <w:br/>
        <w:t>(+1,9 п.п.).</w:t>
      </w:r>
      <w:r w:rsidRPr="00006BDA">
        <w:rPr>
          <w:rFonts w:ascii="Times New Roman" w:hAnsi="Times New Roman" w:cs="Times New Roman"/>
          <w:sz w:val="24"/>
          <w:szCs w:val="24"/>
        </w:rPr>
        <w:t xml:space="preserve"> </w:t>
      </w:r>
    </w:p>
    <w:p w:rsidR="004E2069" w:rsidRPr="00D86C1B" w:rsidRDefault="004E2069" w:rsidP="00DC0A7D">
      <w:pPr>
        <w:widowControl w:val="0"/>
        <w:ind w:firstLine="425"/>
        <w:jc w:val="both"/>
        <w:rPr>
          <w:color w:val="000000"/>
          <w:sz w:val="24"/>
          <w:szCs w:val="22"/>
        </w:rPr>
      </w:pPr>
      <w:r w:rsidRPr="00006BDA">
        <w:rPr>
          <w:sz w:val="24"/>
          <w:szCs w:val="22"/>
        </w:rPr>
        <w:t>Остатки средств, размещённых на корреспондентских счетах в других банках,</w:t>
      </w:r>
      <w:r w:rsidRPr="00D86C1B">
        <w:rPr>
          <w:sz w:val="24"/>
          <w:szCs w:val="22"/>
        </w:rPr>
        <w:t xml:space="preserve"> сократились на 12,7% (-135,5 млн руб.), составив по итогам года 935,2 млн руб., или 11,1% совокупных активов (-5,9 п.п.). В основу обозначенной динамики легло значительное снижение </w:t>
      </w:r>
      <w:r>
        <w:rPr>
          <w:sz w:val="24"/>
          <w:szCs w:val="22"/>
        </w:rPr>
        <w:t>доступных</w:t>
      </w:r>
      <w:r w:rsidRPr="00D86C1B">
        <w:rPr>
          <w:sz w:val="24"/>
          <w:szCs w:val="22"/>
        </w:rPr>
        <w:t xml:space="preserve"> рублёвых средств на корреспондентских счетах в ПРБ, что обусловлено </w:t>
      </w:r>
      <w:r>
        <w:rPr>
          <w:sz w:val="24"/>
          <w:szCs w:val="22"/>
        </w:rPr>
        <w:t>нормализацией</w:t>
      </w:r>
      <w:r w:rsidRPr="00D86C1B">
        <w:rPr>
          <w:sz w:val="24"/>
          <w:szCs w:val="22"/>
        </w:rPr>
        <w:t xml:space="preserve"> ф</w:t>
      </w:r>
      <w:r>
        <w:rPr>
          <w:sz w:val="24"/>
          <w:szCs w:val="22"/>
        </w:rPr>
        <w:t>ункционирования валютного рынка.</w:t>
      </w:r>
      <w:r w:rsidRPr="00D86C1B">
        <w:rPr>
          <w:sz w:val="24"/>
          <w:szCs w:val="22"/>
        </w:rPr>
        <w:t xml:space="preserve"> При этом вследствие повышения ставок в соответствии с нормативными требованиями центрального банка, а также </w:t>
      </w:r>
      <w:r w:rsidRPr="00DA20CC">
        <w:rPr>
          <w:sz w:val="24"/>
          <w:szCs w:val="22"/>
        </w:rPr>
        <w:t>переоценки</w:t>
      </w:r>
      <w:r w:rsidRPr="00D86C1B">
        <w:rPr>
          <w:sz w:val="24"/>
          <w:szCs w:val="22"/>
        </w:rPr>
        <w:t xml:space="preserve"> валютных обязательств, входящих в расчётную базу, объём депонированных на корсчетах в фондах обязательного резервирования и страхования средств расширился на 42,8%, или на 161,7 млн руб., до 539,8 млн руб. </w:t>
      </w:r>
      <w:r w:rsidRPr="00D86C1B">
        <w:rPr>
          <w:color w:val="000000"/>
          <w:sz w:val="24"/>
          <w:szCs w:val="22"/>
        </w:rPr>
        <w:t>С</w:t>
      </w:r>
      <w:r w:rsidRPr="00D86C1B">
        <w:rPr>
          <w:sz w:val="24"/>
          <w:szCs w:val="22"/>
        </w:rPr>
        <w:t>уммы денежной наличности в кассах уменьшились на 96,7 млн руб. (-17,4%)</w:t>
      </w:r>
      <w:r>
        <w:rPr>
          <w:sz w:val="24"/>
          <w:szCs w:val="22"/>
        </w:rPr>
        <w:t xml:space="preserve">, до </w:t>
      </w:r>
      <w:r w:rsidRPr="00D86C1B">
        <w:rPr>
          <w:sz w:val="24"/>
          <w:szCs w:val="22"/>
        </w:rPr>
        <w:t>458,0</w:t>
      </w:r>
      <w:r w:rsidRPr="00D86C1B">
        <w:rPr>
          <w:color w:val="000000"/>
          <w:sz w:val="24"/>
          <w:szCs w:val="22"/>
        </w:rPr>
        <w:t xml:space="preserve"> млн руб. </w:t>
      </w:r>
    </w:p>
    <w:p w:rsidR="004E2069" w:rsidRPr="00DA4C7A" w:rsidRDefault="004E2069" w:rsidP="00DC0A7D">
      <w:pPr>
        <w:pStyle w:val="Header"/>
        <w:widowControl w:val="0"/>
        <w:spacing w:line="235" w:lineRule="auto"/>
        <w:ind w:firstLine="425"/>
        <w:jc w:val="both"/>
        <w:rPr>
          <w:sz w:val="24"/>
          <w:szCs w:val="24"/>
        </w:rPr>
      </w:pPr>
      <w:r w:rsidRPr="00DA4C7A">
        <w:rPr>
          <w:sz w:val="24"/>
          <w:szCs w:val="24"/>
        </w:rPr>
        <w:t xml:space="preserve">С учётом сумм, относимых на финансовый результат, итоги деятельности коммерческих банков республики в 2017 году характеризовались </w:t>
      </w:r>
      <w:r w:rsidRPr="00DA4C7A">
        <w:rPr>
          <w:color w:val="000000"/>
          <w:sz w:val="24"/>
          <w:szCs w:val="24"/>
        </w:rPr>
        <w:t>формированием чистой прибыли на уровне 71,2 млн руб., превысив показатель 2016 года в 3,6 раза</w:t>
      </w:r>
      <w:r w:rsidRPr="00DA4C7A">
        <w:rPr>
          <w:sz w:val="24"/>
          <w:szCs w:val="24"/>
        </w:rPr>
        <w:t>. В то же время следует отметить, что получение положительного финансового результата не было связано с активной банковской деятельностью</w:t>
      </w:r>
      <w:r>
        <w:rPr>
          <w:sz w:val="24"/>
          <w:szCs w:val="24"/>
        </w:rPr>
        <w:t>.</w:t>
      </w:r>
      <w:r w:rsidRPr="00DA4C7A">
        <w:rPr>
          <w:sz w:val="24"/>
          <w:szCs w:val="24"/>
        </w:rPr>
        <w:t xml:space="preserve"> </w:t>
      </w:r>
    </w:p>
    <w:p w:rsidR="004E2069" w:rsidRPr="00DA4C7A" w:rsidRDefault="004E2069" w:rsidP="00DC0A7D">
      <w:pPr>
        <w:pStyle w:val="Header"/>
        <w:widowControl w:val="0"/>
        <w:ind w:firstLine="425"/>
        <w:jc w:val="both"/>
        <w:rPr>
          <w:color w:val="000000"/>
          <w:sz w:val="24"/>
          <w:szCs w:val="24"/>
        </w:rPr>
      </w:pPr>
      <w:r w:rsidRPr="00DA4C7A">
        <w:rPr>
          <w:color w:val="000000"/>
          <w:sz w:val="24"/>
          <w:szCs w:val="24"/>
        </w:rPr>
        <w:t xml:space="preserve">Результативность </w:t>
      </w:r>
      <w:r w:rsidRPr="00DA4C7A">
        <w:rPr>
          <w:sz w:val="24"/>
          <w:szCs w:val="24"/>
        </w:rPr>
        <w:t xml:space="preserve">основной банковской деятельности – чистый процентный доход – в отчётном году была ниже прошлогодней на 26,6 млн руб. (-12,8%), сложившись в сумме </w:t>
      </w:r>
      <w:r w:rsidRPr="00DA4C7A">
        <w:rPr>
          <w:sz w:val="24"/>
          <w:szCs w:val="24"/>
        </w:rPr>
        <w:br/>
        <w:t>181,1 млн руб. Это обусловлено увеличением п</w:t>
      </w:r>
      <w:r w:rsidRPr="00DA4C7A">
        <w:rPr>
          <w:color w:val="000000"/>
          <w:sz w:val="24"/>
          <w:szCs w:val="24"/>
        </w:rPr>
        <w:t>роцентных расходов на 21,2 млн руб. (+13,9%)</w:t>
      </w:r>
      <w:r>
        <w:rPr>
          <w:color w:val="000000"/>
          <w:sz w:val="24"/>
          <w:szCs w:val="24"/>
        </w:rPr>
        <w:t xml:space="preserve">, до </w:t>
      </w:r>
      <w:r w:rsidRPr="00DA4C7A">
        <w:rPr>
          <w:color w:val="000000"/>
          <w:sz w:val="24"/>
          <w:szCs w:val="24"/>
        </w:rPr>
        <w:t>173,2 млн руб., при сокращении процентных доходов на 5,5 млн руб. (-1,5%)</w:t>
      </w:r>
      <w:r>
        <w:rPr>
          <w:color w:val="000000"/>
          <w:sz w:val="24"/>
          <w:szCs w:val="24"/>
        </w:rPr>
        <w:t xml:space="preserve">, до </w:t>
      </w:r>
      <w:r w:rsidRPr="00DA4C7A">
        <w:rPr>
          <w:color w:val="000000"/>
          <w:sz w:val="24"/>
          <w:szCs w:val="24"/>
        </w:rPr>
        <w:t xml:space="preserve">354,4 млн руб. </w:t>
      </w:r>
    </w:p>
    <w:p w:rsidR="004E2069" w:rsidRPr="00DA4C7A" w:rsidRDefault="004E2069" w:rsidP="00DC0A7D">
      <w:pPr>
        <w:pStyle w:val="Header"/>
        <w:widowControl w:val="0"/>
        <w:ind w:firstLine="425"/>
        <w:jc w:val="both"/>
        <w:rPr>
          <w:color w:val="000000"/>
          <w:sz w:val="24"/>
          <w:szCs w:val="24"/>
        </w:rPr>
      </w:pPr>
      <w:r w:rsidRPr="00DA4C7A">
        <w:rPr>
          <w:sz w:val="24"/>
          <w:szCs w:val="24"/>
        </w:rPr>
        <w:t>Процентные доходы по кредитам, выданным юридическим лицам, сократились на 0,9</w:t>
      </w:r>
      <w:r w:rsidRPr="00DA4C7A">
        <w:rPr>
          <w:color w:val="000000"/>
          <w:sz w:val="24"/>
          <w:szCs w:val="24"/>
        </w:rPr>
        <w:t xml:space="preserve">% </w:t>
      </w:r>
      <w:r w:rsidRPr="00DA4C7A">
        <w:rPr>
          <w:color w:val="000000"/>
          <w:sz w:val="24"/>
          <w:szCs w:val="24"/>
        </w:rPr>
        <w:br/>
        <w:t>(-1,1 млн руб.)</w:t>
      </w:r>
      <w:r>
        <w:rPr>
          <w:color w:val="000000"/>
          <w:sz w:val="24"/>
          <w:szCs w:val="24"/>
        </w:rPr>
        <w:t xml:space="preserve">, до </w:t>
      </w:r>
      <w:r w:rsidRPr="00DA4C7A">
        <w:rPr>
          <w:color w:val="000000"/>
          <w:sz w:val="24"/>
          <w:szCs w:val="24"/>
        </w:rPr>
        <w:t xml:space="preserve">199,5 млн руб. Вместе с тем вследствие расширения объёма корпоративных депозитов в результате </w:t>
      </w:r>
      <w:r>
        <w:rPr>
          <w:color w:val="000000"/>
          <w:sz w:val="24"/>
          <w:szCs w:val="24"/>
        </w:rPr>
        <w:t>переоценки их валютной части</w:t>
      </w:r>
      <w:r w:rsidRPr="00DA4C7A">
        <w:rPr>
          <w:color w:val="000000"/>
          <w:sz w:val="24"/>
          <w:szCs w:val="24"/>
        </w:rPr>
        <w:t xml:space="preserve"> существенно вырос</w:t>
      </w:r>
      <w:r>
        <w:rPr>
          <w:color w:val="000000"/>
          <w:sz w:val="24"/>
          <w:szCs w:val="24"/>
        </w:rPr>
        <w:t xml:space="preserve"> рублёвый</w:t>
      </w:r>
      <w:r w:rsidRPr="00DA4C7A">
        <w:rPr>
          <w:color w:val="000000"/>
          <w:sz w:val="24"/>
          <w:szCs w:val="24"/>
        </w:rPr>
        <w:t xml:space="preserve"> </w:t>
      </w:r>
      <w:r>
        <w:rPr>
          <w:color w:val="000000"/>
          <w:sz w:val="24"/>
          <w:szCs w:val="24"/>
        </w:rPr>
        <w:t>эквивалент расходов</w:t>
      </w:r>
      <w:r w:rsidRPr="00DA4C7A">
        <w:rPr>
          <w:color w:val="000000"/>
          <w:sz w:val="24"/>
          <w:szCs w:val="24"/>
        </w:rPr>
        <w:t xml:space="preserve"> на их обслуживание – в 1,5 раза (+22,9 млн руб.)</w:t>
      </w:r>
      <w:r>
        <w:rPr>
          <w:color w:val="000000"/>
          <w:sz w:val="24"/>
          <w:szCs w:val="24"/>
        </w:rPr>
        <w:t xml:space="preserve">, до </w:t>
      </w:r>
      <w:r>
        <w:rPr>
          <w:color w:val="000000"/>
          <w:sz w:val="24"/>
          <w:szCs w:val="24"/>
        </w:rPr>
        <w:br/>
      </w:r>
      <w:r w:rsidRPr="00DA4C7A">
        <w:rPr>
          <w:color w:val="000000"/>
          <w:sz w:val="24"/>
          <w:szCs w:val="24"/>
        </w:rPr>
        <w:t>66,2 млн руб. Таким образом, положительное сальдо по операциям с хозяйствующими субъектами уменьшилось на 24,7 млн руб. (-15,7%)</w:t>
      </w:r>
      <w:r>
        <w:rPr>
          <w:color w:val="000000"/>
          <w:sz w:val="24"/>
          <w:szCs w:val="24"/>
        </w:rPr>
        <w:t xml:space="preserve">, до </w:t>
      </w:r>
      <w:r w:rsidRPr="00DA4C7A">
        <w:rPr>
          <w:color w:val="000000"/>
          <w:sz w:val="24"/>
          <w:szCs w:val="24"/>
        </w:rPr>
        <w:t>133,3 млн руб.</w:t>
      </w:r>
    </w:p>
    <w:p w:rsidR="004E2069" w:rsidRPr="00DA4C7A" w:rsidRDefault="004E2069" w:rsidP="00DC0A7D">
      <w:pPr>
        <w:pStyle w:val="Header"/>
        <w:widowControl w:val="0"/>
        <w:ind w:firstLine="425"/>
        <w:jc w:val="both"/>
        <w:rPr>
          <w:noProof/>
          <w:sz w:val="24"/>
          <w:szCs w:val="24"/>
        </w:rPr>
      </w:pPr>
      <w:r w:rsidRPr="00DA4C7A">
        <w:rPr>
          <w:color w:val="000000"/>
          <w:sz w:val="24"/>
          <w:szCs w:val="24"/>
        </w:rPr>
        <w:t>Доходы от кредитования физических лиц возросли на 3,1 млн руб. (+</w:t>
      </w:r>
      <w:r w:rsidRPr="00DA4C7A">
        <w:rPr>
          <w:sz w:val="24"/>
          <w:szCs w:val="24"/>
        </w:rPr>
        <w:t>2,1</w:t>
      </w:r>
      <w:r w:rsidRPr="00DA4C7A">
        <w:rPr>
          <w:color w:val="000000"/>
          <w:sz w:val="24"/>
          <w:szCs w:val="24"/>
        </w:rPr>
        <w:t>%)</w:t>
      </w:r>
      <w:r>
        <w:rPr>
          <w:color w:val="000000"/>
          <w:sz w:val="24"/>
          <w:szCs w:val="24"/>
        </w:rPr>
        <w:t xml:space="preserve">, до </w:t>
      </w:r>
      <w:r w:rsidRPr="00DA4C7A">
        <w:rPr>
          <w:color w:val="000000"/>
          <w:sz w:val="24"/>
          <w:szCs w:val="24"/>
        </w:rPr>
        <w:br/>
        <w:t>147,4 млн руб</w:t>
      </w:r>
      <w:r w:rsidRPr="00DA4C7A">
        <w:rPr>
          <w:sz w:val="24"/>
          <w:szCs w:val="24"/>
        </w:rPr>
        <w:t>. В то же время о</w:t>
      </w:r>
      <w:r w:rsidRPr="00DA4C7A">
        <w:rPr>
          <w:color w:val="000000"/>
          <w:sz w:val="24"/>
          <w:szCs w:val="24"/>
        </w:rPr>
        <w:t>бъём расходов по счетам и депозитам населения, занимающим преобладающее положение в структуре процентных расходов (52,3%), увеличился в большей степени</w:t>
      </w:r>
      <w:r w:rsidRPr="00DA4C7A">
        <w:rPr>
          <w:sz w:val="24"/>
          <w:szCs w:val="24"/>
        </w:rPr>
        <w:t xml:space="preserve"> – на </w:t>
      </w:r>
      <w:r w:rsidRPr="00DA4C7A">
        <w:rPr>
          <w:color w:val="000000"/>
          <w:sz w:val="24"/>
          <w:szCs w:val="24"/>
        </w:rPr>
        <w:t>18,3 млн руб. (+25,3%)</w:t>
      </w:r>
      <w:r>
        <w:rPr>
          <w:color w:val="000000"/>
          <w:sz w:val="24"/>
          <w:szCs w:val="24"/>
        </w:rPr>
        <w:t xml:space="preserve">, до </w:t>
      </w:r>
      <w:r w:rsidRPr="00DA4C7A">
        <w:rPr>
          <w:color w:val="000000"/>
          <w:sz w:val="24"/>
          <w:szCs w:val="24"/>
        </w:rPr>
        <w:t>90,5 млн руб. В итоге, банки получили чистый процентный доход от операций с населением в размере 56,9 млн руб., что на 21,1% ниже базисного значения.</w:t>
      </w:r>
      <w:r w:rsidRPr="00DA4C7A">
        <w:rPr>
          <w:noProof/>
          <w:sz w:val="24"/>
          <w:szCs w:val="24"/>
        </w:rPr>
        <w:t xml:space="preserve"> </w:t>
      </w:r>
    </w:p>
    <w:p w:rsidR="004E2069" w:rsidRPr="00DA4C7A" w:rsidRDefault="004E2069" w:rsidP="00DC0A7D">
      <w:pPr>
        <w:widowControl w:val="0"/>
        <w:ind w:firstLine="425"/>
        <w:jc w:val="both"/>
        <w:rPr>
          <w:color w:val="000000"/>
          <w:sz w:val="24"/>
          <w:szCs w:val="24"/>
        </w:rPr>
      </w:pPr>
      <w:r w:rsidRPr="00DA4C7A">
        <w:rPr>
          <w:color w:val="000000"/>
          <w:sz w:val="24"/>
          <w:szCs w:val="24"/>
        </w:rPr>
        <w:t>Совершение конверсионных операций принесло банковской системе чистый доход в сумме 110,7 млн руб., что превысило значение 2016 года на 1,3%. При этом доходы от торговли иностранной валютой увеличились на 7,7%</w:t>
      </w:r>
      <w:r>
        <w:rPr>
          <w:color w:val="000000"/>
          <w:sz w:val="24"/>
          <w:szCs w:val="24"/>
        </w:rPr>
        <w:t xml:space="preserve">, до </w:t>
      </w:r>
      <w:r w:rsidRPr="00DA4C7A">
        <w:rPr>
          <w:color w:val="000000"/>
          <w:sz w:val="24"/>
          <w:szCs w:val="24"/>
        </w:rPr>
        <w:t>448,5 млн руб., а соответствующие расходы – на 10,0%</w:t>
      </w:r>
      <w:r>
        <w:rPr>
          <w:color w:val="000000"/>
          <w:sz w:val="24"/>
          <w:szCs w:val="24"/>
        </w:rPr>
        <w:t xml:space="preserve">, до </w:t>
      </w:r>
      <w:r w:rsidRPr="00DA4C7A">
        <w:rPr>
          <w:color w:val="000000"/>
          <w:sz w:val="24"/>
          <w:szCs w:val="24"/>
        </w:rPr>
        <w:t>337,7 млн руб.</w:t>
      </w:r>
    </w:p>
    <w:p w:rsidR="004E2069" w:rsidRPr="00DA4C7A" w:rsidRDefault="004E2069" w:rsidP="00DC0A7D">
      <w:pPr>
        <w:widowControl w:val="0"/>
        <w:ind w:firstLine="425"/>
        <w:jc w:val="both"/>
        <w:rPr>
          <w:color w:val="000000"/>
          <w:sz w:val="24"/>
          <w:szCs w:val="24"/>
        </w:rPr>
      </w:pPr>
      <w:r w:rsidRPr="00DA4C7A">
        <w:rPr>
          <w:color w:val="000000"/>
          <w:sz w:val="24"/>
          <w:szCs w:val="24"/>
        </w:rPr>
        <w:t>Сокращение фонда оплаты труда работников банковской системы обусловило снижение административных расходов на 3,2%</w:t>
      </w:r>
      <w:r>
        <w:rPr>
          <w:color w:val="000000"/>
          <w:sz w:val="24"/>
          <w:szCs w:val="24"/>
        </w:rPr>
        <w:t xml:space="preserve">, до </w:t>
      </w:r>
      <w:r w:rsidRPr="00DA4C7A">
        <w:rPr>
          <w:color w:val="000000"/>
          <w:sz w:val="24"/>
          <w:szCs w:val="24"/>
        </w:rPr>
        <w:t xml:space="preserve">270,8 млн руб. </w:t>
      </w:r>
    </w:p>
    <w:p w:rsidR="004E2069" w:rsidRPr="00DA4C7A" w:rsidRDefault="004E2069" w:rsidP="00DC0A7D">
      <w:pPr>
        <w:widowControl w:val="0"/>
        <w:ind w:firstLine="425"/>
        <w:jc w:val="both"/>
        <w:rPr>
          <w:b/>
          <w:i/>
          <w:sz w:val="24"/>
          <w:szCs w:val="24"/>
        </w:rPr>
      </w:pPr>
      <w:r w:rsidRPr="00DA4C7A">
        <w:rPr>
          <w:sz w:val="24"/>
          <w:szCs w:val="24"/>
        </w:rPr>
        <w:t>Показатели, характеризующие возможность действующих коммерческих банков своевременно и в полном объёме обеспечивать выполнение своих долговых и финансовых обязательств перед всеми контрагентами,</w:t>
      </w:r>
      <w:r w:rsidRPr="00DA4C7A">
        <w:rPr>
          <w:color w:val="000000"/>
          <w:sz w:val="24"/>
          <w:szCs w:val="24"/>
        </w:rPr>
        <w:t xml:space="preserve"> в отчётном году </w:t>
      </w:r>
      <w:r w:rsidRPr="00DA4C7A">
        <w:rPr>
          <w:sz w:val="24"/>
          <w:szCs w:val="24"/>
        </w:rPr>
        <w:t>находились в установленных пределах:</w:t>
      </w:r>
      <w:r w:rsidRPr="00DA4C7A">
        <w:rPr>
          <w:color w:val="000000"/>
          <w:sz w:val="24"/>
          <w:szCs w:val="24"/>
        </w:rPr>
        <w:t xml:space="preserve"> мгновенной </w:t>
      </w:r>
      <w:r w:rsidRPr="00DA4C7A">
        <w:rPr>
          <w:sz w:val="24"/>
          <w:szCs w:val="24"/>
        </w:rPr>
        <w:t>ликвидности</w:t>
      </w:r>
      <w:r w:rsidRPr="00DA4C7A">
        <w:rPr>
          <w:color w:val="000000"/>
          <w:sz w:val="24"/>
          <w:szCs w:val="24"/>
        </w:rPr>
        <w:t xml:space="preserve"> – 47,3%, текущей – 64,5% и долгосрочной – 55,6%.</w:t>
      </w:r>
      <w:r w:rsidRPr="00DA4C7A">
        <w:rPr>
          <w:b/>
          <w:i/>
          <w:sz w:val="24"/>
          <w:szCs w:val="24"/>
        </w:rPr>
        <w:t xml:space="preserve"> </w:t>
      </w:r>
    </w:p>
    <w:p w:rsidR="004E2069" w:rsidRDefault="004E2069" w:rsidP="00DC0A7D">
      <w:pPr>
        <w:widowControl w:val="0"/>
        <w:spacing w:before="120" w:after="120"/>
        <w:ind w:firstLine="420"/>
        <w:jc w:val="both"/>
        <w:rPr>
          <w:i/>
          <w:iCs/>
          <w:sz w:val="24"/>
          <w:szCs w:val="24"/>
        </w:rPr>
      </w:pPr>
      <w:r w:rsidRPr="00E85DD7">
        <w:rPr>
          <w:i/>
          <w:iCs/>
          <w:sz w:val="24"/>
          <w:szCs w:val="24"/>
        </w:rPr>
        <w:t>Валютный рынок</w:t>
      </w:r>
    </w:p>
    <w:p w:rsidR="004E2069" w:rsidRPr="00844210" w:rsidRDefault="004E2069" w:rsidP="00DC0A7D">
      <w:pPr>
        <w:tabs>
          <w:tab w:val="left" w:pos="5580"/>
          <w:tab w:val="left" w:pos="8820"/>
          <w:tab w:val="left" w:pos="9000"/>
        </w:tabs>
        <w:spacing w:before="120"/>
        <w:ind w:firstLine="425"/>
        <w:jc w:val="both"/>
        <w:rPr>
          <w:sz w:val="24"/>
          <w:szCs w:val="24"/>
        </w:rPr>
      </w:pPr>
      <w:r w:rsidRPr="00844210">
        <w:rPr>
          <w:sz w:val="24"/>
          <w:szCs w:val="24"/>
        </w:rPr>
        <w:t>Начало 2017 года характеризовалось усугублением кризисных явлений на внутр</w:t>
      </w:r>
      <w:r>
        <w:rPr>
          <w:sz w:val="24"/>
          <w:szCs w:val="24"/>
        </w:rPr>
        <w:t>еннем валютном рынке республики</w:t>
      </w:r>
      <w:r w:rsidRPr="00844210">
        <w:rPr>
          <w:sz w:val="24"/>
          <w:szCs w:val="24"/>
        </w:rPr>
        <w:t xml:space="preserve">. </w:t>
      </w:r>
      <w:r>
        <w:rPr>
          <w:sz w:val="24"/>
          <w:szCs w:val="24"/>
        </w:rPr>
        <w:t>Сохранялся о</w:t>
      </w:r>
      <w:r w:rsidRPr="00844210">
        <w:rPr>
          <w:sz w:val="24"/>
          <w:szCs w:val="24"/>
        </w:rPr>
        <w:t>стрый дефицит валютных средств</w:t>
      </w:r>
      <w:r>
        <w:rPr>
          <w:sz w:val="24"/>
          <w:szCs w:val="24"/>
        </w:rPr>
        <w:t>, что</w:t>
      </w:r>
      <w:r w:rsidRPr="00844210">
        <w:rPr>
          <w:sz w:val="24"/>
          <w:szCs w:val="24"/>
        </w:rPr>
        <w:t xml:space="preserve"> проявля</w:t>
      </w:r>
      <w:r>
        <w:rPr>
          <w:sz w:val="24"/>
          <w:szCs w:val="24"/>
        </w:rPr>
        <w:t>лось</w:t>
      </w:r>
      <w:r w:rsidRPr="00844210">
        <w:rPr>
          <w:sz w:val="24"/>
          <w:szCs w:val="24"/>
        </w:rPr>
        <w:t xml:space="preserve"> в разрастании теневого сегмента, на котором курс доллара достигал 17 рублей при официальном его значении 11,3 руб., формировании инфляционных и девальвационных ожиданий населения и хозяйствующих субъектов. Главным образом сложившиеся тенденции стали результатом отсутствия реакции монетарных властей в 2014-2016 годах на изменившиеся условия хозяйствования, вследствие чего была значительно утрачена конкурентоспособность приднестровских производителей на внешних рынках – реальный эффективный курс приднестровского рубля укрепился на 43,1% (</w:t>
      </w:r>
      <w:r>
        <w:rPr>
          <w:sz w:val="24"/>
          <w:szCs w:val="24"/>
        </w:rPr>
        <w:t>по различным валютам укрепление составило</w:t>
      </w:r>
      <w:r w:rsidRPr="00844210">
        <w:rPr>
          <w:sz w:val="24"/>
          <w:szCs w:val="24"/>
        </w:rPr>
        <w:t xml:space="preserve"> 29-66%). </w:t>
      </w:r>
    </w:p>
    <w:p w:rsidR="004E2069" w:rsidRDefault="004E2069" w:rsidP="00DC0A7D">
      <w:pPr>
        <w:tabs>
          <w:tab w:val="left" w:pos="5580"/>
          <w:tab w:val="left" w:pos="8820"/>
          <w:tab w:val="left" w:pos="9000"/>
        </w:tabs>
        <w:ind w:firstLine="425"/>
        <w:jc w:val="both"/>
        <w:rPr>
          <w:sz w:val="24"/>
          <w:szCs w:val="24"/>
        </w:rPr>
      </w:pPr>
      <w:r w:rsidRPr="001915E3">
        <w:rPr>
          <w:sz w:val="24"/>
          <w:szCs w:val="24"/>
        </w:rPr>
        <w:t xml:space="preserve">Это происходило на фоне беспрецедентной по своим масштабам денежной эмиссии (за 2016 год денежное предложение расширилось более чем на 921 млн руб.), которая также оказывала давление на рынок. </w:t>
      </w:r>
    </w:p>
    <w:p w:rsidR="004E2069" w:rsidRPr="00844210" w:rsidRDefault="004E2069" w:rsidP="00DC0A7D">
      <w:pPr>
        <w:tabs>
          <w:tab w:val="left" w:pos="5580"/>
          <w:tab w:val="left" w:pos="8820"/>
          <w:tab w:val="left" w:pos="9000"/>
        </w:tabs>
        <w:ind w:firstLine="425"/>
        <w:jc w:val="both"/>
        <w:rPr>
          <w:sz w:val="24"/>
          <w:szCs w:val="24"/>
        </w:rPr>
      </w:pPr>
      <w:r w:rsidRPr="00844210">
        <w:rPr>
          <w:sz w:val="24"/>
          <w:szCs w:val="24"/>
        </w:rPr>
        <w:t xml:space="preserve">Негативные тенденции в сфере курсообразования значительно усилились в апреле-мае 2017 года в период отсутствия поставок электроэнергии в Республику Молдова. В результате спекулятивный курс протестировал очередной максимум (18-19 руб./долл.), ещё более увеличив разрыв с официально установленным значением. Ситуация несколько улучшилась в начале июня после заключения </w:t>
      </w:r>
      <w:r>
        <w:rPr>
          <w:sz w:val="24"/>
          <w:szCs w:val="24"/>
        </w:rPr>
        <w:t>контракта</w:t>
      </w:r>
      <w:r w:rsidRPr="00844210">
        <w:rPr>
          <w:sz w:val="24"/>
          <w:szCs w:val="24"/>
        </w:rPr>
        <w:t xml:space="preserve"> напрямую без посреднических схем, однако потеря 30% рынка электроэнергии в Республике Молдова существенно сократила объём поступающих в республику валютных средств. </w:t>
      </w:r>
    </w:p>
    <w:p w:rsidR="004E2069" w:rsidRPr="00844210" w:rsidRDefault="004E2069" w:rsidP="00DC0A7D">
      <w:pPr>
        <w:tabs>
          <w:tab w:val="left" w:pos="5580"/>
          <w:tab w:val="left" w:pos="8820"/>
          <w:tab w:val="left" w:pos="9000"/>
        </w:tabs>
        <w:ind w:firstLine="425"/>
        <w:jc w:val="both"/>
        <w:rPr>
          <w:sz w:val="24"/>
          <w:szCs w:val="24"/>
        </w:rPr>
      </w:pPr>
      <w:r w:rsidRPr="00844210">
        <w:rPr>
          <w:sz w:val="24"/>
          <w:szCs w:val="24"/>
        </w:rPr>
        <w:t xml:space="preserve">В сложившихся условиях безальтернативным решением стала девальвация приднестровского рубля. Так, в рамках новой законодательно утверждённой процедуры </w:t>
      </w:r>
      <w:r>
        <w:rPr>
          <w:sz w:val="24"/>
          <w:szCs w:val="24"/>
        </w:rPr>
        <w:br/>
      </w:r>
      <w:r w:rsidRPr="00844210">
        <w:rPr>
          <w:sz w:val="24"/>
          <w:szCs w:val="24"/>
        </w:rPr>
        <w:t xml:space="preserve">16 июня 2017 года Банковским советом были утверждены параметры денежно-кредитной политики на 2017 год, согласно которым изменения курса доллара США к рублю ПМР определены коридором 15,0–15,5 руб. ПМР. </w:t>
      </w:r>
    </w:p>
    <w:p w:rsidR="004E2069" w:rsidRPr="00844210" w:rsidRDefault="004E2069" w:rsidP="00DC0A7D">
      <w:pPr>
        <w:widowControl w:val="0"/>
        <w:ind w:firstLine="420"/>
        <w:jc w:val="both"/>
        <w:rPr>
          <w:sz w:val="24"/>
          <w:szCs w:val="24"/>
        </w:rPr>
      </w:pPr>
      <w:r w:rsidRPr="00844210">
        <w:rPr>
          <w:sz w:val="24"/>
          <w:szCs w:val="24"/>
        </w:rPr>
        <w:t xml:space="preserve">С 17 июня 2017 года официальный курс доллара США был установлен на уровне </w:t>
      </w:r>
      <w:r w:rsidRPr="00844210">
        <w:rPr>
          <w:sz w:val="24"/>
          <w:szCs w:val="24"/>
        </w:rPr>
        <w:br/>
        <w:t xml:space="preserve">15,0 руб. ПМР – нижней границы утверждённого диапазона. </w:t>
      </w:r>
    </w:p>
    <w:p w:rsidR="004E2069" w:rsidRPr="005D761A" w:rsidRDefault="004E2069" w:rsidP="00DC0A7D">
      <w:pPr>
        <w:ind w:firstLine="425"/>
        <w:jc w:val="both"/>
        <w:rPr>
          <w:sz w:val="24"/>
          <w:szCs w:val="24"/>
        </w:rPr>
      </w:pPr>
      <w:r>
        <w:rPr>
          <w:sz w:val="24"/>
          <w:szCs w:val="24"/>
        </w:rPr>
        <w:t>В целях адекватного реагирования на внешние и внутренние условия</w:t>
      </w:r>
      <w:r w:rsidRPr="00844210">
        <w:rPr>
          <w:sz w:val="24"/>
          <w:szCs w:val="24"/>
        </w:rPr>
        <w:t xml:space="preserve">, учитывая состояние торгового баланса, в начале ноября продолжилось плановое движение курса доллара в рамках коридора, утверждённого на 2017 год: </w:t>
      </w:r>
      <w:r>
        <w:rPr>
          <w:sz w:val="24"/>
          <w:szCs w:val="24"/>
        </w:rPr>
        <w:t xml:space="preserve">с 9 ноября </w:t>
      </w:r>
      <w:r w:rsidRPr="00844210">
        <w:rPr>
          <w:sz w:val="24"/>
          <w:szCs w:val="24"/>
        </w:rPr>
        <w:t>его уровень возрос до 15,5 руб. ПМР и сохранялся на этой отметке до конца декабря. Таким образом, девальвация с начала года составила 37,2%. В целом за 2017 год средневзвешенный официальный курс доллара США сложился на отметке 13,3797 руб. ПМР, что на 18,8% выше значения предыдущего года.</w:t>
      </w:r>
      <w:r>
        <w:rPr>
          <w:sz w:val="24"/>
          <w:szCs w:val="24"/>
        </w:rPr>
        <w:t xml:space="preserve"> С</w:t>
      </w:r>
      <w:r w:rsidRPr="005D761A">
        <w:rPr>
          <w:sz w:val="24"/>
          <w:szCs w:val="24"/>
        </w:rPr>
        <w:t xml:space="preserve">редневзвешенный курс продажи американской валюты банками и небанковскими кредитными организациями в наличной форме сложился на отметке </w:t>
      </w:r>
      <w:r>
        <w:rPr>
          <w:sz w:val="24"/>
          <w:szCs w:val="24"/>
        </w:rPr>
        <w:br/>
        <w:t>14,8322</w:t>
      </w:r>
      <w:r w:rsidRPr="005D761A">
        <w:rPr>
          <w:sz w:val="24"/>
          <w:szCs w:val="24"/>
        </w:rPr>
        <w:t xml:space="preserve"> руб. ПМР (+</w:t>
      </w:r>
      <w:r>
        <w:rPr>
          <w:sz w:val="24"/>
          <w:szCs w:val="24"/>
        </w:rPr>
        <w:t>26,8</w:t>
      </w:r>
      <w:r w:rsidRPr="005D761A">
        <w:rPr>
          <w:sz w:val="24"/>
          <w:szCs w:val="24"/>
        </w:rPr>
        <w:t xml:space="preserve">% к значению 2016 года), в безналичной – </w:t>
      </w:r>
      <w:r>
        <w:rPr>
          <w:sz w:val="24"/>
          <w:szCs w:val="24"/>
        </w:rPr>
        <w:t>14,1563</w:t>
      </w:r>
      <w:r w:rsidRPr="005D761A">
        <w:rPr>
          <w:sz w:val="24"/>
          <w:szCs w:val="24"/>
        </w:rPr>
        <w:t xml:space="preserve"> руб. ПМР (+</w:t>
      </w:r>
      <w:r>
        <w:rPr>
          <w:sz w:val="24"/>
          <w:szCs w:val="24"/>
        </w:rPr>
        <w:t>21,4</w:t>
      </w:r>
      <w:r w:rsidRPr="005D761A">
        <w:rPr>
          <w:sz w:val="24"/>
          <w:szCs w:val="24"/>
        </w:rPr>
        <w:t>%</w:t>
      </w:r>
      <w:r>
        <w:rPr>
          <w:sz w:val="24"/>
          <w:szCs w:val="24"/>
        </w:rPr>
        <w:t xml:space="preserve"> </w:t>
      </w:r>
      <w:r w:rsidRPr="005D761A">
        <w:rPr>
          <w:sz w:val="24"/>
          <w:szCs w:val="24"/>
        </w:rPr>
        <w:t>соответственно).</w:t>
      </w:r>
    </w:p>
    <w:p w:rsidR="004E2069" w:rsidRPr="00844210" w:rsidRDefault="004E2069" w:rsidP="00DF46AC">
      <w:pPr>
        <w:tabs>
          <w:tab w:val="left" w:pos="5580"/>
          <w:tab w:val="left" w:pos="8820"/>
          <w:tab w:val="left" w:pos="9000"/>
        </w:tabs>
        <w:ind w:firstLine="425"/>
        <w:jc w:val="both"/>
        <w:rPr>
          <w:sz w:val="24"/>
          <w:szCs w:val="24"/>
        </w:rPr>
      </w:pPr>
      <w:r>
        <w:rPr>
          <w:sz w:val="24"/>
          <w:szCs w:val="24"/>
        </w:rPr>
        <w:t>Результатом обозначенных шагов стало п</w:t>
      </w:r>
      <w:r w:rsidRPr="00844210">
        <w:rPr>
          <w:sz w:val="24"/>
          <w:szCs w:val="24"/>
        </w:rPr>
        <w:t>остепенно</w:t>
      </w:r>
      <w:r>
        <w:rPr>
          <w:sz w:val="24"/>
          <w:szCs w:val="24"/>
        </w:rPr>
        <w:t>е</w:t>
      </w:r>
      <w:r w:rsidRPr="00844210">
        <w:rPr>
          <w:sz w:val="24"/>
          <w:szCs w:val="24"/>
        </w:rPr>
        <w:t xml:space="preserve"> выравнивание спроса и предложения на валютном рынке, обеспеч</w:t>
      </w:r>
      <w:r>
        <w:rPr>
          <w:sz w:val="24"/>
          <w:szCs w:val="24"/>
        </w:rPr>
        <w:t>ение</w:t>
      </w:r>
      <w:r w:rsidRPr="00844210">
        <w:rPr>
          <w:sz w:val="24"/>
          <w:szCs w:val="24"/>
        </w:rPr>
        <w:t xml:space="preserve"> доступ</w:t>
      </w:r>
      <w:r>
        <w:rPr>
          <w:sz w:val="24"/>
          <w:szCs w:val="24"/>
        </w:rPr>
        <w:t>а</w:t>
      </w:r>
      <w:r w:rsidRPr="00844210">
        <w:rPr>
          <w:sz w:val="24"/>
          <w:szCs w:val="24"/>
        </w:rPr>
        <w:t xml:space="preserve"> к иностранной валюте всех хозяйствующих субъектов под импортные контракты, ликвидация теневых обменных операций и «продуктового» туризма. Коррективы, внесённые в курсовую политику, позволили значительно улучшить конкурентоспособность приднестровских товаров на внешних рынках, о чём свидетельствует динамика реального эффективного курса приднестровского рубля. Так, его индекс за 2017 год составил 71,4%</w:t>
      </w:r>
      <w:r>
        <w:rPr>
          <w:rStyle w:val="FootnoteReference"/>
          <w:sz w:val="24"/>
          <w:szCs w:val="24"/>
        </w:rPr>
        <w:footnoteReference w:id="16"/>
      </w:r>
      <w:r w:rsidRPr="00844210">
        <w:rPr>
          <w:sz w:val="24"/>
          <w:szCs w:val="24"/>
        </w:rPr>
        <w:t xml:space="preserve">, а накопленное с </w:t>
      </w:r>
      <w:r>
        <w:rPr>
          <w:sz w:val="24"/>
          <w:szCs w:val="24"/>
        </w:rPr>
        <w:br/>
      </w:r>
      <w:r w:rsidRPr="00844210">
        <w:rPr>
          <w:sz w:val="24"/>
          <w:szCs w:val="24"/>
        </w:rPr>
        <w:t>2014 года значение снизилось с 143,2%</w:t>
      </w:r>
      <w:r>
        <w:rPr>
          <w:rStyle w:val="FootnoteReference"/>
          <w:sz w:val="24"/>
          <w:szCs w:val="24"/>
        </w:rPr>
        <w:footnoteReference w:id="17"/>
      </w:r>
      <w:r w:rsidRPr="00844210">
        <w:rPr>
          <w:sz w:val="24"/>
          <w:szCs w:val="24"/>
        </w:rPr>
        <w:t xml:space="preserve"> до 102,2%. В разрезе корзины валют снижение реального курса приднестровского рубля по отношению к молдавскому лею за отчётный год составило 34,7%, к евро – 28,3%, к гривне – 24,7%, к российскому рублю – 24,9% и к доллару США – 20,2%. </w:t>
      </w:r>
    </w:p>
    <w:p w:rsidR="004E2069" w:rsidRDefault="004E2069" w:rsidP="00DC0A7D">
      <w:pPr>
        <w:widowControl w:val="0"/>
        <w:ind w:firstLine="425"/>
        <w:jc w:val="both"/>
        <w:rPr>
          <w:sz w:val="24"/>
          <w:szCs w:val="24"/>
        </w:rPr>
      </w:pPr>
      <w:r w:rsidRPr="00844210">
        <w:rPr>
          <w:sz w:val="24"/>
          <w:szCs w:val="24"/>
        </w:rPr>
        <w:t xml:space="preserve">Динамика покупательной способности иностранных валют на внутреннем рынке республики, являющаяся индикатором </w:t>
      </w:r>
      <w:r>
        <w:rPr>
          <w:sz w:val="24"/>
          <w:szCs w:val="24"/>
        </w:rPr>
        <w:t xml:space="preserve">внутренней </w:t>
      </w:r>
      <w:r w:rsidRPr="00844210">
        <w:rPr>
          <w:sz w:val="24"/>
          <w:szCs w:val="24"/>
        </w:rPr>
        <w:t xml:space="preserve">ситуации в сфере цено- и курсообразования, характеризовалась увеличением их товарного наполнения. В частности, по итогам отчётного года набор материальных благ, доступный после конвертации гривны, расширился на 16,8%, доллара США – на 22,7%, российского рубля – на 29,9%, евро – на 37,5% и молдавского лея – на 43,0%. </w:t>
      </w:r>
    </w:p>
    <w:p w:rsidR="004E2069" w:rsidRPr="00844210" w:rsidRDefault="004E2069" w:rsidP="00DC0A7D">
      <w:pPr>
        <w:widowControl w:val="0"/>
        <w:ind w:firstLine="425"/>
        <w:jc w:val="both"/>
        <w:rPr>
          <w:sz w:val="24"/>
          <w:szCs w:val="24"/>
        </w:rPr>
      </w:pPr>
    </w:p>
    <w:p w:rsidR="004E2069" w:rsidRDefault="004E2069" w:rsidP="00E90743">
      <w:pPr>
        <w:widowControl w:val="0"/>
        <w:numPr>
          <w:ilvl w:val="1"/>
          <w:numId w:val="1"/>
        </w:numPr>
        <w:jc w:val="both"/>
        <w:rPr>
          <w:b/>
          <w:bCs/>
          <w:noProof/>
          <w:sz w:val="24"/>
          <w:szCs w:val="24"/>
        </w:rPr>
      </w:pPr>
      <w:r w:rsidRPr="00E85DD7">
        <w:rPr>
          <w:b/>
          <w:bCs/>
          <w:noProof/>
          <w:sz w:val="24"/>
          <w:szCs w:val="24"/>
        </w:rPr>
        <w:t>ПЛАТЁЖНАЯ СИСТЕМА</w:t>
      </w:r>
    </w:p>
    <w:p w:rsidR="004E2069" w:rsidRPr="00BF5336" w:rsidRDefault="004E2069" w:rsidP="00172879">
      <w:pPr>
        <w:spacing w:before="120"/>
        <w:ind w:firstLine="425"/>
        <w:jc w:val="both"/>
        <w:rPr>
          <w:sz w:val="24"/>
          <w:szCs w:val="24"/>
        </w:rPr>
      </w:pPr>
      <w:r w:rsidRPr="00D10AD2">
        <w:rPr>
          <w:sz w:val="24"/>
          <w:szCs w:val="24"/>
        </w:rPr>
        <w:t>Взаимоотношения между коммерческими банками по проведению платёжно-расчётных операций реализовывались посредством установленных корреспондентских отношений. Количество корреспондентских счетов на конец 2017 года составило 241 (против 359 годом ранее).</w:t>
      </w:r>
      <w:r w:rsidRPr="00BA7BAA">
        <w:rPr>
          <w:sz w:val="24"/>
          <w:szCs w:val="24"/>
        </w:rPr>
        <w:t xml:space="preserve"> </w:t>
      </w:r>
    </w:p>
    <w:p w:rsidR="004E2069" w:rsidRPr="00BA7BAA" w:rsidRDefault="004E2069" w:rsidP="00BA7BAA">
      <w:pPr>
        <w:widowControl w:val="0"/>
        <w:ind w:firstLine="425"/>
        <w:jc w:val="both"/>
        <w:rPr>
          <w:sz w:val="24"/>
          <w:szCs w:val="24"/>
        </w:rPr>
      </w:pPr>
      <w:r w:rsidRPr="00BA7BAA">
        <w:rPr>
          <w:sz w:val="24"/>
          <w:szCs w:val="24"/>
        </w:rPr>
        <w:t xml:space="preserve">По состоянию на 1 января 2018 года на территории республики действовали </w:t>
      </w:r>
      <w:r>
        <w:rPr>
          <w:sz w:val="24"/>
          <w:szCs w:val="24"/>
        </w:rPr>
        <w:br/>
      </w:r>
      <w:r w:rsidRPr="00BA7BAA">
        <w:rPr>
          <w:sz w:val="24"/>
          <w:szCs w:val="24"/>
        </w:rPr>
        <w:t xml:space="preserve">4 платёжные карточные системы. Наиболее распространёнными среди них являются </w:t>
      </w:r>
      <w:r>
        <w:rPr>
          <w:sz w:val="24"/>
          <w:szCs w:val="24"/>
        </w:rPr>
        <w:br/>
      </w:r>
      <w:r w:rsidRPr="00BA7BAA">
        <w:rPr>
          <w:sz w:val="24"/>
          <w:szCs w:val="24"/>
        </w:rPr>
        <w:t>ПС «Радуга» (67,0% от общего числа карт в обращении) и «Национальная платёжная система (НПС)» (28,8% соответственно). При этом количество карт «Радуга» за 2017 год увеличилось до 12</w:t>
      </w:r>
      <w:r>
        <w:rPr>
          <w:sz w:val="24"/>
          <w:szCs w:val="24"/>
        </w:rPr>
        <w:t>2</w:t>
      </w:r>
      <w:r w:rsidRPr="00BA7BAA">
        <w:rPr>
          <w:sz w:val="24"/>
          <w:szCs w:val="24"/>
        </w:rPr>
        <w:t>,5 тыс. единиц, а число платёжных карт НПС – до 52,6 тыс. единиц.</w:t>
      </w:r>
    </w:p>
    <w:p w:rsidR="004E2069" w:rsidRPr="00BA7BAA" w:rsidRDefault="004E2069" w:rsidP="00BA7BAA">
      <w:pPr>
        <w:widowControl w:val="0"/>
        <w:ind w:firstLine="425"/>
        <w:jc w:val="both"/>
        <w:rPr>
          <w:sz w:val="24"/>
          <w:szCs w:val="24"/>
        </w:rPr>
      </w:pPr>
      <w:r w:rsidRPr="00BA7BAA">
        <w:rPr>
          <w:sz w:val="24"/>
          <w:szCs w:val="24"/>
        </w:rPr>
        <w:t xml:space="preserve">Наряду с внутренними платёжными системами в республике </w:t>
      </w:r>
      <w:r>
        <w:rPr>
          <w:sz w:val="24"/>
          <w:szCs w:val="24"/>
        </w:rPr>
        <w:t>обращаются</w:t>
      </w:r>
      <w:r w:rsidRPr="00BA7BAA">
        <w:rPr>
          <w:sz w:val="24"/>
          <w:szCs w:val="24"/>
        </w:rPr>
        <w:t xml:space="preserve"> карты международных операторов «Виза карт» и «Мастер карт», эквайринг которых осуществляют приднестровские банки. По состоянию на 1 января 2018 года количество таких карт в обращ</w:t>
      </w:r>
      <w:r>
        <w:rPr>
          <w:sz w:val="24"/>
          <w:szCs w:val="24"/>
        </w:rPr>
        <w:t>ении сложилось на уровне 7 749 единиц</w:t>
      </w:r>
      <w:r w:rsidRPr="00BA7BAA">
        <w:rPr>
          <w:sz w:val="24"/>
          <w:szCs w:val="24"/>
        </w:rPr>
        <w:t xml:space="preserve"> и по сравнению с 1 января 2017 года возросло на 14,1%.</w:t>
      </w:r>
      <w:r>
        <w:rPr>
          <w:sz w:val="24"/>
          <w:szCs w:val="24"/>
        </w:rPr>
        <w:t xml:space="preserve"> Удельный вес международных карт в общем количестве карт, эмитированных в республике, составил 4,2%.</w:t>
      </w:r>
      <w:r w:rsidRPr="00BA7BAA">
        <w:rPr>
          <w:sz w:val="24"/>
          <w:szCs w:val="24"/>
        </w:rPr>
        <w:t xml:space="preserve"> </w:t>
      </w:r>
    </w:p>
    <w:p w:rsidR="004E2069" w:rsidRPr="00BA7BAA" w:rsidRDefault="004E2069" w:rsidP="00BA7BAA">
      <w:pPr>
        <w:widowControl w:val="0"/>
        <w:ind w:firstLine="425"/>
        <w:jc w:val="both"/>
        <w:rPr>
          <w:sz w:val="24"/>
          <w:szCs w:val="24"/>
        </w:rPr>
      </w:pPr>
      <w:r>
        <w:rPr>
          <w:sz w:val="24"/>
          <w:szCs w:val="24"/>
        </w:rPr>
        <w:t>Таким образом, с</w:t>
      </w:r>
      <w:r w:rsidRPr="00BA7BAA">
        <w:rPr>
          <w:sz w:val="24"/>
          <w:szCs w:val="24"/>
        </w:rPr>
        <w:t>овокупное количество пластиковых карт</w:t>
      </w:r>
      <w:r>
        <w:rPr>
          <w:sz w:val="24"/>
          <w:szCs w:val="24"/>
        </w:rPr>
        <w:t>, выпущенных в обращение</w:t>
      </w:r>
      <w:r w:rsidRPr="00BA7BAA">
        <w:rPr>
          <w:sz w:val="24"/>
          <w:szCs w:val="24"/>
        </w:rPr>
        <w:t xml:space="preserve"> за 2017 год</w:t>
      </w:r>
      <w:r>
        <w:rPr>
          <w:sz w:val="24"/>
          <w:szCs w:val="24"/>
        </w:rPr>
        <w:t>,</w:t>
      </w:r>
      <w:r w:rsidRPr="00BA7BAA">
        <w:rPr>
          <w:sz w:val="24"/>
          <w:szCs w:val="24"/>
        </w:rPr>
        <w:t xml:space="preserve"> возросло на 9,5% и на 01.01.2018 составило 182 896 штук. Подавляющее большинство держателей платёжных карт (95,3%) использовали карты внутренних платёжных систем, по итогам года число пользователей </w:t>
      </w:r>
      <w:r>
        <w:rPr>
          <w:sz w:val="24"/>
          <w:szCs w:val="24"/>
        </w:rPr>
        <w:t>сложилось на уровне</w:t>
      </w:r>
      <w:r w:rsidRPr="00BA7BAA">
        <w:rPr>
          <w:sz w:val="24"/>
          <w:szCs w:val="24"/>
        </w:rPr>
        <w:t xml:space="preserve"> 149 338 чел. </w:t>
      </w:r>
      <w:r>
        <w:rPr>
          <w:sz w:val="24"/>
          <w:szCs w:val="24"/>
        </w:rPr>
        <w:br/>
      </w:r>
      <w:r w:rsidRPr="00BA7BAA">
        <w:rPr>
          <w:sz w:val="24"/>
          <w:szCs w:val="24"/>
        </w:rPr>
        <w:t xml:space="preserve">(-5,1%). Число владельцев карт международных платёжных систем </w:t>
      </w:r>
      <w:r>
        <w:rPr>
          <w:sz w:val="24"/>
          <w:szCs w:val="24"/>
        </w:rPr>
        <w:t>увеличилось до</w:t>
      </w:r>
      <w:r w:rsidRPr="00BA7BAA">
        <w:rPr>
          <w:sz w:val="24"/>
          <w:szCs w:val="24"/>
        </w:rPr>
        <w:t xml:space="preserve"> </w:t>
      </w:r>
      <w:r>
        <w:rPr>
          <w:sz w:val="24"/>
          <w:szCs w:val="24"/>
        </w:rPr>
        <w:br/>
      </w:r>
      <w:r w:rsidRPr="00BA7BAA">
        <w:rPr>
          <w:sz w:val="24"/>
          <w:szCs w:val="24"/>
        </w:rPr>
        <w:t>7 401 человек (+15,7%).</w:t>
      </w:r>
    </w:p>
    <w:p w:rsidR="004E2069" w:rsidRPr="00BA7BAA" w:rsidRDefault="004E2069" w:rsidP="00BA7BAA">
      <w:pPr>
        <w:autoSpaceDE w:val="0"/>
        <w:autoSpaceDN w:val="0"/>
        <w:adjustRightInd w:val="0"/>
        <w:ind w:firstLine="425"/>
        <w:jc w:val="both"/>
        <w:rPr>
          <w:sz w:val="24"/>
          <w:szCs w:val="24"/>
        </w:rPr>
      </w:pPr>
      <w:r>
        <w:rPr>
          <w:sz w:val="24"/>
          <w:szCs w:val="24"/>
        </w:rPr>
        <w:t>П</w:t>
      </w:r>
      <w:r w:rsidRPr="00BA7BAA">
        <w:rPr>
          <w:sz w:val="24"/>
          <w:szCs w:val="24"/>
        </w:rPr>
        <w:t>осредством использования платёжных карт было совершено 9,5 млн транзакций, что на 22,2% превысило уровень 2016 года. В среднем за месяц проводилось 791,5 тыс. операций против 647,5 тыс. в базисном периоде. Суммарный оборот средств</w:t>
      </w:r>
      <w:r>
        <w:rPr>
          <w:sz w:val="24"/>
          <w:szCs w:val="24"/>
        </w:rPr>
        <w:t xml:space="preserve"> по</w:t>
      </w:r>
      <w:r w:rsidRPr="00BA7BAA">
        <w:rPr>
          <w:sz w:val="24"/>
          <w:szCs w:val="24"/>
        </w:rPr>
        <w:t xml:space="preserve"> </w:t>
      </w:r>
      <w:r>
        <w:rPr>
          <w:sz w:val="24"/>
          <w:szCs w:val="24"/>
        </w:rPr>
        <w:t>ним</w:t>
      </w:r>
      <w:r w:rsidRPr="00BA7BAA">
        <w:rPr>
          <w:sz w:val="24"/>
          <w:szCs w:val="24"/>
        </w:rPr>
        <w:t xml:space="preserve"> также расширился, однако в меньших масштабах (+6,2%</w:t>
      </w:r>
      <w:r>
        <w:rPr>
          <w:sz w:val="24"/>
          <w:szCs w:val="24"/>
        </w:rPr>
        <w:t xml:space="preserve">, до </w:t>
      </w:r>
      <w:r w:rsidRPr="00BA7BAA">
        <w:rPr>
          <w:sz w:val="24"/>
          <w:szCs w:val="24"/>
        </w:rPr>
        <w:t>4 599,7 млн руб.). Таким образом, на одну транзакцию приходилось порядка 484,2 руб. (-13,2%).</w:t>
      </w:r>
    </w:p>
    <w:p w:rsidR="004E2069" w:rsidRPr="00BF5336" w:rsidRDefault="004E2069" w:rsidP="00BA7BAA">
      <w:pPr>
        <w:widowControl w:val="0"/>
        <w:ind w:firstLine="425"/>
        <w:jc w:val="both"/>
        <w:rPr>
          <w:sz w:val="24"/>
          <w:szCs w:val="24"/>
        </w:rPr>
      </w:pPr>
      <w:r w:rsidRPr="00BF5336">
        <w:rPr>
          <w:sz w:val="24"/>
          <w:szCs w:val="24"/>
        </w:rPr>
        <w:t xml:space="preserve">В разрезе направлений использования средств процентное соотношение между количеством операций по оплате товаров и выдаче наличных сложилось на уровне 54,4% против 45,6%. Вместе с тем в денежном выражении операции по снятию наличных денег продолжают превалировать: 85,3% от общего объёма (или 3 922,7 млн руб.). При этом сумма средств, обналичиваемых в среднем за одну транзакцию, по итогам 2017 года составила 906,3 руб., что на 5,3% ниже соответствующего значения прошлого года. С использованием банкоматов и других программно-технических комплексов, работающих с платёжными картами, в среднем за одну транзакцию обналичивалось порядка 570,0 руб. (621,6 руб.). Всего же с их </w:t>
      </w:r>
      <w:r>
        <w:rPr>
          <w:sz w:val="24"/>
          <w:szCs w:val="24"/>
        </w:rPr>
        <w:t>помощью</w:t>
      </w:r>
      <w:r w:rsidRPr="00BF5336">
        <w:rPr>
          <w:sz w:val="24"/>
          <w:szCs w:val="24"/>
        </w:rPr>
        <w:t xml:space="preserve"> было совершено 2,8 млн операций (+14,6%) на сумму </w:t>
      </w:r>
      <w:r>
        <w:rPr>
          <w:sz w:val="24"/>
          <w:szCs w:val="24"/>
        </w:rPr>
        <w:br/>
      </w:r>
      <w:r w:rsidRPr="00BF5336">
        <w:rPr>
          <w:sz w:val="24"/>
          <w:szCs w:val="24"/>
        </w:rPr>
        <w:t>1 601,9 млн руб. (+5,0%). Количество подобных технических устройств в целом по республике за 2017 год сократилось на 1,9% и составило 421 единицу.</w:t>
      </w:r>
    </w:p>
    <w:p w:rsidR="004E2069" w:rsidRPr="00BF5336" w:rsidRDefault="004E2069" w:rsidP="00BF6CBA">
      <w:pPr>
        <w:ind w:firstLine="425"/>
        <w:jc w:val="both"/>
        <w:rPr>
          <w:sz w:val="24"/>
          <w:szCs w:val="24"/>
        </w:rPr>
      </w:pPr>
      <w:r w:rsidRPr="00BF5336">
        <w:rPr>
          <w:sz w:val="24"/>
          <w:szCs w:val="24"/>
        </w:rPr>
        <w:t>Значительный объём межстрановых финансовых потоков аккумулирован в системах международных денежных переводов (СМДП). По информации приднестровских коммерческих банков, в 2017 году в республике функционировало 10 таких систем, наиболее часто используемыми из которых являются: «Золотая корона», «</w:t>
      </w:r>
      <w:r w:rsidRPr="00BF5336">
        <w:rPr>
          <w:sz w:val="24"/>
          <w:szCs w:val="24"/>
          <w:lang w:val="en-US"/>
        </w:rPr>
        <w:t>Contact</w:t>
      </w:r>
      <w:r w:rsidRPr="00BF5336">
        <w:rPr>
          <w:sz w:val="24"/>
          <w:szCs w:val="24"/>
        </w:rPr>
        <w:t>», «</w:t>
      </w:r>
      <w:r w:rsidRPr="00BF5336">
        <w:rPr>
          <w:sz w:val="24"/>
          <w:szCs w:val="24"/>
          <w:lang w:val="en-US"/>
        </w:rPr>
        <w:t>Western</w:t>
      </w:r>
      <w:r w:rsidRPr="00BF5336">
        <w:rPr>
          <w:sz w:val="24"/>
          <w:szCs w:val="24"/>
        </w:rPr>
        <w:t xml:space="preserve"> </w:t>
      </w:r>
      <w:r w:rsidRPr="00BF5336">
        <w:rPr>
          <w:sz w:val="24"/>
          <w:szCs w:val="24"/>
          <w:lang w:val="en-US"/>
        </w:rPr>
        <w:t>Union</w:t>
      </w:r>
      <w:r w:rsidRPr="00BF5336">
        <w:rPr>
          <w:sz w:val="24"/>
          <w:szCs w:val="24"/>
        </w:rPr>
        <w:t>», «</w:t>
      </w:r>
      <w:r w:rsidRPr="00BF5336">
        <w:rPr>
          <w:sz w:val="24"/>
          <w:szCs w:val="24"/>
          <w:lang w:val="en-US"/>
        </w:rPr>
        <w:t>MoneyGram</w:t>
      </w:r>
      <w:r w:rsidRPr="00BF5336">
        <w:rPr>
          <w:sz w:val="24"/>
          <w:szCs w:val="24"/>
        </w:rPr>
        <w:t xml:space="preserve">» и «Юнистрим». </w:t>
      </w:r>
    </w:p>
    <w:p w:rsidR="004E2069" w:rsidRPr="00BF5336" w:rsidRDefault="004E2069" w:rsidP="00BF5336">
      <w:pPr>
        <w:ind w:firstLine="425"/>
        <w:jc w:val="both"/>
        <w:rPr>
          <w:sz w:val="24"/>
          <w:szCs w:val="24"/>
        </w:rPr>
      </w:pPr>
      <w:r>
        <w:rPr>
          <w:sz w:val="24"/>
          <w:szCs w:val="24"/>
        </w:rPr>
        <w:t>Нетто-о</w:t>
      </w:r>
      <w:r w:rsidRPr="00BF5336">
        <w:rPr>
          <w:sz w:val="24"/>
          <w:szCs w:val="24"/>
        </w:rPr>
        <w:t xml:space="preserve">бъём средств, поступивших в Приднестровье по </w:t>
      </w:r>
      <w:bookmarkStart w:id="6" w:name="OLE_LINK3"/>
      <w:r w:rsidRPr="00BF5336">
        <w:rPr>
          <w:sz w:val="24"/>
          <w:szCs w:val="24"/>
        </w:rPr>
        <w:t>системам международных денежных переводов</w:t>
      </w:r>
      <w:bookmarkEnd w:id="6"/>
      <w:r w:rsidRPr="00BF5336">
        <w:rPr>
          <w:sz w:val="24"/>
          <w:szCs w:val="24"/>
        </w:rPr>
        <w:t xml:space="preserve"> за 2017 год, </w:t>
      </w:r>
      <w:r>
        <w:rPr>
          <w:sz w:val="24"/>
          <w:szCs w:val="24"/>
        </w:rPr>
        <w:t>сложил</w:t>
      </w:r>
      <w:r w:rsidRPr="00BF5336">
        <w:rPr>
          <w:sz w:val="24"/>
          <w:szCs w:val="24"/>
        </w:rPr>
        <w:t>с</w:t>
      </w:r>
      <w:r>
        <w:rPr>
          <w:sz w:val="24"/>
          <w:szCs w:val="24"/>
        </w:rPr>
        <w:t>я</w:t>
      </w:r>
      <w:r w:rsidRPr="00BF5336">
        <w:rPr>
          <w:sz w:val="24"/>
          <w:szCs w:val="24"/>
        </w:rPr>
        <w:t xml:space="preserve"> в зоне положительного значения, составив </w:t>
      </w:r>
      <w:r>
        <w:rPr>
          <w:sz w:val="24"/>
          <w:szCs w:val="24"/>
        </w:rPr>
        <w:br/>
      </w:r>
      <w:r w:rsidRPr="00BF5336">
        <w:rPr>
          <w:sz w:val="24"/>
          <w:szCs w:val="24"/>
        </w:rPr>
        <w:t>52,0 млн долл., что в 5 раз превысило уровень прошлого года. Основное влияние на данный результат оказала динамика денежных переводов из Российской Федерации, откуда на чистой основе поступило иностранной валюты на сумму 37,0 млн долл. в эквиваленте.</w:t>
      </w:r>
    </w:p>
    <w:p w:rsidR="004E2069" w:rsidRPr="00BF5336" w:rsidRDefault="004E2069" w:rsidP="00BF5336">
      <w:pPr>
        <w:ind w:firstLine="425"/>
        <w:jc w:val="both"/>
        <w:rPr>
          <w:sz w:val="24"/>
          <w:szCs w:val="24"/>
        </w:rPr>
      </w:pPr>
      <w:r>
        <w:rPr>
          <w:sz w:val="24"/>
          <w:szCs w:val="24"/>
        </w:rPr>
        <w:t>Наряду с банковским сектором</w:t>
      </w:r>
      <w:r w:rsidRPr="00BF5336">
        <w:rPr>
          <w:sz w:val="24"/>
          <w:szCs w:val="24"/>
        </w:rPr>
        <w:t xml:space="preserve"> участником платёжной системы республики является ГУП «Почта Приднестровья», которая оказывает услуги по перевод</w:t>
      </w:r>
      <w:r>
        <w:rPr>
          <w:sz w:val="24"/>
          <w:szCs w:val="24"/>
        </w:rPr>
        <w:t>у</w:t>
      </w:r>
      <w:r w:rsidRPr="00BF5336">
        <w:rPr>
          <w:sz w:val="24"/>
          <w:szCs w:val="24"/>
        </w:rPr>
        <w:t xml:space="preserve"> денежных средств. По итогам 2017 года почтовыми отделениями было переведено средств в объёме 9,1 млн руб. </w:t>
      </w:r>
      <w:r>
        <w:rPr>
          <w:sz w:val="24"/>
          <w:szCs w:val="24"/>
        </w:rPr>
        <w:br/>
      </w:r>
      <w:r w:rsidRPr="00BF5336">
        <w:rPr>
          <w:sz w:val="24"/>
          <w:szCs w:val="24"/>
        </w:rPr>
        <w:t xml:space="preserve">(-4,1%), из которых порядка 76,1%, или 6,9 млн руб., пришлось на операции внутри республики. </w:t>
      </w:r>
    </w:p>
    <w:p w:rsidR="004E2069" w:rsidRPr="00BA7BAA" w:rsidRDefault="004E2069" w:rsidP="00BA7BAA">
      <w:pPr>
        <w:widowControl w:val="0"/>
        <w:ind w:firstLine="425"/>
        <w:jc w:val="both"/>
        <w:rPr>
          <w:sz w:val="24"/>
          <w:szCs w:val="24"/>
        </w:rPr>
      </w:pPr>
    </w:p>
    <w:p w:rsidR="004E2069" w:rsidRDefault="004E2069" w:rsidP="00E90743">
      <w:pPr>
        <w:widowControl w:val="0"/>
        <w:numPr>
          <w:ilvl w:val="1"/>
          <w:numId w:val="1"/>
        </w:numPr>
        <w:jc w:val="both"/>
        <w:rPr>
          <w:b/>
          <w:bCs/>
          <w:noProof/>
          <w:sz w:val="24"/>
          <w:szCs w:val="24"/>
        </w:rPr>
      </w:pPr>
      <w:r w:rsidRPr="00E85DD7">
        <w:rPr>
          <w:b/>
          <w:bCs/>
          <w:noProof/>
          <w:sz w:val="24"/>
          <w:szCs w:val="24"/>
        </w:rPr>
        <w:t>ПЛАТЁЖНЫЙ БАЛАНС</w:t>
      </w:r>
    </w:p>
    <w:p w:rsidR="004E2069" w:rsidRPr="00776A12" w:rsidRDefault="004E2069" w:rsidP="00776A12">
      <w:pPr>
        <w:pStyle w:val="ListParagraph"/>
        <w:rPr>
          <w:b/>
          <w:bCs/>
          <w:noProof/>
          <w:sz w:val="12"/>
          <w:szCs w:val="12"/>
        </w:rPr>
      </w:pPr>
    </w:p>
    <w:p w:rsidR="004E2069" w:rsidRDefault="004E2069" w:rsidP="001F3121">
      <w:pPr>
        <w:widowControl w:val="0"/>
        <w:ind w:firstLine="425"/>
        <w:jc w:val="both"/>
        <w:rPr>
          <w:sz w:val="24"/>
          <w:szCs w:val="24"/>
        </w:rPr>
      </w:pPr>
      <w:r w:rsidRPr="00776A12">
        <w:rPr>
          <w:sz w:val="24"/>
          <w:szCs w:val="24"/>
        </w:rPr>
        <w:t>Ведущим фактором динамики платёжного баланса в 2017 год</w:t>
      </w:r>
      <w:r>
        <w:rPr>
          <w:sz w:val="24"/>
          <w:szCs w:val="24"/>
        </w:rPr>
        <w:t>у</w:t>
      </w:r>
      <w:r w:rsidRPr="00776A12">
        <w:rPr>
          <w:sz w:val="24"/>
          <w:szCs w:val="24"/>
        </w:rPr>
        <w:t xml:space="preserve"> стало наращивание внешнеторговых операций ряд</w:t>
      </w:r>
      <w:r>
        <w:rPr>
          <w:sz w:val="24"/>
          <w:szCs w:val="24"/>
        </w:rPr>
        <w:t>ом</w:t>
      </w:r>
      <w:r w:rsidRPr="00776A12">
        <w:rPr>
          <w:sz w:val="24"/>
          <w:szCs w:val="24"/>
        </w:rPr>
        <w:t xml:space="preserve"> крупных предприятий республики, в результате чего их объёмы не только достигли утраченных в предыдущие годы уровней, но и несколько их превзошли. Приток средств фиксировался и по линии трансфертов частного сектора. Однако при этом негативное влияние на формирование сальдо счёта текущих операций оказало существенное увеличение дефицита баланса первичных доходов. В целом отрицательное сальдо первого счёта платёжного баланса сложилось на уровне </w:t>
      </w:r>
      <w:r>
        <w:rPr>
          <w:sz w:val="24"/>
          <w:szCs w:val="24"/>
        </w:rPr>
        <w:t>291,2</w:t>
      </w:r>
      <w:r w:rsidRPr="00776A12">
        <w:rPr>
          <w:sz w:val="24"/>
          <w:szCs w:val="24"/>
        </w:rPr>
        <w:t xml:space="preserve"> млн долл., сократившись на </w:t>
      </w:r>
      <w:r>
        <w:rPr>
          <w:sz w:val="24"/>
          <w:szCs w:val="24"/>
        </w:rPr>
        <w:t>2,7</w:t>
      </w:r>
      <w:r w:rsidRPr="00776A12">
        <w:rPr>
          <w:sz w:val="24"/>
          <w:szCs w:val="24"/>
        </w:rPr>
        <w:t>% относительно значения 2016 года</w:t>
      </w:r>
      <w:r>
        <w:rPr>
          <w:sz w:val="24"/>
          <w:szCs w:val="24"/>
        </w:rPr>
        <w:t xml:space="preserve"> (табл. 1.6).</w:t>
      </w:r>
    </w:p>
    <w:p w:rsidR="004E2069" w:rsidRDefault="004E2069" w:rsidP="002C7262">
      <w:pPr>
        <w:ind w:firstLine="425"/>
        <w:jc w:val="both"/>
        <w:rPr>
          <w:sz w:val="24"/>
          <w:szCs w:val="24"/>
        </w:rPr>
      </w:pPr>
      <w:r>
        <w:rPr>
          <w:sz w:val="24"/>
          <w:szCs w:val="24"/>
        </w:rPr>
        <w:t>С</w:t>
      </w:r>
      <w:r w:rsidRPr="00776A12">
        <w:rPr>
          <w:sz w:val="24"/>
          <w:szCs w:val="24"/>
        </w:rPr>
        <w:t>овокупный внешнеторговый оборот</w:t>
      </w:r>
      <w:r w:rsidRPr="001F5012">
        <w:rPr>
          <w:sz w:val="24"/>
          <w:szCs w:val="24"/>
          <w:vertAlign w:val="superscript"/>
        </w:rPr>
        <w:footnoteReference w:id="18"/>
      </w:r>
      <w:r w:rsidRPr="00776A12">
        <w:rPr>
          <w:sz w:val="24"/>
          <w:szCs w:val="24"/>
        </w:rPr>
        <w:t xml:space="preserve"> республики </w:t>
      </w:r>
      <w:r>
        <w:rPr>
          <w:sz w:val="24"/>
          <w:szCs w:val="24"/>
        </w:rPr>
        <w:t>за 2017 год</w:t>
      </w:r>
      <w:r w:rsidRPr="00776A12">
        <w:rPr>
          <w:sz w:val="24"/>
          <w:szCs w:val="24"/>
        </w:rPr>
        <w:t xml:space="preserve"> расширился на </w:t>
      </w:r>
      <w:r>
        <w:rPr>
          <w:sz w:val="24"/>
          <w:szCs w:val="24"/>
        </w:rPr>
        <w:t>17,9</w:t>
      </w:r>
      <w:r w:rsidRPr="00776A12">
        <w:rPr>
          <w:sz w:val="24"/>
          <w:szCs w:val="24"/>
        </w:rPr>
        <w:t xml:space="preserve">%, достигнув </w:t>
      </w:r>
      <w:r>
        <w:rPr>
          <w:sz w:val="24"/>
          <w:szCs w:val="24"/>
        </w:rPr>
        <w:t>1 565,8</w:t>
      </w:r>
      <w:r w:rsidRPr="00776A12">
        <w:rPr>
          <w:sz w:val="24"/>
          <w:szCs w:val="24"/>
        </w:rPr>
        <w:t xml:space="preserve"> млн долл.</w:t>
      </w:r>
      <w:r w:rsidRPr="00A27C69">
        <w:rPr>
          <w:sz w:val="24"/>
          <w:szCs w:val="24"/>
        </w:rPr>
        <w:t xml:space="preserve"> </w:t>
      </w:r>
      <w:r w:rsidRPr="004464BC">
        <w:rPr>
          <w:sz w:val="24"/>
          <w:szCs w:val="24"/>
        </w:rPr>
        <w:t xml:space="preserve">В структуре показателя </w:t>
      </w:r>
      <w:r>
        <w:rPr>
          <w:sz w:val="24"/>
          <w:szCs w:val="24"/>
        </w:rPr>
        <w:t xml:space="preserve">сохранились наблюдаемые с </w:t>
      </w:r>
      <w:r>
        <w:rPr>
          <w:sz w:val="24"/>
          <w:szCs w:val="24"/>
        </w:rPr>
        <w:br/>
        <w:t>2013-2014 годов тенденции роста коэффициента покрытия импорта экспортом (+2,4 п.п., до 59,7</w:t>
      </w:r>
      <w:r w:rsidRPr="00776A12">
        <w:rPr>
          <w:sz w:val="24"/>
          <w:szCs w:val="24"/>
        </w:rPr>
        <w:t>%</w:t>
      </w:r>
      <w:r>
        <w:rPr>
          <w:sz w:val="24"/>
          <w:szCs w:val="24"/>
        </w:rPr>
        <w:t>) и удельного веса экспорта (+1,0 п.п. к уровню 2016 года, до 37,4%)</w:t>
      </w:r>
      <w:r w:rsidRPr="00776A12">
        <w:rPr>
          <w:sz w:val="24"/>
          <w:szCs w:val="24"/>
        </w:rPr>
        <w:t>.</w:t>
      </w:r>
      <w:r>
        <w:rPr>
          <w:sz w:val="24"/>
          <w:szCs w:val="24"/>
        </w:rPr>
        <w:t xml:space="preserve"> </w:t>
      </w:r>
    </w:p>
    <w:p w:rsidR="004E2069" w:rsidRDefault="004E2069" w:rsidP="002C7262">
      <w:pPr>
        <w:ind w:firstLine="425"/>
        <w:jc w:val="both"/>
        <w:rPr>
          <w:sz w:val="24"/>
          <w:szCs w:val="24"/>
        </w:rPr>
      </w:pPr>
      <w:r w:rsidRPr="00CA1682">
        <w:rPr>
          <w:sz w:val="24"/>
          <w:szCs w:val="24"/>
        </w:rPr>
        <w:t xml:space="preserve">Отрицательное сальдо торгового баланса, традиционно определяющее масштабы первого счёта платёжного баланса, составило </w:t>
      </w:r>
      <w:r>
        <w:rPr>
          <w:sz w:val="24"/>
          <w:szCs w:val="24"/>
        </w:rPr>
        <w:t>395,4</w:t>
      </w:r>
      <w:r w:rsidRPr="00CA1682">
        <w:rPr>
          <w:sz w:val="24"/>
          <w:szCs w:val="24"/>
        </w:rPr>
        <w:t xml:space="preserve"> млн долл., </w:t>
      </w:r>
      <w:r>
        <w:rPr>
          <w:sz w:val="24"/>
          <w:szCs w:val="24"/>
        </w:rPr>
        <w:t>превысив</w:t>
      </w:r>
      <w:r w:rsidRPr="00CA1682">
        <w:rPr>
          <w:sz w:val="24"/>
          <w:szCs w:val="24"/>
        </w:rPr>
        <w:t xml:space="preserve"> на </w:t>
      </w:r>
      <w:r>
        <w:rPr>
          <w:sz w:val="24"/>
          <w:szCs w:val="24"/>
        </w:rPr>
        <w:t>9,9</w:t>
      </w:r>
      <w:r w:rsidRPr="00CA1682">
        <w:rPr>
          <w:sz w:val="24"/>
          <w:szCs w:val="24"/>
        </w:rPr>
        <w:t>%</w:t>
      </w:r>
      <w:r>
        <w:rPr>
          <w:sz w:val="24"/>
          <w:szCs w:val="24"/>
        </w:rPr>
        <w:t xml:space="preserve"> значение 2016 года</w:t>
      </w:r>
      <w:r w:rsidRPr="00CA1682">
        <w:rPr>
          <w:sz w:val="24"/>
          <w:szCs w:val="24"/>
        </w:rPr>
        <w:t>.</w:t>
      </w:r>
      <w:r>
        <w:rPr>
          <w:sz w:val="24"/>
          <w:szCs w:val="24"/>
        </w:rPr>
        <w:t xml:space="preserve"> В</w:t>
      </w:r>
      <w:r w:rsidRPr="00CA1682">
        <w:rPr>
          <w:sz w:val="24"/>
          <w:szCs w:val="24"/>
        </w:rPr>
        <w:t xml:space="preserve"> стоимостном выражении объём проданной за рубеж продукции, согласно методике платёжного баланса, возрос </w:t>
      </w:r>
      <w:r>
        <w:rPr>
          <w:sz w:val="24"/>
          <w:szCs w:val="24"/>
        </w:rPr>
        <w:t>на 20,9%, до 585,2</w:t>
      </w:r>
      <w:r w:rsidRPr="00CA1682">
        <w:rPr>
          <w:sz w:val="24"/>
          <w:szCs w:val="24"/>
        </w:rPr>
        <w:t xml:space="preserve"> млн долл. Основными партнёрами по-прежнему оставались хозяйствующие субъекты стран Содружества, однако в </w:t>
      </w:r>
      <w:r>
        <w:rPr>
          <w:sz w:val="24"/>
          <w:szCs w:val="24"/>
        </w:rPr>
        <w:t>отчётном году</w:t>
      </w:r>
      <w:r w:rsidRPr="00CA1682">
        <w:rPr>
          <w:sz w:val="24"/>
          <w:szCs w:val="24"/>
        </w:rPr>
        <w:t xml:space="preserve"> их долевое представление в совокупном показателе снизилось на </w:t>
      </w:r>
      <w:r>
        <w:rPr>
          <w:sz w:val="24"/>
          <w:szCs w:val="24"/>
        </w:rPr>
        <w:t>9,3</w:t>
      </w:r>
      <w:r w:rsidRPr="00CA1682">
        <w:rPr>
          <w:sz w:val="24"/>
          <w:szCs w:val="24"/>
        </w:rPr>
        <w:t xml:space="preserve"> п.п.</w:t>
      </w:r>
      <w:r>
        <w:rPr>
          <w:sz w:val="24"/>
          <w:szCs w:val="24"/>
        </w:rPr>
        <w:t>, до 65,3</w:t>
      </w:r>
      <w:r w:rsidRPr="00CA1682">
        <w:rPr>
          <w:sz w:val="24"/>
          <w:szCs w:val="24"/>
        </w:rPr>
        <w:t xml:space="preserve">%. В целом стоимостная величина приднестровских товаров, реализованных в государства СНГ, зафиксирована на уровне </w:t>
      </w:r>
      <w:r>
        <w:rPr>
          <w:sz w:val="24"/>
          <w:szCs w:val="24"/>
        </w:rPr>
        <w:t>382,1</w:t>
      </w:r>
      <w:r w:rsidRPr="00CA1682">
        <w:rPr>
          <w:sz w:val="24"/>
          <w:szCs w:val="24"/>
        </w:rPr>
        <w:t xml:space="preserve"> млн долл.</w:t>
      </w:r>
      <w:r>
        <w:rPr>
          <w:sz w:val="24"/>
          <w:szCs w:val="24"/>
        </w:rPr>
        <w:t xml:space="preserve"> (+5,8</w:t>
      </w:r>
      <w:r w:rsidRPr="00CA1682">
        <w:rPr>
          <w:sz w:val="24"/>
          <w:szCs w:val="24"/>
        </w:rPr>
        <w:t>%</w:t>
      </w:r>
      <w:r>
        <w:rPr>
          <w:sz w:val="24"/>
          <w:szCs w:val="24"/>
        </w:rPr>
        <w:t>)</w:t>
      </w:r>
      <w:r w:rsidRPr="00CA1682">
        <w:rPr>
          <w:sz w:val="24"/>
          <w:szCs w:val="24"/>
        </w:rPr>
        <w:t>.</w:t>
      </w:r>
      <w:r>
        <w:rPr>
          <w:sz w:val="24"/>
          <w:szCs w:val="24"/>
        </w:rPr>
        <w:t xml:space="preserve"> Однако почти 80</w:t>
      </w:r>
      <w:r w:rsidRPr="00CA1682">
        <w:rPr>
          <w:sz w:val="24"/>
          <w:szCs w:val="24"/>
        </w:rPr>
        <w:t xml:space="preserve">% прироста суммарного экспорта было обусловлено значительной активизацией торговых поставок в страны дальнего зарубежья (в </w:t>
      </w:r>
      <w:r>
        <w:rPr>
          <w:sz w:val="24"/>
          <w:szCs w:val="24"/>
        </w:rPr>
        <w:t>1,7</w:t>
      </w:r>
      <w:r w:rsidRPr="00CA1682">
        <w:rPr>
          <w:sz w:val="24"/>
          <w:szCs w:val="24"/>
        </w:rPr>
        <w:t xml:space="preserve"> раза</w:t>
      </w:r>
      <w:r>
        <w:rPr>
          <w:sz w:val="24"/>
          <w:szCs w:val="24"/>
        </w:rPr>
        <w:t>,</w:t>
      </w:r>
      <w:r w:rsidRPr="00CA1682">
        <w:rPr>
          <w:sz w:val="24"/>
          <w:szCs w:val="24"/>
        </w:rPr>
        <w:t xml:space="preserve"> до </w:t>
      </w:r>
      <w:r>
        <w:rPr>
          <w:sz w:val="24"/>
          <w:szCs w:val="24"/>
        </w:rPr>
        <w:t>203,0</w:t>
      </w:r>
      <w:r w:rsidRPr="00CA1682">
        <w:rPr>
          <w:sz w:val="24"/>
          <w:szCs w:val="24"/>
        </w:rPr>
        <w:t xml:space="preserve"> млн долл.).</w:t>
      </w:r>
      <w:r>
        <w:rPr>
          <w:sz w:val="24"/>
          <w:szCs w:val="24"/>
        </w:rPr>
        <w:t xml:space="preserve"> </w:t>
      </w:r>
    </w:p>
    <w:p w:rsidR="004E2069" w:rsidRDefault="004E2069" w:rsidP="001F3121">
      <w:pPr>
        <w:widowControl w:val="0"/>
        <w:autoSpaceDE w:val="0"/>
        <w:autoSpaceDN w:val="0"/>
        <w:adjustRightInd w:val="0"/>
        <w:spacing w:before="120"/>
        <w:ind w:firstLine="425"/>
        <w:jc w:val="right"/>
        <w:rPr>
          <w:b/>
          <w:i/>
          <w:sz w:val="24"/>
          <w:szCs w:val="24"/>
        </w:rPr>
      </w:pPr>
    </w:p>
    <w:p w:rsidR="004E2069" w:rsidRDefault="004E2069" w:rsidP="001F3121">
      <w:pPr>
        <w:widowControl w:val="0"/>
        <w:autoSpaceDE w:val="0"/>
        <w:autoSpaceDN w:val="0"/>
        <w:adjustRightInd w:val="0"/>
        <w:spacing w:before="120"/>
        <w:ind w:firstLine="425"/>
        <w:jc w:val="right"/>
        <w:rPr>
          <w:b/>
          <w:i/>
          <w:sz w:val="24"/>
          <w:szCs w:val="24"/>
        </w:rPr>
      </w:pPr>
    </w:p>
    <w:p w:rsidR="004E2069" w:rsidRPr="00E92CFF" w:rsidRDefault="004E2069" w:rsidP="001F3121">
      <w:pPr>
        <w:widowControl w:val="0"/>
        <w:autoSpaceDE w:val="0"/>
        <w:autoSpaceDN w:val="0"/>
        <w:adjustRightInd w:val="0"/>
        <w:spacing w:before="120"/>
        <w:ind w:firstLine="425"/>
        <w:jc w:val="right"/>
        <w:rPr>
          <w:b/>
          <w:i/>
          <w:sz w:val="24"/>
          <w:szCs w:val="24"/>
        </w:rPr>
      </w:pPr>
      <w:r w:rsidRPr="00E92CFF">
        <w:rPr>
          <w:b/>
          <w:i/>
          <w:sz w:val="24"/>
          <w:szCs w:val="24"/>
        </w:rPr>
        <w:t xml:space="preserve">Таблица </w:t>
      </w:r>
      <w:r>
        <w:rPr>
          <w:b/>
          <w:i/>
          <w:sz w:val="24"/>
          <w:szCs w:val="24"/>
        </w:rPr>
        <w:t>1.6</w:t>
      </w:r>
    </w:p>
    <w:p w:rsidR="004E2069" w:rsidRPr="00E92CFF" w:rsidRDefault="004E2069" w:rsidP="001F3121">
      <w:pPr>
        <w:pStyle w:val="Heading1"/>
        <w:keepNext w:val="0"/>
        <w:spacing w:before="120" w:line="10" w:lineRule="atLeast"/>
        <w:jc w:val="center"/>
        <w:rPr>
          <w:b/>
          <w:i/>
          <w:sz w:val="24"/>
          <w:szCs w:val="24"/>
          <w:vertAlign w:val="superscript"/>
        </w:rPr>
      </w:pPr>
      <w:r w:rsidRPr="00E92CFF">
        <w:rPr>
          <w:b/>
          <w:i/>
          <w:sz w:val="24"/>
          <w:szCs w:val="24"/>
        </w:rPr>
        <w:t>Платёжный баланс ПМР (сальдо) за 2015-2017 гг.</w:t>
      </w:r>
      <w:r w:rsidRPr="00E92CFF">
        <w:rPr>
          <w:b/>
          <w:i/>
          <w:sz w:val="24"/>
          <w:szCs w:val="24"/>
          <w:vertAlign w:val="superscript"/>
        </w:rPr>
        <w:t xml:space="preserve"> </w:t>
      </w:r>
      <w:r w:rsidRPr="00E92CFF">
        <w:rPr>
          <w:rStyle w:val="FootnoteReference"/>
          <w:b/>
          <w:i/>
          <w:sz w:val="24"/>
          <w:szCs w:val="24"/>
        </w:rPr>
        <w:footnoteReference w:id="19"/>
      </w:r>
      <w:r w:rsidRPr="00E92CFF">
        <w:rPr>
          <w:b/>
          <w:i/>
          <w:sz w:val="24"/>
          <w:szCs w:val="24"/>
          <w:vertAlign w:val="superscript"/>
        </w:rPr>
        <w:t>,</w:t>
      </w:r>
      <w:r w:rsidRPr="00E92CFF">
        <w:rPr>
          <w:rStyle w:val="FootnoteReference"/>
          <w:b/>
          <w:i/>
          <w:sz w:val="24"/>
          <w:szCs w:val="24"/>
        </w:rPr>
        <w:footnoteReference w:id="20"/>
      </w:r>
    </w:p>
    <w:p w:rsidR="004E2069" w:rsidRPr="005B1BA9" w:rsidRDefault="004E2069" w:rsidP="001F3121">
      <w:pPr>
        <w:jc w:val="right"/>
      </w:pPr>
      <w:r w:rsidRPr="00E92CFF">
        <w:rPr>
          <w:sz w:val="22"/>
          <w:szCs w:val="22"/>
        </w:rPr>
        <w:t>млн долл</w:t>
      </w:r>
      <w:r w:rsidRPr="005802AE">
        <w:rPr>
          <w:rFonts w:ascii="Sylfaen" w:hAnsi="Sylfaen"/>
        </w:rPr>
        <w:t>.</w:t>
      </w:r>
    </w:p>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39"/>
        <w:gridCol w:w="1795"/>
        <w:gridCol w:w="1795"/>
        <w:gridCol w:w="1796"/>
      </w:tblGrid>
      <w:tr w:rsidR="004E2069" w:rsidRPr="003427A8" w:rsidTr="003427A8">
        <w:trPr>
          <w:trHeight w:val="20"/>
        </w:trPr>
        <w:tc>
          <w:tcPr>
            <w:tcW w:w="4239" w:type="dxa"/>
            <w:tcBorders>
              <w:bottom w:val="double" w:sz="4" w:space="0" w:color="auto"/>
            </w:tcBorders>
            <w:shd w:val="clear" w:color="auto" w:fill="CCCCCC"/>
            <w:vAlign w:val="center"/>
          </w:tcPr>
          <w:p w:rsidR="004E2069" w:rsidRPr="003427A8" w:rsidRDefault="004E2069" w:rsidP="00B049D3">
            <w:pPr>
              <w:pStyle w:val="Header"/>
              <w:widowControl w:val="0"/>
              <w:ind w:left="-142"/>
              <w:jc w:val="center"/>
              <w:rPr>
                <w:sz w:val="22"/>
                <w:szCs w:val="22"/>
              </w:rPr>
            </w:pPr>
          </w:p>
        </w:tc>
        <w:tc>
          <w:tcPr>
            <w:tcW w:w="1795" w:type="dxa"/>
            <w:tcBorders>
              <w:bottom w:val="double" w:sz="4" w:space="0" w:color="auto"/>
            </w:tcBorders>
            <w:shd w:val="clear" w:color="auto" w:fill="CCCCCC"/>
            <w:vAlign w:val="center"/>
          </w:tcPr>
          <w:p w:rsidR="004E2069" w:rsidRPr="003427A8" w:rsidRDefault="004E2069" w:rsidP="00B049D3">
            <w:pPr>
              <w:pStyle w:val="Header"/>
              <w:ind w:left="-108" w:right="-78"/>
              <w:jc w:val="center"/>
              <w:rPr>
                <w:sz w:val="22"/>
                <w:szCs w:val="22"/>
              </w:rPr>
            </w:pPr>
            <w:r w:rsidRPr="003427A8">
              <w:rPr>
                <w:sz w:val="22"/>
                <w:szCs w:val="22"/>
              </w:rPr>
              <w:t>2015 год</w:t>
            </w:r>
          </w:p>
        </w:tc>
        <w:tc>
          <w:tcPr>
            <w:tcW w:w="1795" w:type="dxa"/>
            <w:tcBorders>
              <w:bottom w:val="double" w:sz="4" w:space="0" w:color="auto"/>
            </w:tcBorders>
            <w:shd w:val="clear" w:color="auto" w:fill="CCCCCC"/>
            <w:vAlign w:val="center"/>
          </w:tcPr>
          <w:p w:rsidR="004E2069" w:rsidRPr="003427A8" w:rsidRDefault="004E2069" w:rsidP="00B049D3">
            <w:pPr>
              <w:pStyle w:val="Header"/>
              <w:ind w:left="-108" w:right="-78"/>
              <w:jc w:val="center"/>
              <w:rPr>
                <w:sz w:val="22"/>
                <w:szCs w:val="22"/>
              </w:rPr>
            </w:pPr>
            <w:r w:rsidRPr="003427A8">
              <w:rPr>
                <w:sz w:val="22"/>
                <w:szCs w:val="22"/>
              </w:rPr>
              <w:t>2016 год</w:t>
            </w:r>
          </w:p>
        </w:tc>
        <w:tc>
          <w:tcPr>
            <w:tcW w:w="1796" w:type="dxa"/>
            <w:tcBorders>
              <w:bottom w:val="double" w:sz="4" w:space="0" w:color="auto"/>
            </w:tcBorders>
            <w:shd w:val="clear" w:color="auto" w:fill="CCCCCC"/>
            <w:vAlign w:val="center"/>
          </w:tcPr>
          <w:p w:rsidR="004E2069" w:rsidRPr="003427A8" w:rsidRDefault="004E2069" w:rsidP="00B049D3">
            <w:pPr>
              <w:pStyle w:val="Header"/>
              <w:ind w:left="-108" w:right="-78"/>
              <w:jc w:val="center"/>
              <w:rPr>
                <w:sz w:val="22"/>
                <w:szCs w:val="22"/>
              </w:rPr>
            </w:pPr>
            <w:r w:rsidRPr="003427A8">
              <w:rPr>
                <w:sz w:val="22"/>
                <w:szCs w:val="22"/>
              </w:rPr>
              <w:t>2017 год</w:t>
            </w:r>
          </w:p>
        </w:tc>
      </w:tr>
      <w:tr w:rsidR="004E2069" w:rsidRPr="003427A8" w:rsidTr="003427A8">
        <w:trPr>
          <w:trHeight w:val="20"/>
        </w:trPr>
        <w:tc>
          <w:tcPr>
            <w:tcW w:w="4239" w:type="dxa"/>
            <w:tcBorders>
              <w:top w:val="double" w:sz="4" w:space="0" w:color="auto"/>
            </w:tcBorders>
            <w:shd w:val="clear" w:color="auto" w:fill="E0E0E0"/>
            <w:vAlign w:val="center"/>
          </w:tcPr>
          <w:p w:rsidR="004E2069" w:rsidRPr="003427A8" w:rsidRDefault="004E2069" w:rsidP="00B049D3">
            <w:pPr>
              <w:pStyle w:val="Footer"/>
              <w:widowControl w:val="0"/>
              <w:jc w:val="both"/>
              <w:rPr>
                <w:sz w:val="22"/>
                <w:szCs w:val="22"/>
              </w:rPr>
            </w:pPr>
            <w:r w:rsidRPr="003427A8">
              <w:rPr>
                <w:sz w:val="22"/>
                <w:szCs w:val="22"/>
              </w:rPr>
              <w:t>1. СЧЁТ ТЕКУЩИХ ОПЕРАЦИЙ</w:t>
            </w:r>
          </w:p>
        </w:tc>
        <w:tc>
          <w:tcPr>
            <w:tcW w:w="1795" w:type="dxa"/>
            <w:tcBorders>
              <w:top w:val="double" w:sz="4" w:space="0" w:color="auto"/>
            </w:tcBorders>
            <w:shd w:val="clear" w:color="auto" w:fill="E0E0E0"/>
            <w:vAlign w:val="center"/>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-490,2</w:t>
            </w:r>
          </w:p>
        </w:tc>
        <w:tc>
          <w:tcPr>
            <w:tcW w:w="1795" w:type="dxa"/>
            <w:tcBorders>
              <w:top w:val="double" w:sz="4" w:space="0" w:color="auto"/>
            </w:tcBorders>
            <w:shd w:val="clear" w:color="auto" w:fill="E0E0E0"/>
            <w:vAlign w:val="center"/>
          </w:tcPr>
          <w:p w:rsidR="004E2069" w:rsidRPr="003427A8" w:rsidRDefault="004E2069" w:rsidP="00B049D3">
            <w:pPr>
              <w:widowControl w:val="0"/>
              <w:ind w:right="432"/>
              <w:jc w:val="right"/>
              <w:rPr>
                <w:color w:val="000000"/>
                <w:sz w:val="22"/>
                <w:szCs w:val="22"/>
              </w:rPr>
            </w:pPr>
            <w:r w:rsidRPr="003427A8">
              <w:rPr>
                <w:color w:val="000000"/>
                <w:sz w:val="22"/>
                <w:szCs w:val="22"/>
              </w:rPr>
              <w:t>-299,2</w:t>
            </w:r>
          </w:p>
        </w:tc>
        <w:tc>
          <w:tcPr>
            <w:tcW w:w="1796" w:type="dxa"/>
            <w:tcBorders>
              <w:top w:val="double" w:sz="4" w:space="0" w:color="auto"/>
            </w:tcBorders>
            <w:shd w:val="clear" w:color="auto" w:fill="E0E0E0"/>
            <w:vAlign w:val="center"/>
          </w:tcPr>
          <w:p w:rsidR="004E2069" w:rsidRPr="003427A8" w:rsidRDefault="004E2069" w:rsidP="00B049D3">
            <w:pPr>
              <w:widowControl w:val="0"/>
              <w:ind w:right="435"/>
              <w:jc w:val="right"/>
              <w:rPr>
                <w:color w:val="000000"/>
                <w:sz w:val="22"/>
                <w:szCs w:val="22"/>
              </w:rPr>
            </w:pPr>
            <w:r w:rsidRPr="003427A8">
              <w:rPr>
                <w:color w:val="000000"/>
                <w:sz w:val="22"/>
                <w:szCs w:val="22"/>
              </w:rPr>
              <w:t>-291,2</w:t>
            </w:r>
          </w:p>
        </w:tc>
      </w:tr>
      <w:tr w:rsidR="004E2069" w:rsidRPr="003427A8" w:rsidTr="003427A8">
        <w:trPr>
          <w:trHeight w:val="20"/>
        </w:trPr>
        <w:tc>
          <w:tcPr>
            <w:tcW w:w="4239" w:type="dxa"/>
            <w:vAlign w:val="center"/>
          </w:tcPr>
          <w:p w:rsidR="004E2069" w:rsidRPr="003427A8" w:rsidRDefault="004E2069" w:rsidP="00B049D3">
            <w:pPr>
              <w:pStyle w:val="artx"/>
              <w:widowControl w:val="0"/>
              <w:ind w:firstLine="102"/>
              <w:rPr>
                <w:rFonts w:ascii="Times New Roman" w:hAnsi="Times New Roman" w:cs="Times New Roman"/>
                <w:sz w:val="22"/>
                <w:szCs w:val="22"/>
              </w:rPr>
            </w:pPr>
            <w:r w:rsidRPr="003427A8">
              <w:rPr>
                <w:rFonts w:ascii="Times New Roman" w:hAnsi="Times New Roman" w:cs="Times New Roman"/>
                <w:sz w:val="22"/>
                <w:szCs w:val="22"/>
              </w:rPr>
              <w:t>Товары и услуги</w:t>
            </w:r>
          </w:p>
        </w:tc>
        <w:tc>
          <w:tcPr>
            <w:tcW w:w="1795" w:type="dxa"/>
            <w:vAlign w:val="center"/>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-539,8</w:t>
            </w:r>
          </w:p>
        </w:tc>
        <w:tc>
          <w:tcPr>
            <w:tcW w:w="1795" w:type="dxa"/>
            <w:vAlign w:val="center"/>
          </w:tcPr>
          <w:p w:rsidR="004E2069" w:rsidRPr="003427A8" w:rsidRDefault="004E2069" w:rsidP="00B049D3">
            <w:pPr>
              <w:widowControl w:val="0"/>
              <w:ind w:right="432"/>
              <w:jc w:val="right"/>
              <w:rPr>
                <w:color w:val="000000"/>
                <w:sz w:val="22"/>
                <w:szCs w:val="22"/>
              </w:rPr>
            </w:pPr>
            <w:r w:rsidRPr="003427A8">
              <w:rPr>
                <w:color w:val="000000"/>
                <w:sz w:val="22"/>
                <w:szCs w:val="22"/>
              </w:rPr>
              <w:t>-358,1</w:t>
            </w:r>
          </w:p>
        </w:tc>
        <w:tc>
          <w:tcPr>
            <w:tcW w:w="1796" w:type="dxa"/>
            <w:vAlign w:val="center"/>
          </w:tcPr>
          <w:p w:rsidR="004E2069" w:rsidRPr="003427A8" w:rsidRDefault="004E2069" w:rsidP="00B049D3">
            <w:pPr>
              <w:widowControl w:val="0"/>
              <w:ind w:right="435"/>
              <w:jc w:val="right"/>
              <w:rPr>
                <w:color w:val="000000"/>
                <w:sz w:val="22"/>
                <w:szCs w:val="22"/>
              </w:rPr>
            </w:pPr>
            <w:r w:rsidRPr="003427A8">
              <w:rPr>
                <w:color w:val="000000"/>
                <w:sz w:val="22"/>
                <w:szCs w:val="22"/>
              </w:rPr>
              <w:t>-397,4</w:t>
            </w:r>
          </w:p>
        </w:tc>
      </w:tr>
      <w:tr w:rsidR="004E2069" w:rsidRPr="003427A8" w:rsidTr="003427A8">
        <w:trPr>
          <w:trHeight w:val="20"/>
        </w:trPr>
        <w:tc>
          <w:tcPr>
            <w:tcW w:w="4239" w:type="dxa"/>
            <w:shd w:val="clear" w:color="auto" w:fill="E0E0E0"/>
            <w:vAlign w:val="center"/>
          </w:tcPr>
          <w:p w:rsidR="004E2069" w:rsidRPr="003427A8" w:rsidRDefault="004E2069" w:rsidP="00B049D3">
            <w:pPr>
              <w:pStyle w:val="artx"/>
              <w:widowControl w:val="0"/>
              <w:ind w:firstLine="102"/>
              <w:rPr>
                <w:rFonts w:ascii="Times New Roman" w:hAnsi="Times New Roman" w:cs="Times New Roman"/>
                <w:sz w:val="22"/>
                <w:szCs w:val="22"/>
              </w:rPr>
            </w:pPr>
            <w:r w:rsidRPr="003427A8">
              <w:rPr>
                <w:rFonts w:ascii="Times New Roman" w:hAnsi="Times New Roman" w:cs="Times New Roman"/>
                <w:sz w:val="22"/>
                <w:szCs w:val="22"/>
              </w:rPr>
              <w:t>A. Товары</w:t>
            </w:r>
          </w:p>
        </w:tc>
        <w:tc>
          <w:tcPr>
            <w:tcW w:w="1795" w:type="dxa"/>
            <w:shd w:val="clear" w:color="auto" w:fill="E0E0E0"/>
            <w:vAlign w:val="center"/>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-520,0</w:t>
            </w:r>
          </w:p>
        </w:tc>
        <w:tc>
          <w:tcPr>
            <w:tcW w:w="1795" w:type="dxa"/>
            <w:shd w:val="clear" w:color="auto" w:fill="E0E0E0"/>
            <w:vAlign w:val="center"/>
          </w:tcPr>
          <w:p w:rsidR="004E2069" w:rsidRPr="003427A8" w:rsidRDefault="004E2069" w:rsidP="00B049D3">
            <w:pPr>
              <w:widowControl w:val="0"/>
              <w:ind w:right="432"/>
              <w:jc w:val="right"/>
              <w:rPr>
                <w:color w:val="000000"/>
                <w:sz w:val="22"/>
                <w:szCs w:val="22"/>
              </w:rPr>
            </w:pPr>
            <w:r w:rsidRPr="003427A8">
              <w:rPr>
                <w:color w:val="000000"/>
                <w:sz w:val="22"/>
                <w:szCs w:val="22"/>
              </w:rPr>
              <w:t>-359,9</w:t>
            </w:r>
          </w:p>
        </w:tc>
        <w:tc>
          <w:tcPr>
            <w:tcW w:w="1796" w:type="dxa"/>
            <w:shd w:val="clear" w:color="auto" w:fill="E0E0E0"/>
            <w:vAlign w:val="center"/>
          </w:tcPr>
          <w:p w:rsidR="004E2069" w:rsidRPr="003427A8" w:rsidRDefault="004E2069" w:rsidP="00B049D3">
            <w:pPr>
              <w:widowControl w:val="0"/>
              <w:ind w:right="435"/>
              <w:jc w:val="right"/>
              <w:rPr>
                <w:color w:val="000000"/>
                <w:sz w:val="22"/>
                <w:szCs w:val="22"/>
              </w:rPr>
            </w:pPr>
            <w:r w:rsidRPr="003427A8">
              <w:rPr>
                <w:color w:val="000000"/>
                <w:sz w:val="22"/>
                <w:szCs w:val="22"/>
              </w:rPr>
              <w:t>-395,4</w:t>
            </w:r>
          </w:p>
        </w:tc>
      </w:tr>
      <w:tr w:rsidR="004E2069" w:rsidRPr="003427A8" w:rsidTr="003427A8">
        <w:trPr>
          <w:trHeight w:val="20"/>
        </w:trPr>
        <w:tc>
          <w:tcPr>
            <w:tcW w:w="4239" w:type="dxa"/>
            <w:tcBorders>
              <w:top w:val="nil"/>
              <w:bottom w:val="nil"/>
            </w:tcBorders>
            <w:vAlign w:val="center"/>
          </w:tcPr>
          <w:p w:rsidR="004E2069" w:rsidRPr="003427A8" w:rsidRDefault="004E2069" w:rsidP="00B049D3">
            <w:pPr>
              <w:pStyle w:val="artx"/>
              <w:widowControl w:val="0"/>
              <w:ind w:left="318" w:firstLine="102"/>
              <w:rPr>
                <w:rFonts w:ascii="Times New Roman" w:hAnsi="Times New Roman" w:cs="Times New Roman"/>
                <w:sz w:val="22"/>
                <w:szCs w:val="22"/>
                <w:vertAlign w:val="superscript"/>
              </w:rPr>
            </w:pPr>
            <w:r w:rsidRPr="003427A8">
              <w:rPr>
                <w:rFonts w:ascii="Times New Roman" w:hAnsi="Times New Roman" w:cs="Times New Roman"/>
                <w:sz w:val="22"/>
                <w:szCs w:val="22"/>
              </w:rPr>
              <w:t xml:space="preserve">-экспорт </w:t>
            </w:r>
          </w:p>
        </w:tc>
        <w:tc>
          <w:tcPr>
            <w:tcW w:w="1795" w:type="dxa"/>
            <w:tcBorders>
              <w:top w:val="nil"/>
              <w:bottom w:val="nil"/>
            </w:tcBorders>
            <w:vAlign w:val="center"/>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566,2</w:t>
            </w:r>
          </w:p>
        </w:tc>
        <w:tc>
          <w:tcPr>
            <w:tcW w:w="1795" w:type="dxa"/>
            <w:tcBorders>
              <w:top w:val="nil"/>
              <w:bottom w:val="nil"/>
            </w:tcBorders>
            <w:vAlign w:val="center"/>
          </w:tcPr>
          <w:p w:rsidR="004E2069" w:rsidRPr="003427A8" w:rsidRDefault="004E2069" w:rsidP="00B049D3">
            <w:pPr>
              <w:widowControl w:val="0"/>
              <w:ind w:right="432"/>
              <w:jc w:val="right"/>
              <w:rPr>
                <w:color w:val="000000"/>
                <w:sz w:val="22"/>
                <w:szCs w:val="22"/>
              </w:rPr>
            </w:pPr>
            <w:r w:rsidRPr="003427A8">
              <w:rPr>
                <w:color w:val="000000"/>
                <w:sz w:val="22"/>
                <w:szCs w:val="22"/>
              </w:rPr>
              <w:t>483,9</w:t>
            </w:r>
          </w:p>
        </w:tc>
        <w:tc>
          <w:tcPr>
            <w:tcW w:w="1796" w:type="dxa"/>
            <w:tcBorders>
              <w:top w:val="nil"/>
              <w:bottom w:val="nil"/>
            </w:tcBorders>
            <w:vAlign w:val="center"/>
          </w:tcPr>
          <w:p w:rsidR="004E2069" w:rsidRPr="003427A8" w:rsidRDefault="004E2069" w:rsidP="00B049D3">
            <w:pPr>
              <w:widowControl w:val="0"/>
              <w:ind w:right="435"/>
              <w:jc w:val="right"/>
              <w:rPr>
                <w:color w:val="000000"/>
                <w:sz w:val="22"/>
                <w:szCs w:val="22"/>
              </w:rPr>
            </w:pPr>
            <w:r w:rsidRPr="003427A8">
              <w:rPr>
                <w:color w:val="000000"/>
                <w:sz w:val="22"/>
                <w:szCs w:val="22"/>
              </w:rPr>
              <w:t>585,2</w:t>
            </w:r>
          </w:p>
        </w:tc>
      </w:tr>
      <w:tr w:rsidR="004E2069" w:rsidRPr="003427A8" w:rsidTr="003427A8">
        <w:trPr>
          <w:trHeight w:val="20"/>
        </w:trPr>
        <w:tc>
          <w:tcPr>
            <w:tcW w:w="4239" w:type="dxa"/>
            <w:tcBorders>
              <w:top w:val="nil"/>
            </w:tcBorders>
            <w:vAlign w:val="center"/>
          </w:tcPr>
          <w:p w:rsidR="004E2069" w:rsidRPr="003427A8" w:rsidRDefault="004E2069" w:rsidP="00B049D3">
            <w:pPr>
              <w:pStyle w:val="artx"/>
              <w:widowControl w:val="0"/>
              <w:ind w:left="318" w:firstLine="102"/>
              <w:rPr>
                <w:rFonts w:ascii="Times New Roman" w:hAnsi="Times New Roman" w:cs="Times New Roman"/>
                <w:sz w:val="22"/>
                <w:szCs w:val="22"/>
              </w:rPr>
            </w:pPr>
            <w:r w:rsidRPr="003427A8">
              <w:rPr>
                <w:rFonts w:ascii="Times New Roman" w:hAnsi="Times New Roman" w:cs="Times New Roman"/>
                <w:sz w:val="22"/>
                <w:szCs w:val="22"/>
              </w:rPr>
              <w:t>-импорт</w:t>
            </w:r>
          </w:p>
        </w:tc>
        <w:tc>
          <w:tcPr>
            <w:tcW w:w="1795" w:type="dxa"/>
            <w:tcBorders>
              <w:top w:val="nil"/>
            </w:tcBorders>
            <w:vAlign w:val="center"/>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1 086,2</w:t>
            </w:r>
          </w:p>
        </w:tc>
        <w:tc>
          <w:tcPr>
            <w:tcW w:w="1795" w:type="dxa"/>
            <w:tcBorders>
              <w:top w:val="nil"/>
            </w:tcBorders>
            <w:vAlign w:val="center"/>
          </w:tcPr>
          <w:p w:rsidR="004E2069" w:rsidRPr="003427A8" w:rsidRDefault="004E2069" w:rsidP="00B049D3">
            <w:pPr>
              <w:widowControl w:val="0"/>
              <w:ind w:right="432"/>
              <w:jc w:val="right"/>
              <w:rPr>
                <w:color w:val="000000"/>
                <w:sz w:val="22"/>
                <w:szCs w:val="22"/>
              </w:rPr>
            </w:pPr>
            <w:r w:rsidRPr="003427A8">
              <w:rPr>
                <w:color w:val="000000"/>
                <w:sz w:val="22"/>
                <w:szCs w:val="22"/>
              </w:rPr>
              <w:t>843,8</w:t>
            </w:r>
          </w:p>
        </w:tc>
        <w:tc>
          <w:tcPr>
            <w:tcW w:w="1796" w:type="dxa"/>
            <w:tcBorders>
              <w:top w:val="nil"/>
            </w:tcBorders>
            <w:vAlign w:val="center"/>
          </w:tcPr>
          <w:p w:rsidR="004E2069" w:rsidRPr="003427A8" w:rsidRDefault="004E2069" w:rsidP="00B049D3">
            <w:pPr>
              <w:widowControl w:val="0"/>
              <w:ind w:right="435"/>
              <w:jc w:val="right"/>
              <w:rPr>
                <w:color w:val="000000"/>
                <w:sz w:val="22"/>
                <w:szCs w:val="22"/>
              </w:rPr>
            </w:pPr>
            <w:r w:rsidRPr="003427A8">
              <w:rPr>
                <w:color w:val="000000"/>
                <w:sz w:val="22"/>
                <w:szCs w:val="22"/>
              </w:rPr>
              <w:t>980,6</w:t>
            </w:r>
          </w:p>
        </w:tc>
      </w:tr>
      <w:tr w:rsidR="004E2069" w:rsidRPr="003427A8" w:rsidTr="003427A8">
        <w:trPr>
          <w:trHeight w:val="20"/>
        </w:trPr>
        <w:tc>
          <w:tcPr>
            <w:tcW w:w="4239" w:type="dxa"/>
            <w:shd w:val="clear" w:color="auto" w:fill="E0E0E0"/>
            <w:vAlign w:val="center"/>
          </w:tcPr>
          <w:p w:rsidR="004E2069" w:rsidRPr="003427A8" w:rsidRDefault="004E2069" w:rsidP="00B049D3">
            <w:pPr>
              <w:pStyle w:val="artx"/>
              <w:widowControl w:val="0"/>
              <w:ind w:firstLine="102"/>
              <w:rPr>
                <w:rFonts w:ascii="Times New Roman" w:hAnsi="Times New Roman" w:cs="Times New Roman"/>
                <w:sz w:val="22"/>
                <w:szCs w:val="22"/>
              </w:rPr>
            </w:pPr>
            <w:r w:rsidRPr="003427A8">
              <w:rPr>
                <w:rFonts w:ascii="Times New Roman" w:hAnsi="Times New Roman" w:cs="Times New Roman"/>
                <w:sz w:val="22"/>
                <w:szCs w:val="22"/>
              </w:rPr>
              <w:t>B. Услуги</w:t>
            </w:r>
          </w:p>
        </w:tc>
        <w:tc>
          <w:tcPr>
            <w:tcW w:w="1795" w:type="dxa"/>
            <w:shd w:val="clear" w:color="auto" w:fill="E0E0E0"/>
            <w:vAlign w:val="center"/>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-19,8</w:t>
            </w:r>
          </w:p>
        </w:tc>
        <w:tc>
          <w:tcPr>
            <w:tcW w:w="1795" w:type="dxa"/>
            <w:shd w:val="clear" w:color="auto" w:fill="E0E0E0"/>
            <w:vAlign w:val="center"/>
          </w:tcPr>
          <w:p w:rsidR="004E2069" w:rsidRPr="003427A8" w:rsidRDefault="004E2069" w:rsidP="00B049D3">
            <w:pPr>
              <w:widowControl w:val="0"/>
              <w:ind w:right="432"/>
              <w:jc w:val="right"/>
              <w:rPr>
                <w:color w:val="000000"/>
                <w:sz w:val="22"/>
                <w:szCs w:val="22"/>
              </w:rPr>
            </w:pPr>
            <w:r w:rsidRPr="003427A8">
              <w:rPr>
                <w:color w:val="000000"/>
                <w:sz w:val="22"/>
                <w:szCs w:val="22"/>
              </w:rPr>
              <w:t>1,9</w:t>
            </w:r>
          </w:p>
        </w:tc>
        <w:tc>
          <w:tcPr>
            <w:tcW w:w="1796" w:type="dxa"/>
            <w:shd w:val="clear" w:color="auto" w:fill="E0E0E0"/>
            <w:vAlign w:val="center"/>
          </w:tcPr>
          <w:p w:rsidR="004E2069" w:rsidRPr="003427A8" w:rsidRDefault="004E2069" w:rsidP="00B049D3">
            <w:pPr>
              <w:widowControl w:val="0"/>
              <w:ind w:right="435"/>
              <w:jc w:val="right"/>
              <w:rPr>
                <w:color w:val="000000"/>
                <w:sz w:val="22"/>
                <w:szCs w:val="22"/>
              </w:rPr>
            </w:pPr>
            <w:r w:rsidRPr="003427A8">
              <w:rPr>
                <w:color w:val="000000"/>
                <w:sz w:val="22"/>
                <w:szCs w:val="22"/>
              </w:rPr>
              <w:t>-1,9</w:t>
            </w:r>
          </w:p>
        </w:tc>
      </w:tr>
      <w:tr w:rsidR="004E2069" w:rsidRPr="003427A8" w:rsidTr="003427A8">
        <w:trPr>
          <w:trHeight w:val="20"/>
        </w:trPr>
        <w:tc>
          <w:tcPr>
            <w:tcW w:w="4239" w:type="dxa"/>
            <w:tcBorders>
              <w:top w:val="nil"/>
              <w:bottom w:val="nil"/>
            </w:tcBorders>
            <w:vAlign w:val="center"/>
          </w:tcPr>
          <w:p w:rsidR="004E2069" w:rsidRPr="003427A8" w:rsidRDefault="004E2069" w:rsidP="00B049D3">
            <w:pPr>
              <w:pStyle w:val="artx"/>
              <w:widowControl w:val="0"/>
              <w:ind w:left="318" w:firstLine="102"/>
              <w:rPr>
                <w:rFonts w:ascii="Times New Roman" w:hAnsi="Times New Roman" w:cs="Times New Roman"/>
                <w:sz w:val="22"/>
                <w:szCs w:val="22"/>
              </w:rPr>
            </w:pPr>
            <w:r w:rsidRPr="003427A8">
              <w:rPr>
                <w:rFonts w:ascii="Times New Roman" w:hAnsi="Times New Roman" w:cs="Times New Roman"/>
                <w:sz w:val="22"/>
                <w:szCs w:val="22"/>
              </w:rPr>
              <w:t>-экспорт</w:t>
            </w:r>
          </w:p>
        </w:tc>
        <w:tc>
          <w:tcPr>
            <w:tcW w:w="1795" w:type="dxa"/>
            <w:tcBorders>
              <w:top w:val="nil"/>
              <w:bottom w:val="nil"/>
            </w:tcBorders>
            <w:vAlign w:val="center"/>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57,1</w:t>
            </w:r>
          </w:p>
        </w:tc>
        <w:tc>
          <w:tcPr>
            <w:tcW w:w="1795" w:type="dxa"/>
            <w:tcBorders>
              <w:top w:val="nil"/>
              <w:bottom w:val="nil"/>
            </w:tcBorders>
            <w:vAlign w:val="center"/>
          </w:tcPr>
          <w:p w:rsidR="004E2069" w:rsidRPr="003427A8" w:rsidRDefault="004E2069" w:rsidP="00B049D3">
            <w:pPr>
              <w:widowControl w:val="0"/>
              <w:ind w:right="432"/>
              <w:jc w:val="right"/>
              <w:rPr>
                <w:color w:val="000000"/>
                <w:sz w:val="22"/>
                <w:szCs w:val="22"/>
              </w:rPr>
            </w:pPr>
            <w:r w:rsidRPr="003427A8">
              <w:rPr>
                <w:color w:val="000000"/>
                <w:sz w:val="22"/>
                <w:szCs w:val="22"/>
              </w:rPr>
              <w:t>63,3</w:t>
            </w:r>
          </w:p>
        </w:tc>
        <w:tc>
          <w:tcPr>
            <w:tcW w:w="1796" w:type="dxa"/>
            <w:tcBorders>
              <w:top w:val="nil"/>
              <w:bottom w:val="nil"/>
            </w:tcBorders>
            <w:vAlign w:val="center"/>
          </w:tcPr>
          <w:p w:rsidR="004E2069" w:rsidRPr="003427A8" w:rsidRDefault="004E2069" w:rsidP="00B049D3">
            <w:pPr>
              <w:widowControl w:val="0"/>
              <w:ind w:right="435"/>
              <w:jc w:val="right"/>
              <w:rPr>
                <w:color w:val="000000"/>
                <w:sz w:val="22"/>
                <w:szCs w:val="22"/>
              </w:rPr>
            </w:pPr>
            <w:r w:rsidRPr="003427A8">
              <w:rPr>
                <w:color w:val="000000"/>
                <w:sz w:val="22"/>
                <w:szCs w:val="22"/>
              </w:rPr>
              <w:t>62,2</w:t>
            </w:r>
          </w:p>
        </w:tc>
      </w:tr>
      <w:tr w:rsidR="004E2069" w:rsidRPr="003427A8" w:rsidTr="003427A8">
        <w:trPr>
          <w:trHeight w:val="20"/>
        </w:trPr>
        <w:tc>
          <w:tcPr>
            <w:tcW w:w="4239" w:type="dxa"/>
            <w:tcBorders>
              <w:top w:val="nil"/>
            </w:tcBorders>
            <w:vAlign w:val="center"/>
          </w:tcPr>
          <w:p w:rsidR="004E2069" w:rsidRPr="003427A8" w:rsidRDefault="004E2069" w:rsidP="00B049D3">
            <w:pPr>
              <w:pStyle w:val="artx"/>
              <w:widowControl w:val="0"/>
              <w:ind w:left="318" w:firstLine="102"/>
              <w:rPr>
                <w:rFonts w:ascii="Times New Roman" w:hAnsi="Times New Roman" w:cs="Times New Roman"/>
                <w:sz w:val="22"/>
                <w:szCs w:val="22"/>
              </w:rPr>
            </w:pPr>
            <w:r w:rsidRPr="003427A8">
              <w:rPr>
                <w:rFonts w:ascii="Times New Roman" w:hAnsi="Times New Roman" w:cs="Times New Roman"/>
                <w:sz w:val="22"/>
                <w:szCs w:val="22"/>
              </w:rPr>
              <w:t>-импорт</w:t>
            </w:r>
          </w:p>
        </w:tc>
        <w:tc>
          <w:tcPr>
            <w:tcW w:w="1795" w:type="dxa"/>
            <w:tcBorders>
              <w:top w:val="nil"/>
            </w:tcBorders>
            <w:vAlign w:val="center"/>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76,9</w:t>
            </w:r>
          </w:p>
        </w:tc>
        <w:tc>
          <w:tcPr>
            <w:tcW w:w="1795" w:type="dxa"/>
            <w:tcBorders>
              <w:top w:val="nil"/>
            </w:tcBorders>
            <w:vAlign w:val="center"/>
          </w:tcPr>
          <w:p w:rsidR="004E2069" w:rsidRPr="003427A8" w:rsidRDefault="004E2069" w:rsidP="00B049D3">
            <w:pPr>
              <w:widowControl w:val="0"/>
              <w:ind w:right="432"/>
              <w:jc w:val="right"/>
              <w:rPr>
                <w:color w:val="000000"/>
                <w:sz w:val="22"/>
                <w:szCs w:val="22"/>
              </w:rPr>
            </w:pPr>
            <w:r w:rsidRPr="003427A8">
              <w:rPr>
                <w:color w:val="000000"/>
                <w:sz w:val="22"/>
                <w:szCs w:val="22"/>
              </w:rPr>
              <w:t>61,4</w:t>
            </w:r>
          </w:p>
        </w:tc>
        <w:tc>
          <w:tcPr>
            <w:tcW w:w="1796" w:type="dxa"/>
            <w:tcBorders>
              <w:top w:val="nil"/>
            </w:tcBorders>
            <w:vAlign w:val="center"/>
          </w:tcPr>
          <w:p w:rsidR="004E2069" w:rsidRPr="003427A8" w:rsidRDefault="004E2069" w:rsidP="00B049D3">
            <w:pPr>
              <w:widowControl w:val="0"/>
              <w:ind w:right="435"/>
              <w:jc w:val="right"/>
              <w:rPr>
                <w:color w:val="000000"/>
                <w:sz w:val="22"/>
                <w:szCs w:val="22"/>
              </w:rPr>
            </w:pPr>
            <w:r w:rsidRPr="003427A8">
              <w:rPr>
                <w:color w:val="000000"/>
                <w:sz w:val="22"/>
                <w:szCs w:val="22"/>
              </w:rPr>
              <w:t>64,2</w:t>
            </w:r>
          </w:p>
        </w:tc>
      </w:tr>
      <w:tr w:rsidR="004E2069" w:rsidRPr="003427A8" w:rsidTr="003427A8">
        <w:trPr>
          <w:trHeight w:val="20"/>
        </w:trPr>
        <w:tc>
          <w:tcPr>
            <w:tcW w:w="4239" w:type="dxa"/>
            <w:shd w:val="clear" w:color="auto" w:fill="E0E0E0"/>
            <w:vAlign w:val="center"/>
          </w:tcPr>
          <w:p w:rsidR="004E2069" w:rsidRPr="003427A8" w:rsidRDefault="004E2069" w:rsidP="00B049D3">
            <w:pPr>
              <w:pStyle w:val="artx"/>
              <w:widowControl w:val="0"/>
              <w:ind w:firstLine="102"/>
              <w:rPr>
                <w:rFonts w:ascii="Times New Roman" w:hAnsi="Times New Roman" w:cs="Times New Roman"/>
                <w:sz w:val="22"/>
                <w:szCs w:val="22"/>
              </w:rPr>
            </w:pPr>
            <w:r w:rsidRPr="003427A8">
              <w:rPr>
                <w:rFonts w:ascii="Times New Roman" w:hAnsi="Times New Roman" w:cs="Times New Roman"/>
                <w:sz w:val="22"/>
                <w:szCs w:val="22"/>
              </w:rPr>
              <w:t>C. Первичные доходы</w:t>
            </w:r>
          </w:p>
        </w:tc>
        <w:tc>
          <w:tcPr>
            <w:tcW w:w="1795" w:type="dxa"/>
            <w:shd w:val="clear" w:color="auto" w:fill="E0E0E0"/>
            <w:vAlign w:val="center"/>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-29,0</w:t>
            </w:r>
          </w:p>
        </w:tc>
        <w:tc>
          <w:tcPr>
            <w:tcW w:w="1795" w:type="dxa"/>
            <w:shd w:val="clear" w:color="auto" w:fill="E0E0E0"/>
            <w:vAlign w:val="center"/>
          </w:tcPr>
          <w:p w:rsidR="004E2069" w:rsidRPr="003427A8" w:rsidRDefault="004E2069" w:rsidP="00B049D3">
            <w:pPr>
              <w:widowControl w:val="0"/>
              <w:ind w:right="432"/>
              <w:jc w:val="right"/>
              <w:rPr>
                <w:color w:val="000000"/>
                <w:sz w:val="22"/>
                <w:szCs w:val="22"/>
              </w:rPr>
            </w:pPr>
            <w:r w:rsidRPr="003427A8">
              <w:rPr>
                <w:color w:val="000000"/>
                <w:sz w:val="22"/>
                <w:szCs w:val="22"/>
              </w:rPr>
              <w:t>-15,4</w:t>
            </w:r>
          </w:p>
        </w:tc>
        <w:tc>
          <w:tcPr>
            <w:tcW w:w="1796" w:type="dxa"/>
            <w:shd w:val="clear" w:color="auto" w:fill="E0E0E0"/>
            <w:vAlign w:val="center"/>
          </w:tcPr>
          <w:p w:rsidR="004E2069" w:rsidRPr="003427A8" w:rsidRDefault="004E2069" w:rsidP="00B049D3">
            <w:pPr>
              <w:widowControl w:val="0"/>
              <w:ind w:right="435"/>
              <w:jc w:val="right"/>
              <w:rPr>
                <w:color w:val="000000"/>
                <w:sz w:val="22"/>
                <w:szCs w:val="22"/>
              </w:rPr>
            </w:pPr>
            <w:r w:rsidRPr="003427A8">
              <w:rPr>
                <w:color w:val="000000"/>
                <w:sz w:val="22"/>
                <w:szCs w:val="22"/>
              </w:rPr>
              <w:t>-27,3</w:t>
            </w:r>
          </w:p>
        </w:tc>
      </w:tr>
      <w:tr w:rsidR="004E2069" w:rsidRPr="003427A8" w:rsidTr="003427A8">
        <w:trPr>
          <w:trHeight w:val="20"/>
        </w:trPr>
        <w:tc>
          <w:tcPr>
            <w:tcW w:w="4239" w:type="dxa"/>
            <w:tcBorders>
              <w:top w:val="nil"/>
              <w:bottom w:val="nil"/>
            </w:tcBorders>
            <w:vAlign w:val="center"/>
          </w:tcPr>
          <w:p w:rsidR="004E2069" w:rsidRPr="003427A8" w:rsidRDefault="004E2069" w:rsidP="00B049D3">
            <w:pPr>
              <w:pStyle w:val="artx"/>
              <w:widowControl w:val="0"/>
              <w:ind w:left="318" w:firstLine="102"/>
              <w:rPr>
                <w:rFonts w:ascii="Times New Roman" w:hAnsi="Times New Roman" w:cs="Times New Roman"/>
                <w:sz w:val="22"/>
                <w:szCs w:val="22"/>
              </w:rPr>
            </w:pPr>
            <w:r w:rsidRPr="003427A8">
              <w:rPr>
                <w:rFonts w:ascii="Times New Roman" w:hAnsi="Times New Roman" w:cs="Times New Roman"/>
                <w:sz w:val="22"/>
                <w:szCs w:val="22"/>
              </w:rPr>
              <w:t>-получено</w:t>
            </w:r>
          </w:p>
        </w:tc>
        <w:tc>
          <w:tcPr>
            <w:tcW w:w="1795" w:type="dxa"/>
            <w:tcBorders>
              <w:top w:val="nil"/>
              <w:bottom w:val="nil"/>
            </w:tcBorders>
            <w:vAlign w:val="center"/>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14,7</w:t>
            </w:r>
          </w:p>
        </w:tc>
        <w:tc>
          <w:tcPr>
            <w:tcW w:w="1795" w:type="dxa"/>
            <w:tcBorders>
              <w:top w:val="nil"/>
              <w:bottom w:val="nil"/>
            </w:tcBorders>
            <w:vAlign w:val="center"/>
          </w:tcPr>
          <w:p w:rsidR="004E2069" w:rsidRPr="003427A8" w:rsidRDefault="004E2069" w:rsidP="00B049D3">
            <w:pPr>
              <w:widowControl w:val="0"/>
              <w:ind w:right="432"/>
              <w:jc w:val="right"/>
              <w:rPr>
                <w:color w:val="000000"/>
                <w:sz w:val="22"/>
                <w:szCs w:val="22"/>
              </w:rPr>
            </w:pPr>
            <w:r w:rsidRPr="003427A8">
              <w:rPr>
                <w:color w:val="000000"/>
                <w:sz w:val="22"/>
                <w:szCs w:val="22"/>
              </w:rPr>
              <w:t>11,1</w:t>
            </w:r>
          </w:p>
        </w:tc>
        <w:tc>
          <w:tcPr>
            <w:tcW w:w="1796" w:type="dxa"/>
            <w:tcBorders>
              <w:top w:val="nil"/>
              <w:bottom w:val="nil"/>
            </w:tcBorders>
            <w:vAlign w:val="center"/>
          </w:tcPr>
          <w:p w:rsidR="004E2069" w:rsidRPr="003427A8" w:rsidRDefault="004E2069" w:rsidP="00B049D3">
            <w:pPr>
              <w:widowControl w:val="0"/>
              <w:ind w:right="435"/>
              <w:jc w:val="right"/>
              <w:rPr>
                <w:color w:val="000000"/>
                <w:sz w:val="22"/>
                <w:szCs w:val="22"/>
              </w:rPr>
            </w:pPr>
            <w:r w:rsidRPr="003427A8">
              <w:rPr>
                <w:color w:val="000000"/>
                <w:sz w:val="22"/>
                <w:szCs w:val="22"/>
              </w:rPr>
              <w:t>10,6</w:t>
            </w:r>
          </w:p>
        </w:tc>
      </w:tr>
      <w:tr w:rsidR="004E2069" w:rsidRPr="003427A8" w:rsidTr="003427A8">
        <w:trPr>
          <w:trHeight w:val="20"/>
        </w:trPr>
        <w:tc>
          <w:tcPr>
            <w:tcW w:w="4239" w:type="dxa"/>
            <w:tcBorders>
              <w:top w:val="nil"/>
            </w:tcBorders>
            <w:vAlign w:val="center"/>
          </w:tcPr>
          <w:p w:rsidR="004E2069" w:rsidRPr="003427A8" w:rsidRDefault="004E2069" w:rsidP="00B049D3">
            <w:pPr>
              <w:pStyle w:val="artx"/>
              <w:widowControl w:val="0"/>
              <w:ind w:left="318" w:firstLine="102"/>
              <w:rPr>
                <w:rFonts w:ascii="Times New Roman" w:hAnsi="Times New Roman" w:cs="Times New Roman"/>
                <w:sz w:val="22"/>
                <w:szCs w:val="22"/>
              </w:rPr>
            </w:pPr>
            <w:r w:rsidRPr="003427A8">
              <w:rPr>
                <w:rFonts w:ascii="Times New Roman" w:hAnsi="Times New Roman" w:cs="Times New Roman"/>
                <w:sz w:val="22"/>
                <w:szCs w:val="22"/>
              </w:rPr>
              <w:t>-выплачено</w:t>
            </w:r>
          </w:p>
        </w:tc>
        <w:tc>
          <w:tcPr>
            <w:tcW w:w="1795" w:type="dxa"/>
            <w:tcBorders>
              <w:top w:val="nil"/>
            </w:tcBorders>
            <w:vAlign w:val="center"/>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43,7</w:t>
            </w:r>
          </w:p>
        </w:tc>
        <w:tc>
          <w:tcPr>
            <w:tcW w:w="1795" w:type="dxa"/>
            <w:tcBorders>
              <w:top w:val="nil"/>
            </w:tcBorders>
            <w:vAlign w:val="center"/>
          </w:tcPr>
          <w:p w:rsidR="004E2069" w:rsidRPr="003427A8" w:rsidRDefault="004E2069" w:rsidP="00B049D3">
            <w:pPr>
              <w:widowControl w:val="0"/>
              <w:ind w:right="432"/>
              <w:jc w:val="right"/>
              <w:rPr>
                <w:color w:val="000000"/>
                <w:sz w:val="22"/>
                <w:szCs w:val="22"/>
              </w:rPr>
            </w:pPr>
            <w:r w:rsidRPr="003427A8">
              <w:rPr>
                <w:color w:val="000000"/>
                <w:sz w:val="22"/>
                <w:szCs w:val="22"/>
              </w:rPr>
              <w:t>26,5</w:t>
            </w:r>
          </w:p>
        </w:tc>
        <w:tc>
          <w:tcPr>
            <w:tcW w:w="1796" w:type="dxa"/>
            <w:tcBorders>
              <w:top w:val="nil"/>
            </w:tcBorders>
            <w:vAlign w:val="center"/>
          </w:tcPr>
          <w:p w:rsidR="004E2069" w:rsidRPr="003427A8" w:rsidRDefault="004E2069" w:rsidP="00B049D3">
            <w:pPr>
              <w:widowControl w:val="0"/>
              <w:ind w:right="435"/>
              <w:jc w:val="right"/>
              <w:rPr>
                <w:color w:val="000000"/>
                <w:sz w:val="22"/>
                <w:szCs w:val="22"/>
              </w:rPr>
            </w:pPr>
            <w:r w:rsidRPr="003427A8">
              <w:rPr>
                <w:color w:val="000000"/>
                <w:sz w:val="22"/>
                <w:szCs w:val="22"/>
              </w:rPr>
              <w:t>37,9</w:t>
            </w:r>
          </w:p>
        </w:tc>
      </w:tr>
      <w:tr w:rsidR="004E2069" w:rsidRPr="003427A8" w:rsidTr="003427A8">
        <w:trPr>
          <w:trHeight w:val="20"/>
        </w:trPr>
        <w:tc>
          <w:tcPr>
            <w:tcW w:w="4239" w:type="dxa"/>
            <w:shd w:val="clear" w:color="auto" w:fill="E0E0E0"/>
            <w:vAlign w:val="center"/>
          </w:tcPr>
          <w:p w:rsidR="004E2069" w:rsidRPr="003427A8" w:rsidRDefault="004E2069" w:rsidP="00B049D3">
            <w:pPr>
              <w:pStyle w:val="artx"/>
              <w:widowControl w:val="0"/>
              <w:ind w:firstLine="102"/>
              <w:rPr>
                <w:rFonts w:ascii="Times New Roman" w:hAnsi="Times New Roman" w:cs="Times New Roman"/>
                <w:sz w:val="22"/>
                <w:szCs w:val="22"/>
              </w:rPr>
            </w:pPr>
            <w:r w:rsidRPr="003427A8">
              <w:rPr>
                <w:rFonts w:ascii="Times New Roman" w:hAnsi="Times New Roman" w:cs="Times New Roman"/>
                <w:sz w:val="22"/>
                <w:szCs w:val="22"/>
              </w:rPr>
              <w:t>D. Вторичные доходы</w:t>
            </w:r>
          </w:p>
        </w:tc>
        <w:tc>
          <w:tcPr>
            <w:tcW w:w="1795" w:type="dxa"/>
            <w:shd w:val="clear" w:color="auto" w:fill="E0E0E0"/>
            <w:vAlign w:val="center"/>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78,6</w:t>
            </w:r>
          </w:p>
        </w:tc>
        <w:tc>
          <w:tcPr>
            <w:tcW w:w="1795" w:type="dxa"/>
            <w:shd w:val="clear" w:color="auto" w:fill="E0E0E0"/>
            <w:vAlign w:val="center"/>
          </w:tcPr>
          <w:p w:rsidR="004E2069" w:rsidRPr="003427A8" w:rsidRDefault="004E2069" w:rsidP="00B049D3">
            <w:pPr>
              <w:widowControl w:val="0"/>
              <w:ind w:right="432"/>
              <w:jc w:val="right"/>
              <w:rPr>
                <w:color w:val="000000"/>
                <w:sz w:val="22"/>
                <w:szCs w:val="22"/>
              </w:rPr>
            </w:pPr>
            <w:r w:rsidRPr="003427A8">
              <w:rPr>
                <w:color w:val="000000"/>
                <w:sz w:val="22"/>
                <w:szCs w:val="22"/>
              </w:rPr>
              <w:t>74,3</w:t>
            </w:r>
          </w:p>
        </w:tc>
        <w:tc>
          <w:tcPr>
            <w:tcW w:w="1796" w:type="dxa"/>
            <w:shd w:val="clear" w:color="auto" w:fill="E0E0E0"/>
            <w:vAlign w:val="center"/>
          </w:tcPr>
          <w:p w:rsidR="004E2069" w:rsidRPr="003427A8" w:rsidRDefault="004E2069" w:rsidP="00B049D3">
            <w:pPr>
              <w:widowControl w:val="0"/>
              <w:ind w:right="435"/>
              <w:jc w:val="right"/>
              <w:rPr>
                <w:color w:val="000000"/>
                <w:sz w:val="22"/>
                <w:szCs w:val="22"/>
              </w:rPr>
            </w:pPr>
            <w:r w:rsidRPr="003427A8">
              <w:rPr>
                <w:color w:val="000000"/>
                <w:sz w:val="22"/>
                <w:szCs w:val="22"/>
              </w:rPr>
              <w:t>133,5</w:t>
            </w:r>
          </w:p>
        </w:tc>
      </w:tr>
      <w:tr w:rsidR="004E2069" w:rsidRPr="003427A8" w:rsidTr="003427A8">
        <w:trPr>
          <w:trHeight w:val="20"/>
        </w:trPr>
        <w:tc>
          <w:tcPr>
            <w:tcW w:w="4239" w:type="dxa"/>
            <w:tcBorders>
              <w:top w:val="nil"/>
              <w:bottom w:val="nil"/>
            </w:tcBorders>
            <w:vAlign w:val="center"/>
          </w:tcPr>
          <w:p w:rsidR="004E2069" w:rsidRPr="003427A8" w:rsidRDefault="004E2069" w:rsidP="00B049D3">
            <w:pPr>
              <w:pStyle w:val="artx"/>
              <w:widowControl w:val="0"/>
              <w:ind w:left="318" w:firstLine="102"/>
              <w:rPr>
                <w:rFonts w:ascii="Times New Roman" w:hAnsi="Times New Roman" w:cs="Times New Roman"/>
                <w:sz w:val="22"/>
                <w:szCs w:val="22"/>
              </w:rPr>
            </w:pPr>
            <w:r w:rsidRPr="003427A8">
              <w:rPr>
                <w:rFonts w:ascii="Times New Roman" w:hAnsi="Times New Roman" w:cs="Times New Roman"/>
                <w:sz w:val="22"/>
                <w:szCs w:val="22"/>
              </w:rPr>
              <w:t>-получено</w:t>
            </w:r>
          </w:p>
        </w:tc>
        <w:tc>
          <w:tcPr>
            <w:tcW w:w="1795" w:type="dxa"/>
            <w:tcBorders>
              <w:top w:val="nil"/>
              <w:bottom w:val="nil"/>
            </w:tcBorders>
            <w:vAlign w:val="center"/>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142,6</w:t>
            </w:r>
          </w:p>
        </w:tc>
        <w:tc>
          <w:tcPr>
            <w:tcW w:w="1795" w:type="dxa"/>
            <w:tcBorders>
              <w:top w:val="nil"/>
              <w:bottom w:val="nil"/>
            </w:tcBorders>
            <w:vAlign w:val="center"/>
          </w:tcPr>
          <w:p w:rsidR="004E2069" w:rsidRPr="003427A8" w:rsidRDefault="004E2069" w:rsidP="00B049D3">
            <w:pPr>
              <w:widowControl w:val="0"/>
              <w:ind w:right="432"/>
              <w:jc w:val="right"/>
              <w:rPr>
                <w:color w:val="000000"/>
                <w:sz w:val="22"/>
                <w:szCs w:val="22"/>
              </w:rPr>
            </w:pPr>
            <w:r w:rsidRPr="003427A8">
              <w:rPr>
                <w:color w:val="000000"/>
                <w:sz w:val="22"/>
                <w:szCs w:val="22"/>
              </w:rPr>
              <w:t>122,9</w:t>
            </w:r>
          </w:p>
        </w:tc>
        <w:tc>
          <w:tcPr>
            <w:tcW w:w="1796" w:type="dxa"/>
            <w:tcBorders>
              <w:top w:val="nil"/>
              <w:bottom w:val="nil"/>
            </w:tcBorders>
            <w:vAlign w:val="center"/>
          </w:tcPr>
          <w:p w:rsidR="004E2069" w:rsidRPr="003427A8" w:rsidRDefault="004E2069" w:rsidP="00B049D3">
            <w:pPr>
              <w:widowControl w:val="0"/>
              <w:ind w:right="435"/>
              <w:jc w:val="right"/>
              <w:rPr>
                <w:color w:val="000000"/>
                <w:sz w:val="22"/>
                <w:szCs w:val="22"/>
              </w:rPr>
            </w:pPr>
            <w:r w:rsidRPr="003427A8">
              <w:rPr>
                <w:color w:val="000000"/>
                <w:sz w:val="22"/>
                <w:szCs w:val="22"/>
              </w:rPr>
              <w:t>177,5</w:t>
            </w:r>
          </w:p>
        </w:tc>
      </w:tr>
      <w:tr w:rsidR="004E2069" w:rsidRPr="003427A8" w:rsidTr="003427A8">
        <w:trPr>
          <w:trHeight w:val="20"/>
        </w:trPr>
        <w:tc>
          <w:tcPr>
            <w:tcW w:w="4239" w:type="dxa"/>
            <w:tcBorders>
              <w:top w:val="nil"/>
            </w:tcBorders>
            <w:vAlign w:val="center"/>
          </w:tcPr>
          <w:p w:rsidR="004E2069" w:rsidRPr="003427A8" w:rsidRDefault="004E2069" w:rsidP="00B049D3">
            <w:pPr>
              <w:pStyle w:val="artx"/>
              <w:widowControl w:val="0"/>
              <w:ind w:left="318" w:firstLine="102"/>
              <w:rPr>
                <w:rFonts w:ascii="Times New Roman" w:hAnsi="Times New Roman" w:cs="Times New Roman"/>
                <w:sz w:val="22"/>
                <w:szCs w:val="22"/>
              </w:rPr>
            </w:pPr>
            <w:r w:rsidRPr="003427A8">
              <w:rPr>
                <w:rFonts w:ascii="Times New Roman" w:hAnsi="Times New Roman" w:cs="Times New Roman"/>
                <w:sz w:val="22"/>
                <w:szCs w:val="22"/>
              </w:rPr>
              <w:t>-выплачено</w:t>
            </w:r>
          </w:p>
        </w:tc>
        <w:tc>
          <w:tcPr>
            <w:tcW w:w="1795" w:type="dxa"/>
            <w:tcBorders>
              <w:top w:val="nil"/>
            </w:tcBorders>
            <w:vAlign w:val="center"/>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64,0</w:t>
            </w:r>
          </w:p>
        </w:tc>
        <w:tc>
          <w:tcPr>
            <w:tcW w:w="1795" w:type="dxa"/>
            <w:tcBorders>
              <w:top w:val="nil"/>
            </w:tcBorders>
            <w:vAlign w:val="center"/>
          </w:tcPr>
          <w:p w:rsidR="004E2069" w:rsidRPr="003427A8" w:rsidRDefault="004E2069" w:rsidP="00B049D3">
            <w:pPr>
              <w:widowControl w:val="0"/>
              <w:ind w:right="432"/>
              <w:jc w:val="right"/>
              <w:rPr>
                <w:color w:val="000000"/>
                <w:sz w:val="22"/>
                <w:szCs w:val="22"/>
              </w:rPr>
            </w:pPr>
            <w:r w:rsidRPr="003427A8">
              <w:rPr>
                <w:color w:val="000000"/>
                <w:sz w:val="22"/>
                <w:szCs w:val="22"/>
              </w:rPr>
              <w:t>48,5</w:t>
            </w:r>
          </w:p>
        </w:tc>
        <w:tc>
          <w:tcPr>
            <w:tcW w:w="1796" w:type="dxa"/>
            <w:tcBorders>
              <w:top w:val="nil"/>
            </w:tcBorders>
            <w:vAlign w:val="center"/>
          </w:tcPr>
          <w:p w:rsidR="004E2069" w:rsidRPr="003427A8" w:rsidRDefault="004E2069" w:rsidP="00B049D3">
            <w:pPr>
              <w:widowControl w:val="0"/>
              <w:ind w:right="435"/>
              <w:jc w:val="right"/>
              <w:rPr>
                <w:color w:val="000000"/>
                <w:sz w:val="22"/>
                <w:szCs w:val="22"/>
              </w:rPr>
            </w:pPr>
            <w:r w:rsidRPr="003427A8">
              <w:rPr>
                <w:color w:val="000000"/>
                <w:sz w:val="22"/>
                <w:szCs w:val="22"/>
              </w:rPr>
              <w:t>44,0</w:t>
            </w:r>
          </w:p>
        </w:tc>
      </w:tr>
      <w:tr w:rsidR="004E2069" w:rsidRPr="003427A8" w:rsidTr="003427A8">
        <w:trPr>
          <w:trHeight w:val="20"/>
        </w:trPr>
        <w:tc>
          <w:tcPr>
            <w:tcW w:w="4239" w:type="dxa"/>
            <w:shd w:val="clear" w:color="auto" w:fill="E0E0E0"/>
            <w:vAlign w:val="center"/>
          </w:tcPr>
          <w:p w:rsidR="004E2069" w:rsidRPr="003427A8" w:rsidRDefault="004E2069" w:rsidP="00B049D3">
            <w:pPr>
              <w:pStyle w:val="CharChar"/>
              <w:widowControl w:val="0"/>
              <w:rPr>
                <w:rFonts w:ascii="Times New Roman" w:hAnsi="Times New Roman" w:cs="Times New Roman"/>
                <w:sz w:val="22"/>
                <w:szCs w:val="22"/>
              </w:rPr>
            </w:pPr>
            <w:r w:rsidRPr="003427A8">
              <w:rPr>
                <w:rFonts w:ascii="Times New Roman" w:hAnsi="Times New Roman" w:cs="Times New Roman"/>
                <w:sz w:val="22"/>
                <w:szCs w:val="22"/>
              </w:rPr>
              <w:t xml:space="preserve">2. СЧЁТ ОПЕРАЦИЙ С КАПИТАЛОМ </w:t>
            </w:r>
          </w:p>
        </w:tc>
        <w:tc>
          <w:tcPr>
            <w:tcW w:w="1795" w:type="dxa"/>
            <w:shd w:val="clear" w:color="auto" w:fill="E0E0E0"/>
            <w:vAlign w:val="center"/>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0,0</w:t>
            </w:r>
          </w:p>
        </w:tc>
        <w:tc>
          <w:tcPr>
            <w:tcW w:w="1795" w:type="dxa"/>
            <w:shd w:val="clear" w:color="auto" w:fill="E0E0E0"/>
            <w:vAlign w:val="center"/>
          </w:tcPr>
          <w:p w:rsidR="004E2069" w:rsidRPr="003427A8" w:rsidRDefault="004E2069" w:rsidP="00B049D3">
            <w:pPr>
              <w:widowControl w:val="0"/>
              <w:ind w:right="432"/>
              <w:jc w:val="right"/>
              <w:rPr>
                <w:color w:val="000000"/>
                <w:sz w:val="22"/>
                <w:szCs w:val="22"/>
              </w:rPr>
            </w:pPr>
            <w:r w:rsidRPr="003427A8">
              <w:rPr>
                <w:color w:val="000000"/>
                <w:sz w:val="22"/>
                <w:szCs w:val="22"/>
              </w:rPr>
              <w:t>0,0</w:t>
            </w:r>
          </w:p>
        </w:tc>
        <w:tc>
          <w:tcPr>
            <w:tcW w:w="1796" w:type="dxa"/>
            <w:shd w:val="clear" w:color="auto" w:fill="E0E0E0"/>
            <w:vAlign w:val="center"/>
          </w:tcPr>
          <w:p w:rsidR="004E2069" w:rsidRPr="003427A8" w:rsidRDefault="004E2069" w:rsidP="00B049D3">
            <w:pPr>
              <w:widowControl w:val="0"/>
              <w:ind w:right="435"/>
              <w:jc w:val="right"/>
              <w:rPr>
                <w:color w:val="000000"/>
                <w:sz w:val="22"/>
                <w:szCs w:val="22"/>
              </w:rPr>
            </w:pPr>
            <w:r w:rsidRPr="003427A8">
              <w:rPr>
                <w:color w:val="000000"/>
                <w:sz w:val="22"/>
                <w:szCs w:val="22"/>
              </w:rPr>
              <w:t>0,0</w:t>
            </w:r>
          </w:p>
        </w:tc>
      </w:tr>
      <w:tr w:rsidR="004E2069" w:rsidRPr="003427A8" w:rsidTr="003427A8">
        <w:trPr>
          <w:trHeight w:val="20"/>
        </w:trPr>
        <w:tc>
          <w:tcPr>
            <w:tcW w:w="4239" w:type="dxa"/>
            <w:shd w:val="clear" w:color="auto" w:fill="E0E0E0"/>
            <w:vAlign w:val="center"/>
          </w:tcPr>
          <w:p w:rsidR="004E2069" w:rsidRPr="003427A8" w:rsidRDefault="004E2069" w:rsidP="00B049D3">
            <w:pPr>
              <w:pStyle w:val="CharChar"/>
              <w:widowControl w:val="0"/>
              <w:rPr>
                <w:rFonts w:ascii="Times New Roman" w:hAnsi="Times New Roman" w:cs="Times New Roman"/>
                <w:sz w:val="22"/>
                <w:szCs w:val="22"/>
              </w:rPr>
            </w:pPr>
            <w:r w:rsidRPr="003427A8">
              <w:rPr>
                <w:rFonts w:ascii="Times New Roman" w:hAnsi="Times New Roman" w:cs="Times New Roman"/>
                <w:sz w:val="22"/>
                <w:szCs w:val="22"/>
              </w:rPr>
              <w:t>3. ФИНАНСОВЫЙ СЧЁТ</w:t>
            </w:r>
          </w:p>
        </w:tc>
        <w:tc>
          <w:tcPr>
            <w:tcW w:w="1795" w:type="dxa"/>
            <w:shd w:val="clear" w:color="auto" w:fill="E0E0E0"/>
            <w:vAlign w:val="center"/>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-465,2</w:t>
            </w:r>
          </w:p>
        </w:tc>
        <w:tc>
          <w:tcPr>
            <w:tcW w:w="1795" w:type="dxa"/>
            <w:shd w:val="clear" w:color="auto" w:fill="E0E0E0"/>
            <w:vAlign w:val="center"/>
          </w:tcPr>
          <w:p w:rsidR="004E2069" w:rsidRPr="003427A8" w:rsidRDefault="004E2069" w:rsidP="00B049D3">
            <w:pPr>
              <w:widowControl w:val="0"/>
              <w:ind w:right="432"/>
              <w:jc w:val="right"/>
              <w:rPr>
                <w:color w:val="000000"/>
                <w:sz w:val="22"/>
                <w:szCs w:val="22"/>
              </w:rPr>
            </w:pPr>
            <w:r w:rsidRPr="003427A8">
              <w:rPr>
                <w:color w:val="000000"/>
                <w:sz w:val="22"/>
                <w:szCs w:val="22"/>
              </w:rPr>
              <w:t>-319,0</w:t>
            </w:r>
          </w:p>
        </w:tc>
        <w:tc>
          <w:tcPr>
            <w:tcW w:w="1796" w:type="dxa"/>
            <w:shd w:val="clear" w:color="auto" w:fill="E0E0E0"/>
            <w:vAlign w:val="center"/>
          </w:tcPr>
          <w:p w:rsidR="004E2069" w:rsidRPr="003427A8" w:rsidRDefault="004E2069" w:rsidP="00B049D3">
            <w:pPr>
              <w:widowControl w:val="0"/>
              <w:ind w:right="435"/>
              <w:jc w:val="right"/>
              <w:rPr>
                <w:color w:val="000000"/>
                <w:sz w:val="22"/>
                <w:szCs w:val="22"/>
              </w:rPr>
            </w:pPr>
            <w:r w:rsidRPr="003427A8">
              <w:rPr>
                <w:color w:val="000000"/>
                <w:sz w:val="22"/>
                <w:szCs w:val="22"/>
              </w:rPr>
              <w:t>-283,6</w:t>
            </w:r>
          </w:p>
        </w:tc>
      </w:tr>
      <w:tr w:rsidR="004E2069" w:rsidRPr="003427A8" w:rsidTr="003427A8">
        <w:trPr>
          <w:trHeight w:val="20"/>
        </w:trPr>
        <w:tc>
          <w:tcPr>
            <w:tcW w:w="4239" w:type="dxa"/>
            <w:shd w:val="clear" w:color="auto" w:fill="D9D9D9"/>
            <w:vAlign w:val="center"/>
          </w:tcPr>
          <w:p w:rsidR="004E2069" w:rsidRPr="003427A8" w:rsidRDefault="004E2069" w:rsidP="00B049D3">
            <w:pPr>
              <w:pStyle w:val="CharChar"/>
              <w:widowControl w:val="0"/>
              <w:ind w:firstLine="130"/>
              <w:rPr>
                <w:rFonts w:ascii="Times New Roman" w:hAnsi="Times New Roman" w:cs="Times New Roman"/>
                <w:sz w:val="22"/>
                <w:szCs w:val="22"/>
              </w:rPr>
            </w:pPr>
            <w:r w:rsidRPr="003427A8">
              <w:rPr>
                <w:rFonts w:ascii="Times New Roman" w:hAnsi="Times New Roman" w:cs="Times New Roman"/>
                <w:sz w:val="22"/>
                <w:szCs w:val="22"/>
              </w:rPr>
              <w:t>Прямые инвестиции</w:t>
            </w:r>
          </w:p>
        </w:tc>
        <w:tc>
          <w:tcPr>
            <w:tcW w:w="1795" w:type="dxa"/>
            <w:shd w:val="clear" w:color="auto" w:fill="D9D9D9"/>
            <w:vAlign w:val="center"/>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24,1</w:t>
            </w:r>
          </w:p>
        </w:tc>
        <w:tc>
          <w:tcPr>
            <w:tcW w:w="1795" w:type="dxa"/>
            <w:shd w:val="clear" w:color="auto" w:fill="D9D9D9"/>
            <w:vAlign w:val="center"/>
          </w:tcPr>
          <w:p w:rsidR="004E2069" w:rsidRPr="003427A8" w:rsidRDefault="004E2069" w:rsidP="00B049D3">
            <w:pPr>
              <w:widowControl w:val="0"/>
              <w:ind w:right="432"/>
              <w:jc w:val="right"/>
              <w:rPr>
                <w:color w:val="000000"/>
                <w:sz w:val="22"/>
                <w:szCs w:val="22"/>
              </w:rPr>
            </w:pPr>
            <w:r w:rsidRPr="003427A8">
              <w:rPr>
                <w:color w:val="000000"/>
                <w:sz w:val="22"/>
                <w:szCs w:val="22"/>
              </w:rPr>
              <w:t>9,6</w:t>
            </w:r>
          </w:p>
        </w:tc>
        <w:tc>
          <w:tcPr>
            <w:tcW w:w="1796" w:type="dxa"/>
            <w:shd w:val="clear" w:color="auto" w:fill="D9D9D9"/>
            <w:vAlign w:val="center"/>
          </w:tcPr>
          <w:p w:rsidR="004E2069" w:rsidRPr="003427A8" w:rsidRDefault="004E2069" w:rsidP="00B049D3">
            <w:pPr>
              <w:widowControl w:val="0"/>
              <w:ind w:right="435"/>
              <w:jc w:val="right"/>
              <w:rPr>
                <w:color w:val="000000"/>
                <w:sz w:val="22"/>
                <w:szCs w:val="22"/>
              </w:rPr>
            </w:pPr>
            <w:r w:rsidRPr="003427A8">
              <w:rPr>
                <w:color w:val="000000"/>
                <w:sz w:val="22"/>
                <w:szCs w:val="22"/>
              </w:rPr>
              <w:t>14,5</w:t>
            </w:r>
          </w:p>
        </w:tc>
      </w:tr>
      <w:tr w:rsidR="004E2069" w:rsidRPr="003427A8" w:rsidTr="003427A8">
        <w:trPr>
          <w:trHeight w:val="20"/>
        </w:trPr>
        <w:tc>
          <w:tcPr>
            <w:tcW w:w="4239" w:type="dxa"/>
            <w:tcBorders>
              <w:top w:val="nil"/>
              <w:bottom w:val="nil"/>
            </w:tcBorders>
            <w:vAlign w:val="center"/>
          </w:tcPr>
          <w:p w:rsidR="004E2069" w:rsidRPr="003427A8" w:rsidRDefault="004E2069" w:rsidP="00B049D3">
            <w:pPr>
              <w:pStyle w:val="Header"/>
              <w:widowControl w:val="0"/>
              <w:ind w:left="382" w:hanging="98"/>
              <w:rPr>
                <w:sz w:val="22"/>
                <w:szCs w:val="22"/>
              </w:rPr>
            </w:pPr>
            <w:r w:rsidRPr="003427A8">
              <w:rPr>
                <w:sz w:val="22"/>
                <w:szCs w:val="22"/>
              </w:rPr>
              <w:t>-чистое приобретение финансовых активов</w:t>
            </w:r>
          </w:p>
        </w:tc>
        <w:tc>
          <w:tcPr>
            <w:tcW w:w="1795" w:type="dxa"/>
            <w:tcBorders>
              <w:top w:val="nil"/>
              <w:bottom w:val="nil"/>
            </w:tcBorders>
            <w:vAlign w:val="bottom"/>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0,7</w:t>
            </w:r>
          </w:p>
        </w:tc>
        <w:tc>
          <w:tcPr>
            <w:tcW w:w="1795" w:type="dxa"/>
            <w:tcBorders>
              <w:top w:val="nil"/>
              <w:bottom w:val="nil"/>
            </w:tcBorders>
            <w:vAlign w:val="bottom"/>
          </w:tcPr>
          <w:p w:rsidR="004E2069" w:rsidRPr="003427A8" w:rsidRDefault="004E2069" w:rsidP="00B049D3">
            <w:pPr>
              <w:widowControl w:val="0"/>
              <w:ind w:right="432"/>
              <w:jc w:val="right"/>
              <w:rPr>
                <w:color w:val="000000"/>
                <w:sz w:val="22"/>
                <w:szCs w:val="22"/>
              </w:rPr>
            </w:pPr>
            <w:r w:rsidRPr="003427A8">
              <w:rPr>
                <w:color w:val="000000"/>
                <w:sz w:val="22"/>
                <w:szCs w:val="22"/>
              </w:rPr>
              <w:t>1,0</w:t>
            </w:r>
          </w:p>
        </w:tc>
        <w:tc>
          <w:tcPr>
            <w:tcW w:w="1796" w:type="dxa"/>
            <w:tcBorders>
              <w:top w:val="nil"/>
              <w:bottom w:val="nil"/>
            </w:tcBorders>
            <w:vAlign w:val="bottom"/>
          </w:tcPr>
          <w:p w:rsidR="004E2069" w:rsidRPr="003427A8" w:rsidRDefault="004E2069" w:rsidP="00B049D3">
            <w:pPr>
              <w:widowControl w:val="0"/>
              <w:ind w:right="435"/>
              <w:jc w:val="right"/>
              <w:rPr>
                <w:color w:val="000000"/>
                <w:sz w:val="22"/>
                <w:szCs w:val="22"/>
              </w:rPr>
            </w:pPr>
            <w:r w:rsidRPr="003427A8">
              <w:rPr>
                <w:color w:val="000000"/>
                <w:sz w:val="22"/>
                <w:szCs w:val="22"/>
              </w:rPr>
              <w:t>0,6</w:t>
            </w:r>
          </w:p>
        </w:tc>
      </w:tr>
      <w:tr w:rsidR="004E2069" w:rsidRPr="003427A8" w:rsidTr="003427A8">
        <w:trPr>
          <w:trHeight w:val="20"/>
        </w:trPr>
        <w:tc>
          <w:tcPr>
            <w:tcW w:w="4239" w:type="dxa"/>
            <w:tcBorders>
              <w:top w:val="nil"/>
            </w:tcBorders>
            <w:vAlign w:val="center"/>
          </w:tcPr>
          <w:p w:rsidR="004E2069" w:rsidRPr="003427A8" w:rsidRDefault="004E2069" w:rsidP="00B049D3">
            <w:pPr>
              <w:pStyle w:val="Header"/>
              <w:widowControl w:val="0"/>
              <w:ind w:left="318" w:hanging="20"/>
              <w:rPr>
                <w:sz w:val="22"/>
                <w:szCs w:val="22"/>
              </w:rPr>
            </w:pPr>
            <w:r w:rsidRPr="003427A8">
              <w:rPr>
                <w:sz w:val="22"/>
                <w:szCs w:val="22"/>
              </w:rPr>
              <w:t>-чистое принятие обязательств</w:t>
            </w:r>
          </w:p>
        </w:tc>
        <w:tc>
          <w:tcPr>
            <w:tcW w:w="1795" w:type="dxa"/>
            <w:tcBorders>
              <w:top w:val="nil"/>
            </w:tcBorders>
            <w:vAlign w:val="bottom"/>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-23,4</w:t>
            </w:r>
          </w:p>
        </w:tc>
        <w:tc>
          <w:tcPr>
            <w:tcW w:w="1795" w:type="dxa"/>
            <w:tcBorders>
              <w:top w:val="nil"/>
            </w:tcBorders>
            <w:vAlign w:val="bottom"/>
          </w:tcPr>
          <w:p w:rsidR="004E2069" w:rsidRPr="003427A8" w:rsidRDefault="004E2069" w:rsidP="00B049D3">
            <w:pPr>
              <w:widowControl w:val="0"/>
              <w:ind w:right="432"/>
              <w:jc w:val="right"/>
              <w:rPr>
                <w:color w:val="000000"/>
                <w:sz w:val="22"/>
                <w:szCs w:val="22"/>
              </w:rPr>
            </w:pPr>
            <w:r w:rsidRPr="003427A8">
              <w:rPr>
                <w:color w:val="000000"/>
                <w:sz w:val="22"/>
                <w:szCs w:val="22"/>
              </w:rPr>
              <w:t>-8,6</w:t>
            </w:r>
          </w:p>
        </w:tc>
        <w:tc>
          <w:tcPr>
            <w:tcW w:w="1796" w:type="dxa"/>
            <w:tcBorders>
              <w:top w:val="nil"/>
            </w:tcBorders>
            <w:vAlign w:val="bottom"/>
          </w:tcPr>
          <w:p w:rsidR="004E2069" w:rsidRPr="003427A8" w:rsidRDefault="004E2069" w:rsidP="00B049D3">
            <w:pPr>
              <w:widowControl w:val="0"/>
              <w:ind w:right="435"/>
              <w:jc w:val="right"/>
              <w:rPr>
                <w:color w:val="000000"/>
                <w:sz w:val="22"/>
                <w:szCs w:val="22"/>
              </w:rPr>
            </w:pPr>
            <w:r w:rsidRPr="003427A8">
              <w:rPr>
                <w:color w:val="000000"/>
                <w:sz w:val="22"/>
                <w:szCs w:val="22"/>
              </w:rPr>
              <w:t>-13,9</w:t>
            </w:r>
          </w:p>
        </w:tc>
      </w:tr>
      <w:tr w:rsidR="004E2069" w:rsidRPr="003427A8" w:rsidTr="003427A8">
        <w:trPr>
          <w:trHeight w:val="20"/>
        </w:trPr>
        <w:tc>
          <w:tcPr>
            <w:tcW w:w="4239" w:type="dxa"/>
            <w:shd w:val="clear" w:color="auto" w:fill="D9D9D9"/>
            <w:vAlign w:val="center"/>
          </w:tcPr>
          <w:p w:rsidR="004E2069" w:rsidRPr="003427A8" w:rsidRDefault="004E2069" w:rsidP="00B049D3">
            <w:pPr>
              <w:pStyle w:val="Header"/>
              <w:widowControl w:val="0"/>
              <w:ind w:firstLine="130"/>
              <w:rPr>
                <w:sz w:val="22"/>
                <w:szCs w:val="22"/>
              </w:rPr>
            </w:pPr>
            <w:r w:rsidRPr="003427A8">
              <w:rPr>
                <w:sz w:val="22"/>
                <w:szCs w:val="22"/>
              </w:rPr>
              <w:t xml:space="preserve">Портфельные инвестиции </w:t>
            </w:r>
          </w:p>
        </w:tc>
        <w:tc>
          <w:tcPr>
            <w:tcW w:w="1795" w:type="dxa"/>
            <w:shd w:val="clear" w:color="auto" w:fill="D9D9D9"/>
            <w:vAlign w:val="center"/>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-31,8</w:t>
            </w:r>
          </w:p>
        </w:tc>
        <w:tc>
          <w:tcPr>
            <w:tcW w:w="1795" w:type="dxa"/>
            <w:shd w:val="clear" w:color="auto" w:fill="D9D9D9"/>
            <w:vAlign w:val="center"/>
          </w:tcPr>
          <w:p w:rsidR="004E2069" w:rsidRPr="003427A8" w:rsidRDefault="004E2069" w:rsidP="00B049D3">
            <w:pPr>
              <w:widowControl w:val="0"/>
              <w:ind w:right="432"/>
              <w:jc w:val="right"/>
              <w:rPr>
                <w:color w:val="000000"/>
                <w:sz w:val="22"/>
                <w:szCs w:val="22"/>
              </w:rPr>
            </w:pPr>
            <w:r w:rsidRPr="003427A8">
              <w:rPr>
                <w:color w:val="000000"/>
                <w:sz w:val="22"/>
                <w:szCs w:val="22"/>
              </w:rPr>
              <w:t>24,4</w:t>
            </w:r>
          </w:p>
        </w:tc>
        <w:tc>
          <w:tcPr>
            <w:tcW w:w="1796" w:type="dxa"/>
            <w:shd w:val="clear" w:color="auto" w:fill="D9D9D9"/>
            <w:vAlign w:val="center"/>
          </w:tcPr>
          <w:p w:rsidR="004E2069" w:rsidRPr="003427A8" w:rsidRDefault="004E2069" w:rsidP="00B049D3">
            <w:pPr>
              <w:widowControl w:val="0"/>
              <w:ind w:right="435"/>
              <w:jc w:val="right"/>
              <w:rPr>
                <w:color w:val="000000"/>
                <w:sz w:val="22"/>
                <w:szCs w:val="22"/>
              </w:rPr>
            </w:pPr>
            <w:r w:rsidRPr="003427A8">
              <w:rPr>
                <w:color w:val="000000"/>
                <w:sz w:val="22"/>
                <w:szCs w:val="22"/>
              </w:rPr>
              <w:t>0,0</w:t>
            </w:r>
          </w:p>
        </w:tc>
      </w:tr>
      <w:tr w:rsidR="004E2069" w:rsidRPr="003427A8" w:rsidTr="003427A8">
        <w:trPr>
          <w:trHeight w:val="20"/>
        </w:trPr>
        <w:tc>
          <w:tcPr>
            <w:tcW w:w="4239" w:type="dxa"/>
            <w:tcBorders>
              <w:bottom w:val="nil"/>
            </w:tcBorders>
            <w:vAlign w:val="center"/>
          </w:tcPr>
          <w:p w:rsidR="004E2069" w:rsidRPr="003427A8" w:rsidRDefault="004E2069" w:rsidP="00B049D3">
            <w:pPr>
              <w:pStyle w:val="Header"/>
              <w:widowControl w:val="0"/>
              <w:ind w:left="396" w:hanging="84"/>
              <w:rPr>
                <w:sz w:val="22"/>
                <w:szCs w:val="22"/>
              </w:rPr>
            </w:pPr>
            <w:r w:rsidRPr="003427A8">
              <w:rPr>
                <w:sz w:val="22"/>
                <w:szCs w:val="22"/>
              </w:rPr>
              <w:t>-чистое приобретение финансовых активов</w:t>
            </w:r>
          </w:p>
        </w:tc>
        <w:tc>
          <w:tcPr>
            <w:tcW w:w="1795" w:type="dxa"/>
            <w:tcBorders>
              <w:left w:val="nil"/>
              <w:bottom w:val="nil"/>
            </w:tcBorders>
            <w:vAlign w:val="bottom"/>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-7,4</w:t>
            </w:r>
          </w:p>
        </w:tc>
        <w:tc>
          <w:tcPr>
            <w:tcW w:w="1795" w:type="dxa"/>
            <w:tcBorders>
              <w:bottom w:val="nil"/>
            </w:tcBorders>
            <w:vAlign w:val="bottom"/>
          </w:tcPr>
          <w:p w:rsidR="004E2069" w:rsidRPr="003427A8" w:rsidRDefault="004E2069" w:rsidP="00B049D3">
            <w:pPr>
              <w:widowControl w:val="0"/>
              <w:ind w:right="432"/>
              <w:jc w:val="right"/>
              <w:rPr>
                <w:color w:val="000000"/>
                <w:sz w:val="22"/>
                <w:szCs w:val="22"/>
              </w:rPr>
            </w:pPr>
            <w:r w:rsidRPr="003427A8">
              <w:rPr>
                <w:color w:val="000000"/>
                <w:sz w:val="22"/>
                <w:szCs w:val="22"/>
              </w:rPr>
              <w:t>0,0</w:t>
            </w:r>
          </w:p>
        </w:tc>
        <w:tc>
          <w:tcPr>
            <w:tcW w:w="1796" w:type="dxa"/>
            <w:tcBorders>
              <w:left w:val="nil"/>
              <w:bottom w:val="nil"/>
            </w:tcBorders>
            <w:vAlign w:val="bottom"/>
          </w:tcPr>
          <w:p w:rsidR="004E2069" w:rsidRPr="003427A8" w:rsidRDefault="004E2069" w:rsidP="00B049D3">
            <w:pPr>
              <w:widowControl w:val="0"/>
              <w:ind w:right="435"/>
              <w:jc w:val="right"/>
              <w:rPr>
                <w:color w:val="000000"/>
                <w:sz w:val="22"/>
                <w:szCs w:val="22"/>
              </w:rPr>
            </w:pPr>
            <w:r w:rsidRPr="003427A8">
              <w:rPr>
                <w:color w:val="000000"/>
                <w:sz w:val="22"/>
                <w:szCs w:val="22"/>
              </w:rPr>
              <w:t>0,0</w:t>
            </w:r>
          </w:p>
        </w:tc>
      </w:tr>
      <w:tr w:rsidR="004E2069" w:rsidRPr="003427A8" w:rsidTr="003427A8">
        <w:trPr>
          <w:trHeight w:val="20"/>
        </w:trPr>
        <w:tc>
          <w:tcPr>
            <w:tcW w:w="4239" w:type="dxa"/>
            <w:tcBorders>
              <w:top w:val="nil"/>
            </w:tcBorders>
            <w:vAlign w:val="center"/>
          </w:tcPr>
          <w:p w:rsidR="004E2069" w:rsidRPr="003427A8" w:rsidRDefault="004E2069" w:rsidP="00B049D3">
            <w:pPr>
              <w:pStyle w:val="Header"/>
              <w:widowControl w:val="0"/>
              <w:ind w:left="396" w:hanging="84"/>
              <w:rPr>
                <w:sz w:val="22"/>
                <w:szCs w:val="22"/>
              </w:rPr>
            </w:pPr>
            <w:r w:rsidRPr="003427A8">
              <w:rPr>
                <w:sz w:val="22"/>
                <w:szCs w:val="22"/>
              </w:rPr>
              <w:t>-чистое принятие обязательств</w:t>
            </w:r>
          </w:p>
        </w:tc>
        <w:tc>
          <w:tcPr>
            <w:tcW w:w="1795" w:type="dxa"/>
            <w:tcBorders>
              <w:top w:val="nil"/>
              <w:left w:val="nil"/>
            </w:tcBorders>
            <w:vAlign w:val="bottom"/>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24,4</w:t>
            </w:r>
          </w:p>
        </w:tc>
        <w:tc>
          <w:tcPr>
            <w:tcW w:w="1795" w:type="dxa"/>
            <w:tcBorders>
              <w:top w:val="nil"/>
            </w:tcBorders>
            <w:vAlign w:val="bottom"/>
          </w:tcPr>
          <w:p w:rsidR="004E2069" w:rsidRPr="003427A8" w:rsidRDefault="004E2069" w:rsidP="00B049D3">
            <w:pPr>
              <w:widowControl w:val="0"/>
              <w:ind w:right="432"/>
              <w:jc w:val="right"/>
              <w:rPr>
                <w:color w:val="000000"/>
                <w:sz w:val="22"/>
                <w:szCs w:val="22"/>
              </w:rPr>
            </w:pPr>
            <w:r w:rsidRPr="003427A8">
              <w:rPr>
                <w:color w:val="000000"/>
                <w:sz w:val="22"/>
                <w:szCs w:val="22"/>
              </w:rPr>
              <w:t>-24,4</w:t>
            </w:r>
          </w:p>
        </w:tc>
        <w:tc>
          <w:tcPr>
            <w:tcW w:w="1796" w:type="dxa"/>
            <w:tcBorders>
              <w:top w:val="nil"/>
              <w:left w:val="nil"/>
            </w:tcBorders>
            <w:vAlign w:val="bottom"/>
          </w:tcPr>
          <w:p w:rsidR="004E2069" w:rsidRPr="003427A8" w:rsidRDefault="004E2069" w:rsidP="00B049D3">
            <w:pPr>
              <w:widowControl w:val="0"/>
              <w:ind w:right="435"/>
              <w:jc w:val="right"/>
              <w:rPr>
                <w:color w:val="000000"/>
                <w:sz w:val="22"/>
                <w:szCs w:val="22"/>
              </w:rPr>
            </w:pPr>
            <w:r w:rsidRPr="003427A8">
              <w:rPr>
                <w:color w:val="000000"/>
                <w:sz w:val="22"/>
                <w:szCs w:val="22"/>
              </w:rPr>
              <w:t>0,0</w:t>
            </w:r>
          </w:p>
        </w:tc>
      </w:tr>
      <w:tr w:rsidR="004E2069" w:rsidRPr="003427A8" w:rsidTr="003427A8">
        <w:trPr>
          <w:trHeight w:val="20"/>
        </w:trPr>
        <w:tc>
          <w:tcPr>
            <w:tcW w:w="4239" w:type="dxa"/>
            <w:shd w:val="clear" w:color="auto" w:fill="D9D9D9"/>
            <w:vAlign w:val="center"/>
          </w:tcPr>
          <w:p w:rsidR="004E2069" w:rsidRPr="003427A8" w:rsidRDefault="004E2069" w:rsidP="00B049D3">
            <w:pPr>
              <w:pStyle w:val="Header"/>
              <w:widowControl w:val="0"/>
              <w:ind w:left="318" w:hanging="174"/>
              <w:rPr>
                <w:sz w:val="22"/>
                <w:szCs w:val="22"/>
              </w:rPr>
            </w:pPr>
            <w:r w:rsidRPr="003427A8">
              <w:rPr>
                <w:sz w:val="22"/>
                <w:szCs w:val="22"/>
              </w:rPr>
              <w:t>Другие инвестиции</w:t>
            </w:r>
          </w:p>
        </w:tc>
        <w:tc>
          <w:tcPr>
            <w:tcW w:w="1795" w:type="dxa"/>
            <w:tcBorders>
              <w:left w:val="nil"/>
            </w:tcBorders>
            <w:shd w:val="clear" w:color="auto" w:fill="D9D9D9"/>
            <w:vAlign w:val="center"/>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-449,8</w:t>
            </w:r>
          </w:p>
        </w:tc>
        <w:tc>
          <w:tcPr>
            <w:tcW w:w="1795" w:type="dxa"/>
            <w:shd w:val="clear" w:color="auto" w:fill="D9D9D9"/>
            <w:vAlign w:val="center"/>
          </w:tcPr>
          <w:p w:rsidR="004E2069" w:rsidRPr="003427A8" w:rsidRDefault="004E2069" w:rsidP="00B049D3">
            <w:pPr>
              <w:widowControl w:val="0"/>
              <w:ind w:right="432"/>
              <w:jc w:val="right"/>
              <w:rPr>
                <w:color w:val="000000"/>
                <w:sz w:val="22"/>
                <w:szCs w:val="22"/>
              </w:rPr>
            </w:pPr>
            <w:r w:rsidRPr="003427A8">
              <w:rPr>
                <w:color w:val="000000"/>
                <w:sz w:val="22"/>
                <w:szCs w:val="22"/>
              </w:rPr>
              <w:t>-334,5</w:t>
            </w:r>
          </w:p>
        </w:tc>
        <w:tc>
          <w:tcPr>
            <w:tcW w:w="1796" w:type="dxa"/>
            <w:tcBorders>
              <w:left w:val="nil"/>
            </w:tcBorders>
            <w:shd w:val="clear" w:color="auto" w:fill="D9D9D9"/>
            <w:vAlign w:val="center"/>
          </w:tcPr>
          <w:p w:rsidR="004E2069" w:rsidRPr="003427A8" w:rsidRDefault="004E2069" w:rsidP="00B049D3">
            <w:pPr>
              <w:widowControl w:val="0"/>
              <w:ind w:right="435"/>
              <w:jc w:val="right"/>
              <w:rPr>
                <w:color w:val="000000"/>
                <w:sz w:val="22"/>
                <w:szCs w:val="22"/>
              </w:rPr>
            </w:pPr>
            <w:r w:rsidRPr="003427A8">
              <w:rPr>
                <w:color w:val="000000"/>
                <w:sz w:val="22"/>
                <w:szCs w:val="22"/>
              </w:rPr>
              <w:t>-311,2</w:t>
            </w:r>
          </w:p>
        </w:tc>
      </w:tr>
      <w:tr w:rsidR="004E2069" w:rsidRPr="003427A8" w:rsidTr="003427A8">
        <w:trPr>
          <w:trHeight w:val="20"/>
        </w:trPr>
        <w:tc>
          <w:tcPr>
            <w:tcW w:w="4239" w:type="dxa"/>
            <w:tcBorders>
              <w:bottom w:val="nil"/>
            </w:tcBorders>
            <w:vAlign w:val="center"/>
          </w:tcPr>
          <w:p w:rsidR="004E2069" w:rsidRPr="003427A8" w:rsidRDefault="004E2069" w:rsidP="00B049D3">
            <w:pPr>
              <w:pStyle w:val="Header"/>
              <w:widowControl w:val="0"/>
              <w:ind w:left="396" w:hanging="84"/>
              <w:rPr>
                <w:sz w:val="22"/>
                <w:szCs w:val="22"/>
              </w:rPr>
            </w:pPr>
            <w:r w:rsidRPr="003427A8">
              <w:rPr>
                <w:sz w:val="22"/>
                <w:szCs w:val="22"/>
              </w:rPr>
              <w:t>-чистое приобретение финансовых активов</w:t>
            </w:r>
          </w:p>
        </w:tc>
        <w:tc>
          <w:tcPr>
            <w:tcW w:w="1795" w:type="dxa"/>
            <w:tcBorders>
              <w:left w:val="nil"/>
              <w:bottom w:val="nil"/>
            </w:tcBorders>
            <w:vAlign w:val="bottom"/>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-9,3</w:t>
            </w:r>
          </w:p>
        </w:tc>
        <w:tc>
          <w:tcPr>
            <w:tcW w:w="1795" w:type="dxa"/>
            <w:tcBorders>
              <w:bottom w:val="nil"/>
            </w:tcBorders>
            <w:vAlign w:val="bottom"/>
          </w:tcPr>
          <w:p w:rsidR="004E2069" w:rsidRPr="003427A8" w:rsidRDefault="004E2069" w:rsidP="00B049D3">
            <w:pPr>
              <w:widowControl w:val="0"/>
              <w:ind w:right="432"/>
              <w:jc w:val="right"/>
              <w:rPr>
                <w:color w:val="000000"/>
                <w:sz w:val="22"/>
                <w:szCs w:val="22"/>
              </w:rPr>
            </w:pPr>
            <w:r w:rsidRPr="003427A8">
              <w:rPr>
                <w:color w:val="000000"/>
                <w:sz w:val="22"/>
                <w:szCs w:val="22"/>
              </w:rPr>
              <w:t>14,6</w:t>
            </w:r>
          </w:p>
        </w:tc>
        <w:tc>
          <w:tcPr>
            <w:tcW w:w="1796" w:type="dxa"/>
            <w:tcBorders>
              <w:left w:val="nil"/>
              <w:bottom w:val="nil"/>
            </w:tcBorders>
            <w:vAlign w:val="bottom"/>
          </w:tcPr>
          <w:p w:rsidR="004E2069" w:rsidRPr="003427A8" w:rsidRDefault="004E2069" w:rsidP="00B049D3">
            <w:pPr>
              <w:widowControl w:val="0"/>
              <w:ind w:right="435"/>
              <w:jc w:val="right"/>
              <w:rPr>
                <w:color w:val="000000"/>
                <w:sz w:val="22"/>
                <w:szCs w:val="22"/>
              </w:rPr>
            </w:pPr>
            <w:r w:rsidRPr="003427A8">
              <w:rPr>
                <w:color w:val="000000"/>
                <w:sz w:val="22"/>
                <w:szCs w:val="22"/>
              </w:rPr>
              <w:t>2,1</w:t>
            </w:r>
          </w:p>
        </w:tc>
      </w:tr>
      <w:tr w:rsidR="004E2069" w:rsidRPr="003427A8" w:rsidTr="003427A8">
        <w:trPr>
          <w:trHeight w:val="20"/>
        </w:trPr>
        <w:tc>
          <w:tcPr>
            <w:tcW w:w="4239" w:type="dxa"/>
            <w:tcBorders>
              <w:top w:val="nil"/>
              <w:bottom w:val="nil"/>
            </w:tcBorders>
            <w:vAlign w:val="center"/>
          </w:tcPr>
          <w:p w:rsidR="004E2069" w:rsidRPr="003427A8" w:rsidRDefault="004E2069" w:rsidP="00B049D3">
            <w:pPr>
              <w:pStyle w:val="Header"/>
              <w:widowControl w:val="0"/>
              <w:ind w:left="396" w:hanging="84"/>
              <w:rPr>
                <w:sz w:val="22"/>
                <w:szCs w:val="22"/>
              </w:rPr>
            </w:pPr>
            <w:r w:rsidRPr="003427A8">
              <w:rPr>
                <w:sz w:val="22"/>
                <w:szCs w:val="22"/>
              </w:rPr>
              <w:t>-чистое приобретение обязательств</w:t>
            </w:r>
          </w:p>
        </w:tc>
        <w:tc>
          <w:tcPr>
            <w:tcW w:w="1795" w:type="dxa"/>
            <w:tcBorders>
              <w:top w:val="nil"/>
              <w:left w:val="nil"/>
              <w:bottom w:val="nil"/>
            </w:tcBorders>
            <w:vAlign w:val="bottom"/>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440,5</w:t>
            </w:r>
          </w:p>
        </w:tc>
        <w:tc>
          <w:tcPr>
            <w:tcW w:w="1795" w:type="dxa"/>
            <w:tcBorders>
              <w:top w:val="nil"/>
              <w:bottom w:val="nil"/>
            </w:tcBorders>
            <w:vAlign w:val="bottom"/>
          </w:tcPr>
          <w:p w:rsidR="004E2069" w:rsidRPr="003427A8" w:rsidRDefault="004E2069" w:rsidP="00B049D3">
            <w:pPr>
              <w:widowControl w:val="0"/>
              <w:ind w:right="432"/>
              <w:jc w:val="right"/>
              <w:rPr>
                <w:color w:val="000000"/>
                <w:sz w:val="22"/>
                <w:szCs w:val="22"/>
              </w:rPr>
            </w:pPr>
            <w:r w:rsidRPr="003427A8">
              <w:rPr>
                <w:color w:val="000000"/>
                <w:sz w:val="22"/>
                <w:szCs w:val="22"/>
              </w:rPr>
              <w:t>349,1</w:t>
            </w:r>
          </w:p>
        </w:tc>
        <w:tc>
          <w:tcPr>
            <w:tcW w:w="1796" w:type="dxa"/>
            <w:tcBorders>
              <w:top w:val="nil"/>
              <w:left w:val="nil"/>
              <w:bottom w:val="nil"/>
            </w:tcBorders>
            <w:vAlign w:val="bottom"/>
          </w:tcPr>
          <w:p w:rsidR="004E2069" w:rsidRPr="003427A8" w:rsidRDefault="004E2069" w:rsidP="00B049D3">
            <w:pPr>
              <w:widowControl w:val="0"/>
              <w:ind w:right="435"/>
              <w:jc w:val="right"/>
              <w:rPr>
                <w:color w:val="000000"/>
                <w:sz w:val="22"/>
                <w:szCs w:val="22"/>
              </w:rPr>
            </w:pPr>
            <w:r w:rsidRPr="003427A8">
              <w:rPr>
                <w:color w:val="000000"/>
                <w:sz w:val="22"/>
                <w:szCs w:val="22"/>
              </w:rPr>
              <w:t>313,3</w:t>
            </w:r>
          </w:p>
        </w:tc>
      </w:tr>
      <w:tr w:rsidR="004E2069" w:rsidRPr="003427A8" w:rsidTr="003427A8">
        <w:trPr>
          <w:trHeight w:val="20"/>
        </w:trPr>
        <w:tc>
          <w:tcPr>
            <w:tcW w:w="4239" w:type="dxa"/>
            <w:shd w:val="clear" w:color="auto" w:fill="E0E0E0"/>
            <w:vAlign w:val="center"/>
          </w:tcPr>
          <w:p w:rsidR="004E2069" w:rsidRPr="003427A8" w:rsidRDefault="004E2069" w:rsidP="00B049D3">
            <w:pPr>
              <w:pStyle w:val="Header"/>
              <w:widowControl w:val="0"/>
              <w:ind w:firstLine="158"/>
              <w:jc w:val="both"/>
              <w:rPr>
                <w:sz w:val="22"/>
                <w:szCs w:val="22"/>
              </w:rPr>
            </w:pPr>
            <w:r w:rsidRPr="003427A8">
              <w:rPr>
                <w:sz w:val="22"/>
                <w:szCs w:val="22"/>
              </w:rPr>
              <w:t>Валютные активы</w:t>
            </w:r>
            <w:r w:rsidRPr="003427A8">
              <w:rPr>
                <w:rStyle w:val="FootnoteReference"/>
                <w:sz w:val="22"/>
                <w:szCs w:val="22"/>
              </w:rPr>
              <w:footnoteReference w:id="21"/>
            </w:r>
            <w:r w:rsidRPr="003427A8">
              <w:rPr>
                <w:sz w:val="22"/>
                <w:szCs w:val="22"/>
                <w:lang w:val="en-US"/>
              </w:rPr>
              <w:t xml:space="preserve"> </w:t>
            </w:r>
            <w:r w:rsidRPr="003427A8">
              <w:rPr>
                <w:sz w:val="22"/>
                <w:szCs w:val="22"/>
              </w:rPr>
              <w:t>центрального банка</w:t>
            </w:r>
          </w:p>
        </w:tc>
        <w:tc>
          <w:tcPr>
            <w:tcW w:w="1795" w:type="dxa"/>
            <w:shd w:val="clear" w:color="auto" w:fill="E0E0E0"/>
            <w:vAlign w:val="center"/>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-7,7</w:t>
            </w:r>
          </w:p>
        </w:tc>
        <w:tc>
          <w:tcPr>
            <w:tcW w:w="1795" w:type="dxa"/>
            <w:shd w:val="clear" w:color="auto" w:fill="E0E0E0"/>
            <w:vAlign w:val="center"/>
          </w:tcPr>
          <w:p w:rsidR="004E2069" w:rsidRPr="003427A8" w:rsidRDefault="004E2069" w:rsidP="00B049D3">
            <w:pPr>
              <w:widowControl w:val="0"/>
              <w:ind w:right="432"/>
              <w:jc w:val="right"/>
              <w:rPr>
                <w:color w:val="000000"/>
                <w:sz w:val="22"/>
                <w:szCs w:val="22"/>
              </w:rPr>
            </w:pPr>
            <w:r w:rsidRPr="003427A8">
              <w:rPr>
                <w:color w:val="000000"/>
                <w:sz w:val="22"/>
                <w:szCs w:val="22"/>
              </w:rPr>
              <w:t>-18,5</w:t>
            </w:r>
          </w:p>
        </w:tc>
        <w:tc>
          <w:tcPr>
            <w:tcW w:w="1796" w:type="dxa"/>
            <w:shd w:val="clear" w:color="auto" w:fill="E0E0E0"/>
            <w:vAlign w:val="center"/>
          </w:tcPr>
          <w:p w:rsidR="004E2069" w:rsidRPr="003427A8" w:rsidRDefault="004E2069" w:rsidP="00B049D3">
            <w:pPr>
              <w:widowControl w:val="0"/>
              <w:ind w:right="435"/>
              <w:jc w:val="right"/>
              <w:rPr>
                <w:color w:val="000000"/>
                <w:sz w:val="22"/>
                <w:szCs w:val="22"/>
              </w:rPr>
            </w:pPr>
            <w:r w:rsidRPr="003427A8">
              <w:rPr>
                <w:color w:val="000000"/>
                <w:sz w:val="22"/>
                <w:szCs w:val="22"/>
              </w:rPr>
              <w:t>13,1</w:t>
            </w:r>
          </w:p>
        </w:tc>
      </w:tr>
      <w:tr w:rsidR="004E2069" w:rsidRPr="003427A8" w:rsidTr="003427A8">
        <w:trPr>
          <w:trHeight w:val="20"/>
        </w:trPr>
        <w:tc>
          <w:tcPr>
            <w:tcW w:w="4239" w:type="dxa"/>
            <w:shd w:val="clear" w:color="auto" w:fill="D9D9D9"/>
            <w:vAlign w:val="center"/>
          </w:tcPr>
          <w:p w:rsidR="004E2069" w:rsidRPr="003427A8" w:rsidRDefault="004E2069" w:rsidP="00B049D3">
            <w:pPr>
              <w:pStyle w:val="Header"/>
              <w:widowControl w:val="0"/>
              <w:ind w:firstLine="32"/>
              <w:rPr>
                <w:sz w:val="22"/>
                <w:szCs w:val="22"/>
              </w:rPr>
            </w:pPr>
            <w:r w:rsidRPr="003427A8">
              <w:rPr>
                <w:sz w:val="22"/>
                <w:szCs w:val="22"/>
              </w:rPr>
              <w:t>4. СТАТИСТИЧЕСКИЕ РАСХОЖДЕНИЯ</w:t>
            </w:r>
          </w:p>
        </w:tc>
        <w:tc>
          <w:tcPr>
            <w:tcW w:w="1795" w:type="dxa"/>
            <w:shd w:val="clear" w:color="auto" w:fill="D9D9D9"/>
            <w:vAlign w:val="center"/>
          </w:tcPr>
          <w:p w:rsidR="004E2069" w:rsidRPr="003427A8" w:rsidRDefault="004E2069" w:rsidP="00B049D3">
            <w:pPr>
              <w:widowControl w:val="0"/>
              <w:tabs>
                <w:tab w:val="left" w:pos="1992"/>
              </w:tabs>
              <w:ind w:right="447"/>
              <w:jc w:val="right"/>
              <w:rPr>
                <w:color w:val="000000"/>
                <w:sz w:val="22"/>
                <w:szCs w:val="22"/>
              </w:rPr>
            </w:pPr>
            <w:r w:rsidRPr="003427A8">
              <w:rPr>
                <w:color w:val="000000"/>
                <w:sz w:val="22"/>
                <w:szCs w:val="22"/>
              </w:rPr>
              <w:t>25,0</w:t>
            </w:r>
          </w:p>
        </w:tc>
        <w:tc>
          <w:tcPr>
            <w:tcW w:w="1795" w:type="dxa"/>
            <w:shd w:val="clear" w:color="auto" w:fill="D9D9D9"/>
            <w:vAlign w:val="center"/>
          </w:tcPr>
          <w:p w:rsidR="004E2069" w:rsidRPr="003427A8" w:rsidRDefault="004E2069" w:rsidP="00B049D3">
            <w:pPr>
              <w:widowControl w:val="0"/>
              <w:ind w:right="432"/>
              <w:jc w:val="right"/>
              <w:rPr>
                <w:color w:val="000000"/>
                <w:sz w:val="22"/>
                <w:szCs w:val="22"/>
              </w:rPr>
            </w:pPr>
            <w:r w:rsidRPr="003427A8">
              <w:rPr>
                <w:color w:val="000000"/>
                <w:sz w:val="22"/>
                <w:szCs w:val="22"/>
              </w:rPr>
              <w:t>-19,8</w:t>
            </w:r>
          </w:p>
        </w:tc>
        <w:tc>
          <w:tcPr>
            <w:tcW w:w="1796" w:type="dxa"/>
            <w:shd w:val="clear" w:color="auto" w:fill="D9D9D9"/>
            <w:vAlign w:val="center"/>
          </w:tcPr>
          <w:p w:rsidR="004E2069" w:rsidRPr="003427A8" w:rsidRDefault="004E2069" w:rsidP="00B049D3">
            <w:pPr>
              <w:widowControl w:val="0"/>
              <w:ind w:right="435"/>
              <w:jc w:val="right"/>
              <w:rPr>
                <w:color w:val="000000"/>
                <w:sz w:val="22"/>
                <w:szCs w:val="22"/>
              </w:rPr>
            </w:pPr>
            <w:r w:rsidRPr="003427A8">
              <w:rPr>
                <w:color w:val="000000"/>
                <w:sz w:val="22"/>
                <w:szCs w:val="22"/>
              </w:rPr>
              <w:t>7,6</w:t>
            </w:r>
          </w:p>
        </w:tc>
      </w:tr>
      <w:tr w:rsidR="004E2069" w:rsidRPr="003427A8" w:rsidTr="003427A8">
        <w:trPr>
          <w:trHeight w:val="20"/>
        </w:trPr>
        <w:tc>
          <w:tcPr>
            <w:tcW w:w="4239" w:type="dxa"/>
            <w:shd w:val="clear" w:color="auto" w:fill="E0E0E0"/>
            <w:vAlign w:val="center"/>
          </w:tcPr>
          <w:p w:rsidR="004E2069" w:rsidRPr="003427A8" w:rsidRDefault="004E2069" w:rsidP="00B049D3">
            <w:pPr>
              <w:pStyle w:val="Header"/>
              <w:widowControl w:val="0"/>
              <w:ind w:firstLine="32"/>
              <w:rPr>
                <w:sz w:val="22"/>
                <w:szCs w:val="22"/>
              </w:rPr>
            </w:pPr>
            <w:r w:rsidRPr="003427A8">
              <w:rPr>
                <w:sz w:val="22"/>
                <w:szCs w:val="22"/>
              </w:rPr>
              <w:t>5. ОБЩИЙ БАЛАНС</w:t>
            </w:r>
          </w:p>
        </w:tc>
        <w:tc>
          <w:tcPr>
            <w:tcW w:w="1795" w:type="dxa"/>
            <w:shd w:val="clear" w:color="auto" w:fill="E0E0E0"/>
            <w:vAlign w:val="center"/>
          </w:tcPr>
          <w:p w:rsidR="004E2069" w:rsidRPr="003427A8" w:rsidRDefault="004E2069" w:rsidP="00B049D3">
            <w:pPr>
              <w:widowControl w:val="0"/>
              <w:tabs>
                <w:tab w:val="left" w:pos="1992"/>
              </w:tabs>
              <w:ind w:right="448"/>
              <w:jc w:val="right"/>
              <w:rPr>
                <w:color w:val="000000"/>
                <w:sz w:val="22"/>
                <w:szCs w:val="22"/>
              </w:rPr>
            </w:pPr>
            <w:r w:rsidRPr="003427A8">
              <w:rPr>
                <w:color w:val="000000"/>
                <w:sz w:val="22"/>
                <w:szCs w:val="22"/>
              </w:rPr>
              <w:t>0,0</w:t>
            </w:r>
          </w:p>
        </w:tc>
        <w:tc>
          <w:tcPr>
            <w:tcW w:w="1795" w:type="dxa"/>
            <w:shd w:val="clear" w:color="auto" w:fill="E0E0E0"/>
            <w:vAlign w:val="center"/>
          </w:tcPr>
          <w:p w:rsidR="004E2069" w:rsidRPr="003427A8" w:rsidRDefault="004E2069" w:rsidP="00B049D3">
            <w:pPr>
              <w:widowControl w:val="0"/>
              <w:tabs>
                <w:tab w:val="left" w:pos="1992"/>
              </w:tabs>
              <w:ind w:right="432"/>
              <w:jc w:val="right"/>
              <w:rPr>
                <w:color w:val="000000"/>
                <w:sz w:val="22"/>
                <w:szCs w:val="22"/>
              </w:rPr>
            </w:pPr>
            <w:r w:rsidRPr="003427A8">
              <w:rPr>
                <w:color w:val="000000"/>
                <w:sz w:val="22"/>
                <w:szCs w:val="22"/>
              </w:rPr>
              <w:t>0,0</w:t>
            </w:r>
          </w:p>
        </w:tc>
        <w:tc>
          <w:tcPr>
            <w:tcW w:w="1796" w:type="dxa"/>
            <w:shd w:val="clear" w:color="auto" w:fill="E0E0E0"/>
            <w:vAlign w:val="center"/>
          </w:tcPr>
          <w:p w:rsidR="004E2069" w:rsidRPr="003427A8" w:rsidRDefault="004E2069" w:rsidP="00B049D3">
            <w:pPr>
              <w:widowControl w:val="0"/>
              <w:ind w:right="435"/>
              <w:jc w:val="right"/>
              <w:rPr>
                <w:color w:val="000000"/>
                <w:sz w:val="22"/>
                <w:szCs w:val="22"/>
              </w:rPr>
            </w:pPr>
            <w:r w:rsidRPr="003427A8">
              <w:rPr>
                <w:color w:val="000000"/>
                <w:sz w:val="22"/>
                <w:szCs w:val="22"/>
              </w:rPr>
              <w:t>0,0</w:t>
            </w:r>
          </w:p>
        </w:tc>
      </w:tr>
    </w:tbl>
    <w:p w:rsidR="004E2069" w:rsidRDefault="004E2069" w:rsidP="009552ED">
      <w:pPr>
        <w:spacing w:before="120"/>
        <w:ind w:firstLine="425"/>
        <w:jc w:val="both"/>
        <w:rPr>
          <w:sz w:val="24"/>
          <w:szCs w:val="24"/>
        </w:rPr>
      </w:pPr>
      <w:r>
        <w:rPr>
          <w:sz w:val="24"/>
          <w:szCs w:val="24"/>
        </w:rPr>
        <w:t>Величина</w:t>
      </w:r>
      <w:r w:rsidRPr="00CA1682">
        <w:rPr>
          <w:sz w:val="24"/>
          <w:szCs w:val="24"/>
        </w:rPr>
        <w:t xml:space="preserve"> совокупного импорта</w:t>
      </w:r>
      <w:r>
        <w:rPr>
          <w:sz w:val="24"/>
          <w:szCs w:val="24"/>
        </w:rPr>
        <w:t xml:space="preserve"> увеличилась на 16,2</w:t>
      </w:r>
      <w:r w:rsidRPr="00CA1682">
        <w:rPr>
          <w:sz w:val="24"/>
          <w:szCs w:val="24"/>
        </w:rPr>
        <w:t>%</w:t>
      </w:r>
      <w:r>
        <w:rPr>
          <w:sz w:val="24"/>
          <w:szCs w:val="24"/>
        </w:rPr>
        <w:t>,</w:t>
      </w:r>
      <w:r w:rsidRPr="00CA1682">
        <w:rPr>
          <w:sz w:val="24"/>
          <w:szCs w:val="24"/>
        </w:rPr>
        <w:t xml:space="preserve"> до </w:t>
      </w:r>
      <w:r>
        <w:rPr>
          <w:sz w:val="24"/>
          <w:szCs w:val="24"/>
        </w:rPr>
        <w:t>980,6</w:t>
      </w:r>
      <w:r w:rsidRPr="00CA1682">
        <w:rPr>
          <w:sz w:val="24"/>
          <w:szCs w:val="24"/>
        </w:rPr>
        <w:t xml:space="preserve"> млн долл. В географическом разрезе основной объём </w:t>
      </w:r>
      <w:r>
        <w:rPr>
          <w:sz w:val="24"/>
          <w:szCs w:val="24"/>
        </w:rPr>
        <w:t>также</w:t>
      </w:r>
      <w:r w:rsidRPr="00CA1682">
        <w:rPr>
          <w:sz w:val="24"/>
          <w:szCs w:val="24"/>
        </w:rPr>
        <w:t xml:space="preserve"> приходился на страны СНГ – </w:t>
      </w:r>
      <w:r>
        <w:rPr>
          <w:sz w:val="24"/>
          <w:szCs w:val="24"/>
        </w:rPr>
        <w:t>78,7</w:t>
      </w:r>
      <w:r w:rsidRPr="00CA1682">
        <w:rPr>
          <w:sz w:val="24"/>
          <w:szCs w:val="24"/>
        </w:rPr>
        <w:t xml:space="preserve">%, или </w:t>
      </w:r>
      <w:r>
        <w:rPr>
          <w:sz w:val="24"/>
          <w:szCs w:val="24"/>
        </w:rPr>
        <w:t>772,2</w:t>
      </w:r>
      <w:r w:rsidRPr="00CA1682">
        <w:rPr>
          <w:sz w:val="24"/>
          <w:szCs w:val="24"/>
        </w:rPr>
        <w:t xml:space="preserve"> млн долл., при этом базисный показатель был превышен на </w:t>
      </w:r>
      <w:r>
        <w:rPr>
          <w:sz w:val="24"/>
          <w:szCs w:val="24"/>
        </w:rPr>
        <w:t>13,3</w:t>
      </w:r>
      <w:r w:rsidRPr="00CA1682">
        <w:rPr>
          <w:sz w:val="24"/>
          <w:szCs w:val="24"/>
        </w:rPr>
        <w:t xml:space="preserve">%. </w:t>
      </w:r>
      <w:r>
        <w:rPr>
          <w:sz w:val="24"/>
          <w:szCs w:val="24"/>
        </w:rPr>
        <w:t xml:space="preserve">Ввоз </w:t>
      </w:r>
      <w:r w:rsidRPr="00CA1682">
        <w:rPr>
          <w:sz w:val="24"/>
          <w:szCs w:val="24"/>
        </w:rPr>
        <w:t>товар</w:t>
      </w:r>
      <w:r>
        <w:rPr>
          <w:sz w:val="24"/>
          <w:szCs w:val="24"/>
        </w:rPr>
        <w:t>ов</w:t>
      </w:r>
      <w:r w:rsidRPr="00CA1682">
        <w:rPr>
          <w:sz w:val="24"/>
          <w:szCs w:val="24"/>
        </w:rPr>
        <w:t xml:space="preserve"> из дальнего зарубежья </w:t>
      </w:r>
      <w:r>
        <w:rPr>
          <w:sz w:val="24"/>
          <w:szCs w:val="24"/>
        </w:rPr>
        <w:t>зафиксирован на уровне 208,5</w:t>
      </w:r>
      <w:r w:rsidRPr="00CA1682">
        <w:rPr>
          <w:sz w:val="24"/>
          <w:szCs w:val="24"/>
        </w:rPr>
        <w:t xml:space="preserve"> млн долл.</w:t>
      </w:r>
      <w:r>
        <w:rPr>
          <w:sz w:val="24"/>
          <w:szCs w:val="24"/>
        </w:rPr>
        <w:t xml:space="preserve">, что </w:t>
      </w:r>
      <w:r w:rsidRPr="00CA1682">
        <w:rPr>
          <w:sz w:val="24"/>
          <w:szCs w:val="24"/>
        </w:rPr>
        <w:t xml:space="preserve">на </w:t>
      </w:r>
      <w:r>
        <w:rPr>
          <w:sz w:val="24"/>
          <w:szCs w:val="24"/>
        </w:rPr>
        <w:t>28,4</w:t>
      </w:r>
      <w:r w:rsidRPr="00CA1682">
        <w:rPr>
          <w:sz w:val="24"/>
          <w:szCs w:val="24"/>
        </w:rPr>
        <w:t xml:space="preserve">% </w:t>
      </w:r>
      <w:r>
        <w:rPr>
          <w:sz w:val="24"/>
          <w:szCs w:val="24"/>
        </w:rPr>
        <w:t>больше значения 2016 года.</w:t>
      </w:r>
    </w:p>
    <w:p w:rsidR="004E2069" w:rsidRDefault="004E2069" w:rsidP="00EB1F51">
      <w:pPr>
        <w:ind w:firstLine="425"/>
        <w:jc w:val="both"/>
        <w:rPr>
          <w:sz w:val="24"/>
          <w:szCs w:val="24"/>
        </w:rPr>
      </w:pPr>
      <w:r w:rsidRPr="00E95790">
        <w:rPr>
          <w:sz w:val="24"/>
          <w:szCs w:val="24"/>
        </w:rPr>
        <w:t xml:space="preserve">Основной статьёй экспорта являлись чёрные металлы и изделия из них (33,8%, или </w:t>
      </w:r>
      <w:r w:rsidRPr="00E95790">
        <w:rPr>
          <w:sz w:val="24"/>
          <w:szCs w:val="24"/>
        </w:rPr>
        <w:br/>
        <w:t xml:space="preserve">214,1 млн долл.), увеличение внешних поставок которых в 3,1 раза обусловило и рост импортируемого сырья для чёрной металлургии (в 4,1 раза, до 166,5 млн долл.). Среди других крупных позиций в экспорте можно выделить продукцию лёгкой промышленности, электроэнергию, а также продовольственные товары и сырьё. В импорте, наряду с металлами и изделиями из них, существенную долю заняли поставки продовольственных товаров и сырья, машиностроительной продукции. </w:t>
      </w:r>
    </w:p>
    <w:p w:rsidR="004E2069" w:rsidRDefault="004E2069" w:rsidP="000624CC">
      <w:pPr>
        <w:ind w:firstLine="425"/>
        <w:jc w:val="both"/>
        <w:rPr>
          <w:sz w:val="24"/>
          <w:szCs w:val="24"/>
        </w:rPr>
      </w:pPr>
      <w:r>
        <w:rPr>
          <w:sz w:val="24"/>
          <w:szCs w:val="24"/>
        </w:rPr>
        <w:t xml:space="preserve">Разнонаправленная динамика экспорта (-1,7%, до 62,2 млн долл.) и импорта (+4,6%, до 64,2 млн долл.) услуг определила смену сопоставимого объёма сальдо баланса услуг с положительного на отрицательное (-1,9 млн долл.). На изменение показателя в большей степени повлияло масштабное расширение дефицита, зафиксированного по операциям с резидентами стран дальнего зарубежья (с 8,4 млн долл. до 18,3 млн долл.). В то же время, отчасти нивелирующее воздействие оказало увеличение профицита, сложившегося в результате сделок с партнёрами из государств Содружества (с 10,2 млн долл. до </w:t>
      </w:r>
      <w:r>
        <w:rPr>
          <w:sz w:val="24"/>
          <w:szCs w:val="24"/>
        </w:rPr>
        <w:br/>
        <w:t xml:space="preserve">16,3 млн долл.). </w:t>
      </w:r>
      <w:r w:rsidRPr="003427A8">
        <w:rPr>
          <w:sz w:val="24"/>
          <w:szCs w:val="24"/>
        </w:rPr>
        <w:t>Большая часть услуг была представлена транспортными: 53,9% – экспорта и 32,1% – импорта.</w:t>
      </w:r>
      <w:r>
        <w:rPr>
          <w:sz w:val="24"/>
          <w:szCs w:val="24"/>
        </w:rPr>
        <w:t xml:space="preserve"> </w:t>
      </w:r>
    </w:p>
    <w:p w:rsidR="004E2069" w:rsidRDefault="004E2069" w:rsidP="001F3121">
      <w:pPr>
        <w:widowControl w:val="0"/>
        <w:ind w:firstLine="425"/>
        <w:jc w:val="both"/>
        <w:rPr>
          <w:sz w:val="24"/>
          <w:szCs w:val="24"/>
        </w:rPr>
      </w:pPr>
      <w:r>
        <w:rPr>
          <w:sz w:val="24"/>
          <w:szCs w:val="24"/>
        </w:rPr>
        <w:t xml:space="preserve">Дефицит баланса первичных доходов </w:t>
      </w:r>
      <w:r w:rsidRPr="00B053B4">
        <w:rPr>
          <w:sz w:val="24"/>
          <w:szCs w:val="24"/>
        </w:rPr>
        <w:t>(</w:t>
      </w:r>
      <w:r>
        <w:rPr>
          <w:sz w:val="24"/>
          <w:szCs w:val="24"/>
        </w:rPr>
        <w:t xml:space="preserve">оплата труда, доходы от прямых и портфельных инвестиций, доходы от других инвестиций) в 2017 году составил 27,3 млн долл. против </w:t>
      </w:r>
      <w:r>
        <w:rPr>
          <w:sz w:val="24"/>
          <w:szCs w:val="24"/>
        </w:rPr>
        <w:br/>
        <w:t xml:space="preserve">15,4 млн долл. годом ранее. Его прирост обусловило активное повышение доходов, начисленных к выплате нерезидентам (+43,0%, до 37,9 млн долл.), на фоне сокращения средств, полученных резидентами (-4,5%, до 10,6 млн долл.). </w:t>
      </w:r>
    </w:p>
    <w:p w:rsidR="004E2069" w:rsidRDefault="004E2069" w:rsidP="004704F5">
      <w:pPr>
        <w:widowControl w:val="0"/>
        <w:ind w:firstLine="425"/>
        <w:jc w:val="both"/>
        <w:rPr>
          <w:sz w:val="24"/>
          <w:szCs w:val="24"/>
        </w:rPr>
      </w:pPr>
      <w:r>
        <w:rPr>
          <w:sz w:val="24"/>
          <w:szCs w:val="24"/>
        </w:rPr>
        <w:t xml:space="preserve">Тенденция спада положительного сальдо баланса вторичных доходов, наблюдавшаяся в 2015-2016 годах, в отчётном году прервалась ввиду его значительного роста (в 1,8 раза) до максимального с 2014 года уровня – 133,5 млн долл. </w:t>
      </w:r>
      <w:r w:rsidRPr="00E92CFF">
        <w:rPr>
          <w:sz w:val="24"/>
          <w:szCs w:val="24"/>
        </w:rPr>
        <w:t xml:space="preserve">Величина поступивших в республику трансфертов текущего характера </w:t>
      </w:r>
      <w:r>
        <w:rPr>
          <w:sz w:val="24"/>
          <w:szCs w:val="24"/>
        </w:rPr>
        <w:t>расширилась</w:t>
      </w:r>
      <w:r w:rsidRPr="00E92CFF">
        <w:rPr>
          <w:sz w:val="24"/>
          <w:szCs w:val="24"/>
        </w:rPr>
        <w:t xml:space="preserve"> на </w:t>
      </w:r>
      <w:r>
        <w:rPr>
          <w:sz w:val="24"/>
          <w:szCs w:val="24"/>
        </w:rPr>
        <w:t>44,4</w:t>
      </w:r>
      <w:r w:rsidRPr="00E92CFF">
        <w:rPr>
          <w:sz w:val="24"/>
          <w:szCs w:val="24"/>
        </w:rPr>
        <w:t>%</w:t>
      </w:r>
      <w:r>
        <w:rPr>
          <w:sz w:val="24"/>
          <w:szCs w:val="24"/>
        </w:rPr>
        <w:t>,</w:t>
      </w:r>
      <w:r w:rsidRPr="00E92CFF">
        <w:rPr>
          <w:sz w:val="24"/>
          <w:szCs w:val="24"/>
        </w:rPr>
        <w:t xml:space="preserve"> </w:t>
      </w:r>
      <w:r>
        <w:rPr>
          <w:sz w:val="24"/>
          <w:szCs w:val="24"/>
        </w:rPr>
        <w:t>до</w:t>
      </w:r>
      <w:r w:rsidRPr="00E92CFF">
        <w:rPr>
          <w:sz w:val="24"/>
          <w:szCs w:val="24"/>
        </w:rPr>
        <w:t xml:space="preserve"> </w:t>
      </w:r>
      <w:r>
        <w:rPr>
          <w:sz w:val="24"/>
          <w:szCs w:val="24"/>
        </w:rPr>
        <w:t>177,5</w:t>
      </w:r>
      <w:r w:rsidRPr="00E92CFF">
        <w:rPr>
          <w:sz w:val="24"/>
          <w:szCs w:val="24"/>
        </w:rPr>
        <w:t xml:space="preserve"> млн долл., из них органами государственно</w:t>
      </w:r>
      <w:r>
        <w:rPr>
          <w:sz w:val="24"/>
          <w:szCs w:val="24"/>
        </w:rPr>
        <w:t>го управления было получено 17,9</w:t>
      </w:r>
      <w:r w:rsidRPr="00E92CFF">
        <w:rPr>
          <w:sz w:val="24"/>
          <w:szCs w:val="24"/>
        </w:rPr>
        <w:t xml:space="preserve"> млн долл. (-</w:t>
      </w:r>
      <w:r>
        <w:rPr>
          <w:sz w:val="24"/>
          <w:szCs w:val="24"/>
        </w:rPr>
        <w:t>4,8</w:t>
      </w:r>
      <w:r w:rsidRPr="00E92CFF">
        <w:rPr>
          <w:sz w:val="24"/>
          <w:szCs w:val="24"/>
        </w:rPr>
        <w:t>%), другими секторами</w:t>
      </w:r>
      <w:r>
        <w:rPr>
          <w:sz w:val="24"/>
          <w:szCs w:val="24"/>
        </w:rPr>
        <w:t xml:space="preserve">, включая </w:t>
      </w:r>
      <w:r w:rsidRPr="006F7112">
        <w:rPr>
          <w:sz w:val="24"/>
          <w:szCs w:val="24"/>
        </w:rPr>
        <w:t>денежные переводы физических лиц</w:t>
      </w:r>
      <w:r>
        <w:rPr>
          <w:sz w:val="24"/>
          <w:szCs w:val="24"/>
        </w:rPr>
        <w:t>,</w:t>
      </w:r>
      <w:r w:rsidRPr="00E92CFF">
        <w:rPr>
          <w:sz w:val="24"/>
          <w:szCs w:val="24"/>
        </w:rPr>
        <w:t xml:space="preserve"> – </w:t>
      </w:r>
      <w:r>
        <w:rPr>
          <w:sz w:val="24"/>
          <w:szCs w:val="24"/>
        </w:rPr>
        <w:t>159,6</w:t>
      </w:r>
      <w:r w:rsidRPr="00E92CFF">
        <w:rPr>
          <w:sz w:val="24"/>
          <w:szCs w:val="24"/>
        </w:rPr>
        <w:t xml:space="preserve"> млн долл. (+</w:t>
      </w:r>
      <w:r>
        <w:rPr>
          <w:sz w:val="24"/>
          <w:szCs w:val="24"/>
        </w:rPr>
        <w:t>53,3</w:t>
      </w:r>
      <w:r w:rsidRPr="00E92CFF">
        <w:rPr>
          <w:sz w:val="24"/>
          <w:szCs w:val="24"/>
        </w:rPr>
        <w:t>%).</w:t>
      </w:r>
      <w:r>
        <w:rPr>
          <w:sz w:val="24"/>
          <w:szCs w:val="24"/>
        </w:rPr>
        <w:t xml:space="preserve"> </w:t>
      </w:r>
      <w:r w:rsidRPr="00BF4439">
        <w:rPr>
          <w:sz w:val="24"/>
          <w:szCs w:val="24"/>
        </w:rPr>
        <w:t>Ремитенции резидентов за границу уменьшились на 9,3%, до 44,0 млн долл.</w:t>
      </w:r>
    </w:p>
    <w:p w:rsidR="004E2069" w:rsidRPr="00E92CFF" w:rsidRDefault="004E2069" w:rsidP="0074213E">
      <w:pPr>
        <w:widowControl w:val="0"/>
        <w:ind w:firstLine="425"/>
        <w:jc w:val="both"/>
        <w:rPr>
          <w:sz w:val="24"/>
          <w:szCs w:val="24"/>
        </w:rPr>
      </w:pPr>
      <w:r w:rsidRPr="00E92CFF">
        <w:rPr>
          <w:sz w:val="24"/>
          <w:szCs w:val="24"/>
        </w:rPr>
        <w:t xml:space="preserve">По итогам 2017 года экономика Приднестровской Молдавской Республики продолжала оставаться «чистым заёмщиком» финансовых ресурсов у остального мира, увеличив свою задолженность перед внешними контрагентами (с учётом операций с валютными активами центрального банка) на </w:t>
      </w:r>
      <w:r>
        <w:rPr>
          <w:sz w:val="24"/>
          <w:szCs w:val="24"/>
        </w:rPr>
        <w:t>283,6</w:t>
      </w:r>
      <w:r w:rsidRPr="00E92CFF">
        <w:rPr>
          <w:sz w:val="24"/>
          <w:szCs w:val="24"/>
        </w:rPr>
        <w:t xml:space="preserve"> млн долл. (за </w:t>
      </w:r>
      <w:r>
        <w:rPr>
          <w:sz w:val="24"/>
          <w:szCs w:val="24"/>
        </w:rPr>
        <w:t>2016 год</w:t>
      </w:r>
      <w:r w:rsidRPr="00E92CFF">
        <w:rPr>
          <w:sz w:val="24"/>
          <w:szCs w:val="24"/>
        </w:rPr>
        <w:t xml:space="preserve"> на </w:t>
      </w:r>
      <w:r>
        <w:rPr>
          <w:sz w:val="24"/>
          <w:szCs w:val="24"/>
        </w:rPr>
        <w:t>319,0</w:t>
      </w:r>
      <w:r w:rsidRPr="00E92CFF">
        <w:rPr>
          <w:sz w:val="24"/>
          <w:szCs w:val="24"/>
        </w:rPr>
        <w:t xml:space="preserve"> млн долл.).</w:t>
      </w:r>
      <w:r>
        <w:rPr>
          <w:sz w:val="24"/>
          <w:szCs w:val="24"/>
        </w:rPr>
        <w:t xml:space="preserve"> Объём накопленных </w:t>
      </w:r>
      <w:r w:rsidRPr="00E92CFF">
        <w:rPr>
          <w:sz w:val="24"/>
          <w:szCs w:val="24"/>
        </w:rPr>
        <w:t xml:space="preserve">внешних обязательств резидентов на чистой основе </w:t>
      </w:r>
      <w:r>
        <w:rPr>
          <w:sz w:val="24"/>
          <w:szCs w:val="24"/>
        </w:rPr>
        <w:t>возрос на 299,4</w:t>
      </w:r>
      <w:r w:rsidRPr="00E92CFF">
        <w:rPr>
          <w:sz w:val="24"/>
          <w:szCs w:val="24"/>
        </w:rPr>
        <w:t xml:space="preserve"> млн долл. </w:t>
      </w:r>
      <w:r>
        <w:rPr>
          <w:sz w:val="24"/>
          <w:szCs w:val="24"/>
        </w:rPr>
        <w:t xml:space="preserve">(на </w:t>
      </w:r>
      <w:r>
        <w:rPr>
          <w:sz w:val="24"/>
          <w:szCs w:val="24"/>
        </w:rPr>
        <w:br/>
        <w:t xml:space="preserve">316,1 млн долл. годом ранее), </w:t>
      </w:r>
      <w:r w:rsidRPr="00E92CFF">
        <w:rPr>
          <w:sz w:val="24"/>
          <w:szCs w:val="24"/>
        </w:rPr>
        <w:t xml:space="preserve">иностранных активов </w:t>
      </w:r>
      <w:r>
        <w:rPr>
          <w:sz w:val="24"/>
          <w:szCs w:val="24"/>
        </w:rPr>
        <w:t xml:space="preserve">– на 15,8 млн долл. </w:t>
      </w:r>
      <w:r w:rsidRPr="00E92CFF">
        <w:rPr>
          <w:sz w:val="24"/>
          <w:szCs w:val="24"/>
        </w:rPr>
        <w:t>(</w:t>
      </w:r>
      <w:r>
        <w:rPr>
          <w:sz w:val="24"/>
          <w:szCs w:val="24"/>
        </w:rPr>
        <w:t xml:space="preserve">годом ранее сократился </w:t>
      </w:r>
      <w:r w:rsidRPr="00E92CFF">
        <w:rPr>
          <w:sz w:val="24"/>
          <w:szCs w:val="24"/>
        </w:rPr>
        <w:t xml:space="preserve">на </w:t>
      </w:r>
      <w:r>
        <w:rPr>
          <w:sz w:val="24"/>
          <w:szCs w:val="24"/>
        </w:rPr>
        <w:t>2,9</w:t>
      </w:r>
      <w:r w:rsidRPr="00E92CFF">
        <w:rPr>
          <w:sz w:val="24"/>
          <w:szCs w:val="24"/>
        </w:rPr>
        <w:t xml:space="preserve"> млн долл.). </w:t>
      </w:r>
    </w:p>
    <w:p w:rsidR="004E2069" w:rsidRPr="00C935B4" w:rsidRDefault="004E2069" w:rsidP="006C4521">
      <w:pPr>
        <w:ind w:firstLine="425"/>
        <w:jc w:val="both"/>
        <w:rPr>
          <w:sz w:val="24"/>
          <w:szCs w:val="24"/>
        </w:rPr>
      </w:pPr>
      <w:r>
        <w:rPr>
          <w:sz w:val="24"/>
          <w:szCs w:val="24"/>
        </w:rPr>
        <w:t xml:space="preserve">В рамках операций с прямыми и портфельными инвестициями сложилось положительное сальдо (14,5 млн долл. и 5,3 тыс. долл. соответственно), </w:t>
      </w:r>
      <w:r w:rsidRPr="00C935B4">
        <w:rPr>
          <w:sz w:val="24"/>
          <w:szCs w:val="24"/>
        </w:rPr>
        <w:t>что указывает на превышение выплат в пользу нерезидентов, в том числе в форме вкладов в акционерный капитал и выполнения обязательств по ранее осуществл</w:t>
      </w:r>
      <w:r>
        <w:rPr>
          <w:sz w:val="24"/>
          <w:szCs w:val="24"/>
        </w:rPr>
        <w:t>ё</w:t>
      </w:r>
      <w:r w:rsidRPr="00C935B4">
        <w:rPr>
          <w:sz w:val="24"/>
          <w:szCs w:val="24"/>
        </w:rPr>
        <w:t>нным вложениям, над поступлениями инвестиций в республику</w:t>
      </w:r>
      <w:r>
        <w:rPr>
          <w:sz w:val="24"/>
          <w:szCs w:val="24"/>
        </w:rPr>
        <w:t>.</w:t>
      </w:r>
    </w:p>
    <w:p w:rsidR="004E2069" w:rsidRDefault="004E2069" w:rsidP="006C4521">
      <w:pPr>
        <w:ind w:firstLine="425"/>
        <w:jc w:val="both"/>
        <w:rPr>
          <w:sz w:val="24"/>
          <w:szCs w:val="24"/>
        </w:rPr>
      </w:pPr>
      <w:r w:rsidRPr="00E92CFF">
        <w:rPr>
          <w:sz w:val="24"/>
          <w:szCs w:val="24"/>
        </w:rPr>
        <w:t xml:space="preserve">Проведённые </w:t>
      </w:r>
      <w:r>
        <w:rPr>
          <w:sz w:val="24"/>
          <w:szCs w:val="24"/>
        </w:rPr>
        <w:t>в</w:t>
      </w:r>
      <w:r w:rsidRPr="00E92CFF">
        <w:rPr>
          <w:sz w:val="24"/>
          <w:szCs w:val="24"/>
        </w:rPr>
        <w:t xml:space="preserve"> 2017 год</w:t>
      </w:r>
      <w:r>
        <w:rPr>
          <w:sz w:val="24"/>
          <w:szCs w:val="24"/>
        </w:rPr>
        <w:t>у</w:t>
      </w:r>
      <w:r w:rsidRPr="00E92CFF">
        <w:rPr>
          <w:sz w:val="24"/>
          <w:szCs w:val="24"/>
        </w:rPr>
        <w:t xml:space="preserve"> операции с депозитами, кредитами и займами, торговыми кредитами и авансами обеспечили расчётный приток капитала (отрицательное сальдо) в размере </w:t>
      </w:r>
      <w:r>
        <w:rPr>
          <w:sz w:val="24"/>
          <w:szCs w:val="24"/>
        </w:rPr>
        <w:t>311,2</w:t>
      </w:r>
      <w:r w:rsidRPr="00E92CFF">
        <w:rPr>
          <w:sz w:val="24"/>
          <w:szCs w:val="24"/>
        </w:rPr>
        <w:t xml:space="preserve"> млн долл. за счёт более интенсивного наращивания иностранных обязательств резидентов Приднестровской Молдавской Республики (на </w:t>
      </w:r>
      <w:r>
        <w:rPr>
          <w:sz w:val="24"/>
          <w:szCs w:val="24"/>
        </w:rPr>
        <w:t>313,3</w:t>
      </w:r>
      <w:r w:rsidRPr="00E92CFF">
        <w:rPr>
          <w:sz w:val="24"/>
          <w:szCs w:val="24"/>
        </w:rPr>
        <w:t xml:space="preserve"> млн долл.) по сравнению с увеличением их внешних активов (на </w:t>
      </w:r>
      <w:r>
        <w:rPr>
          <w:sz w:val="24"/>
          <w:szCs w:val="24"/>
        </w:rPr>
        <w:t>2,1</w:t>
      </w:r>
      <w:r w:rsidRPr="00E92CFF">
        <w:rPr>
          <w:sz w:val="24"/>
          <w:szCs w:val="24"/>
        </w:rPr>
        <w:t xml:space="preserve"> млн долл.). </w:t>
      </w:r>
    </w:p>
    <w:p w:rsidR="004E2069" w:rsidRDefault="004E2069" w:rsidP="001F3121">
      <w:pPr>
        <w:ind w:firstLine="425"/>
        <w:jc w:val="both"/>
        <w:rPr>
          <w:sz w:val="24"/>
          <w:szCs w:val="24"/>
        </w:rPr>
      </w:pPr>
      <w:r w:rsidRPr="00E92CFF">
        <w:rPr>
          <w:sz w:val="24"/>
          <w:szCs w:val="24"/>
        </w:rPr>
        <w:t>Валютные активы, состоящие из наличных и безналичных средств центрального банка в свободно конвертируемых валютах (в кассе, на внешних счетах в зару</w:t>
      </w:r>
      <w:r>
        <w:rPr>
          <w:sz w:val="24"/>
          <w:szCs w:val="24"/>
        </w:rPr>
        <w:t>бежных кредитных организациях), расширились</w:t>
      </w:r>
      <w:r w:rsidRPr="00E92CFF">
        <w:rPr>
          <w:sz w:val="24"/>
          <w:szCs w:val="24"/>
        </w:rPr>
        <w:t xml:space="preserve"> на </w:t>
      </w:r>
      <w:r>
        <w:rPr>
          <w:sz w:val="24"/>
          <w:szCs w:val="24"/>
        </w:rPr>
        <w:t>13,1</w:t>
      </w:r>
      <w:r w:rsidRPr="00E92CFF">
        <w:rPr>
          <w:sz w:val="24"/>
          <w:szCs w:val="24"/>
        </w:rPr>
        <w:t xml:space="preserve"> млн долл. </w:t>
      </w:r>
    </w:p>
    <w:p w:rsidR="004E2069" w:rsidRDefault="004E2069" w:rsidP="001F3121">
      <w:pPr>
        <w:ind w:firstLine="425"/>
        <w:jc w:val="both"/>
        <w:rPr>
          <w:sz w:val="24"/>
          <w:szCs w:val="24"/>
        </w:rPr>
      </w:pPr>
      <w:r w:rsidRPr="00E92CFF">
        <w:rPr>
          <w:sz w:val="24"/>
          <w:szCs w:val="24"/>
        </w:rPr>
        <w:t xml:space="preserve">Статистические расхождения между счётом текущих операций и финансовым счётом платёжного баланса, с учётом увеличения валютных активов центрального банка, сложились </w:t>
      </w:r>
      <w:r>
        <w:rPr>
          <w:sz w:val="24"/>
          <w:szCs w:val="24"/>
        </w:rPr>
        <w:t>положительными</w:t>
      </w:r>
      <w:r w:rsidRPr="00E92CFF">
        <w:rPr>
          <w:sz w:val="24"/>
          <w:szCs w:val="24"/>
        </w:rPr>
        <w:t xml:space="preserve"> на уровне </w:t>
      </w:r>
      <w:r>
        <w:rPr>
          <w:sz w:val="24"/>
          <w:szCs w:val="24"/>
        </w:rPr>
        <w:t>7,6</w:t>
      </w:r>
      <w:r w:rsidRPr="00E92CFF">
        <w:rPr>
          <w:sz w:val="24"/>
          <w:szCs w:val="24"/>
        </w:rPr>
        <w:t xml:space="preserve"> млн долл. </w:t>
      </w:r>
    </w:p>
    <w:p w:rsidR="004E2069" w:rsidRDefault="004E2069">
      <w:pPr>
        <w:rPr>
          <w:sz w:val="24"/>
          <w:szCs w:val="24"/>
        </w:rPr>
      </w:pPr>
      <w:r>
        <w:rPr>
          <w:sz w:val="24"/>
          <w:szCs w:val="24"/>
        </w:rPr>
        <w:br w:type="page"/>
      </w:r>
    </w:p>
    <w:p w:rsidR="004E2069" w:rsidRPr="00E85DD7" w:rsidRDefault="004E2069" w:rsidP="008512DA">
      <w:pPr>
        <w:widowControl w:val="0"/>
        <w:jc w:val="center"/>
        <w:rPr>
          <w:b/>
          <w:bCs/>
          <w:noProof/>
          <w:sz w:val="28"/>
          <w:szCs w:val="28"/>
        </w:rPr>
      </w:pPr>
      <w:r w:rsidRPr="00E85DD7">
        <w:rPr>
          <w:b/>
          <w:bCs/>
          <w:noProof/>
          <w:sz w:val="28"/>
          <w:szCs w:val="28"/>
        </w:rPr>
        <w:t>РАЗДЕЛ 2. ДЕЯТЕЛЬНОСТЬ ПРИДНЕСТРОВСКОГО РЕСПУБЛИКАНСКОГО БАНКА В 201</w:t>
      </w:r>
      <w:r>
        <w:rPr>
          <w:b/>
          <w:bCs/>
          <w:noProof/>
          <w:sz w:val="28"/>
          <w:szCs w:val="28"/>
        </w:rPr>
        <w:t>7</w:t>
      </w:r>
      <w:r w:rsidRPr="00E85DD7">
        <w:rPr>
          <w:b/>
          <w:bCs/>
          <w:noProof/>
          <w:sz w:val="28"/>
          <w:szCs w:val="28"/>
        </w:rPr>
        <w:t xml:space="preserve"> ГОДУ</w:t>
      </w:r>
    </w:p>
    <w:p w:rsidR="004E2069" w:rsidRPr="00E85DD7" w:rsidRDefault="004E2069" w:rsidP="008512DA">
      <w:pPr>
        <w:widowControl w:val="0"/>
        <w:jc w:val="center"/>
        <w:rPr>
          <w:b/>
          <w:bCs/>
          <w:noProof/>
          <w:sz w:val="24"/>
          <w:szCs w:val="28"/>
        </w:rPr>
      </w:pPr>
    </w:p>
    <w:p w:rsidR="004E2069" w:rsidRPr="00E85DD7" w:rsidRDefault="004E2069" w:rsidP="00E90743">
      <w:pPr>
        <w:widowControl w:val="0"/>
        <w:numPr>
          <w:ilvl w:val="1"/>
          <w:numId w:val="2"/>
        </w:numPr>
        <w:jc w:val="both"/>
        <w:rPr>
          <w:b/>
          <w:bCs/>
          <w:noProof/>
          <w:sz w:val="24"/>
          <w:szCs w:val="24"/>
        </w:rPr>
      </w:pPr>
      <w:r w:rsidRPr="00E85DD7">
        <w:rPr>
          <w:b/>
          <w:bCs/>
          <w:noProof/>
          <w:sz w:val="24"/>
          <w:szCs w:val="24"/>
        </w:rPr>
        <w:t xml:space="preserve"> ДЕНЕЖНО-КРЕДИТНАЯ ПОЛИТИКА</w:t>
      </w:r>
    </w:p>
    <w:p w:rsidR="004E2069" w:rsidRDefault="004E2069" w:rsidP="0087739C">
      <w:pPr>
        <w:widowControl w:val="0"/>
        <w:spacing w:before="120" w:after="120"/>
        <w:ind w:left="425"/>
        <w:jc w:val="both"/>
        <w:rPr>
          <w:i/>
          <w:iCs/>
          <w:sz w:val="24"/>
          <w:szCs w:val="24"/>
        </w:rPr>
      </w:pPr>
      <w:r w:rsidRPr="00E85DD7">
        <w:rPr>
          <w:i/>
          <w:iCs/>
          <w:sz w:val="24"/>
          <w:szCs w:val="24"/>
        </w:rPr>
        <w:t>Цели и результаты денежно-кредитной политики</w:t>
      </w:r>
    </w:p>
    <w:p w:rsidR="004E2069" w:rsidRDefault="004E2069" w:rsidP="0087739C">
      <w:pPr>
        <w:widowControl w:val="0"/>
        <w:shd w:val="clear" w:color="auto" w:fill="FFFFFF"/>
        <w:ind w:firstLine="425"/>
        <w:jc w:val="both"/>
        <w:rPr>
          <w:sz w:val="24"/>
          <w:szCs w:val="24"/>
        </w:rPr>
      </w:pPr>
      <w:r>
        <w:rPr>
          <w:sz w:val="24"/>
          <w:szCs w:val="24"/>
        </w:rPr>
        <w:t>Основные цели и задачи центрального банка в 2017 году определялись необходимостью преодоления целого ряда накопленных дисбалансов в монетарной сфере, создания стимулов для восстановления экономической активности в республике, повышения устойчивости банковской системы.</w:t>
      </w:r>
    </w:p>
    <w:p w:rsidR="004E2069" w:rsidRDefault="004E2069" w:rsidP="0087739C">
      <w:pPr>
        <w:widowControl w:val="0"/>
        <w:shd w:val="clear" w:color="auto" w:fill="FFFFFF"/>
        <w:ind w:firstLine="425"/>
        <w:jc w:val="both"/>
        <w:rPr>
          <w:sz w:val="24"/>
          <w:szCs w:val="24"/>
        </w:rPr>
      </w:pPr>
      <w:r>
        <w:rPr>
          <w:sz w:val="24"/>
          <w:szCs w:val="24"/>
        </w:rPr>
        <w:t xml:space="preserve">При разработке </w:t>
      </w:r>
      <w:r w:rsidRPr="00E85DD7">
        <w:rPr>
          <w:sz w:val="24"/>
          <w:szCs w:val="24"/>
        </w:rPr>
        <w:t>«Основных направлений единой государственной денежно-кредитной политики на 201</w:t>
      </w:r>
      <w:r>
        <w:rPr>
          <w:sz w:val="24"/>
          <w:szCs w:val="24"/>
        </w:rPr>
        <w:t>7 год</w:t>
      </w:r>
      <w:r w:rsidRPr="00E85DD7">
        <w:rPr>
          <w:sz w:val="24"/>
          <w:szCs w:val="24"/>
        </w:rPr>
        <w:t>»</w:t>
      </w:r>
      <w:r>
        <w:rPr>
          <w:sz w:val="24"/>
          <w:szCs w:val="24"/>
        </w:rPr>
        <w:t xml:space="preserve"> ведущим принципом было принято её соответствие тенденциям макроэкономической конъюнктуры и денежно-кредитной политики стран основных торговых партнёров Приднестровья, с одной стороны, и необходимость соблюдения стратегических государственных интересов республики, – с другой. Учитывая поставленные </w:t>
      </w:r>
      <w:r w:rsidRPr="00CA76A1">
        <w:rPr>
          <w:sz w:val="24"/>
          <w:szCs w:val="24"/>
        </w:rPr>
        <w:t>цели и задачи, политика центрального банка приобрела статус рестриктивной и строилась на модели таргетирования валютного курса доллара США, что в текущих условиях</w:t>
      </w:r>
      <w:r>
        <w:rPr>
          <w:sz w:val="24"/>
          <w:szCs w:val="24"/>
        </w:rPr>
        <w:t xml:space="preserve"> представляется наиболее целесообразным. </w:t>
      </w:r>
    </w:p>
    <w:p w:rsidR="004E2069" w:rsidRDefault="004E2069" w:rsidP="0087739C">
      <w:pPr>
        <w:widowControl w:val="0"/>
        <w:shd w:val="clear" w:color="auto" w:fill="FFFFFF"/>
        <w:ind w:firstLine="425"/>
        <w:jc w:val="both"/>
        <w:rPr>
          <w:sz w:val="24"/>
          <w:szCs w:val="24"/>
        </w:rPr>
      </w:pPr>
      <w:r>
        <w:rPr>
          <w:sz w:val="24"/>
          <w:szCs w:val="24"/>
        </w:rPr>
        <w:t xml:space="preserve">При этом принцип формирования валютного курса был изменён: в качестве главного индикатора принято значение индекса реального эффективного курса приднестровского рубля на уровне, близком к единице. Такое его значение позволит соблюдать паритетные условия относительной ценовой конкурентоспособности для экспортёров и импортёров при наличии высокой степени зависимости республики от внешнего мира. </w:t>
      </w:r>
      <w:r w:rsidRPr="00844210">
        <w:rPr>
          <w:sz w:val="24"/>
          <w:szCs w:val="24"/>
        </w:rPr>
        <w:t>Прежде всего</w:t>
      </w:r>
      <w:r>
        <w:rPr>
          <w:sz w:val="24"/>
          <w:szCs w:val="24"/>
        </w:rPr>
        <w:t>,</w:t>
      </w:r>
      <w:r w:rsidRPr="00844210">
        <w:rPr>
          <w:sz w:val="24"/>
          <w:szCs w:val="24"/>
        </w:rPr>
        <w:t xml:space="preserve"> </w:t>
      </w:r>
      <w:r>
        <w:rPr>
          <w:sz w:val="24"/>
          <w:szCs w:val="24"/>
        </w:rPr>
        <w:t>д</w:t>
      </w:r>
      <w:r w:rsidRPr="00844210">
        <w:rPr>
          <w:sz w:val="24"/>
          <w:szCs w:val="24"/>
        </w:rPr>
        <w:t>анное решение основывалось на необходимости преодоления накопленного реального укрепления приднестровского рубля за три предшествующих года</w:t>
      </w:r>
      <w:r>
        <w:rPr>
          <w:sz w:val="24"/>
          <w:szCs w:val="24"/>
        </w:rPr>
        <w:t xml:space="preserve"> (в качестве точки отсчёта принят </w:t>
      </w:r>
      <w:r>
        <w:rPr>
          <w:sz w:val="24"/>
          <w:szCs w:val="24"/>
        </w:rPr>
        <w:br/>
        <w:t>2014 год как период начала активной девальвации национальных валют в странах торговых партнёрах)</w:t>
      </w:r>
      <w:r w:rsidRPr="00844210">
        <w:rPr>
          <w:sz w:val="24"/>
          <w:szCs w:val="24"/>
        </w:rPr>
        <w:t>. При установлении валютного коридора были учтены результаты анализа спроса и предложения на валютном рынке в наличном и безналичном сегментах, потенциальные поступления денежных средств по каналам государственных трансфертов, а также прогноз ситуации в экономике республики и странах</w:t>
      </w:r>
      <w:r>
        <w:rPr>
          <w:sz w:val="24"/>
          <w:szCs w:val="24"/>
        </w:rPr>
        <w:t xml:space="preserve"> основных торговых партнёрах</w:t>
      </w:r>
      <w:r w:rsidRPr="00844210">
        <w:rPr>
          <w:sz w:val="24"/>
          <w:szCs w:val="24"/>
        </w:rPr>
        <w:t>.</w:t>
      </w:r>
      <w:r>
        <w:rPr>
          <w:sz w:val="24"/>
          <w:szCs w:val="24"/>
        </w:rPr>
        <w:t xml:space="preserve"> В результате «Основными направлениями единой государственной денежно-кредитной политики на </w:t>
      </w:r>
      <w:r>
        <w:rPr>
          <w:sz w:val="24"/>
          <w:szCs w:val="24"/>
        </w:rPr>
        <w:br/>
        <w:t>2017 год» был установлен валютный коридор 15,0-15,5 рублей за доллар США.</w:t>
      </w:r>
    </w:p>
    <w:p w:rsidR="004E2069" w:rsidRDefault="004E2069" w:rsidP="0087739C">
      <w:pPr>
        <w:widowControl w:val="0"/>
        <w:shd w:val="clear" w:color="auto" w:fill="FFFFFF"/>
        <w:ind w:firstLine="425"/>
        <w:jc w:val="both"/>
        <w:rPr>
          <w:sz w:val="24"/>
        </w:rPr>
      </w:pPr>
      <w:r>
        <w:rPr>
          <w:sz w:val="24"/>
          <w:szCs w:val="24"/>
        </w:rPr>
        <w:t xml:space="preserve">Проведённая в рамках утверждённых параметров в июне (с 11,3 до 15,0 руб./долл.) и ноябре (с 15,0 до 15,5 руб./долл.) девальвация приднестровского рубля позволила максимально ликвидировать накопленное с 2014 года укрепление реального эффективного курса рубля, приблизив значение индекса к 1,02. Тем самым ценовая конкурентоспособность отечественной продукции за рубежом постепенно восстанавливала утраченные позиции. </w:t>
      </w:r>
      <w:r>
        <w:rPr>
          <w:sz w:val="24"/>
        </w:rPr>
        <w:t>Совместно с действиями Правительства и Верховного Совета Приднестровской Молдавской Республики по ликвидации серых схем и поддержке предпринимательства это позволило значительно улучшить показатели деловой активности и нарастить экспортные поставки.</w:t>
      </w:r>
      <w:r w:rsidRPr="00665810">
        <w:rPr>
          <w:sz w:val="24"/>
          <w:szCs w:val="24"/>
        </w:rPr>
        <w:t xml:space="preserve"> </w:t>
      </w:r>
      <w:r w:rsidRPr="00CA76A1">
        <w:rPr>
          <w:sz w:val="24"/>
          <w:szCs w:val="24"/>
        </w:rPr>
        <w:t>Этому благоприятствовало и улучшение внешней конъюнктуры на основные товары приднестровского экспорта.</w:t>
      </w:r>
    </w:p>
    <w:p w:rsidR="004E2069" w:rsidRDefault="004E2069" w:rsidP="0087739C">
      <w:pPr>
        <w:widowControl w:val="0"/>
        <w:ind w:firstLine="420"/>
        <w:jc w:val="both"/>
        <w:rPr>
          <w:sz w:val="24"/>
          <w:szCs w:val="24"/>
        </w:rPr>
      </w:pPr>
      <w:r w:rsidRPr="00844210">
        <w:rPr>
          <w:sz w:val="24"/>
          <w:szCs w:val="24"/>
        </w:rPr>
        <w:t xml:space="preserve">Одновременно </w:t>
      </w:r>
      <w:r>
        <w:rPr>
          <w:sz w:val="24"/>
          <w:szCs w:val="24"/>
        </w:rPr>
        <w:t>центральным банком был инициирован и принят</w:t>
      </w:r>
      <w:r w:rsidRPr="00844210">
        <w:rPr>
          <w:sz w:val="24"/>
          <w:szCs w:val="24"/>
        </w:rPr>
        <w:t xml:space="preserve"> ряд административных мер</w:t>
      </w:r>
      <w:r>
        <w:rPr>
          <w:sz w:val="24"/>
          <w:szCs w:val="24"/>
        </w:rPr>
        <w:t>:</w:t>
      </w:r>
      <w:r w:rsidRPr="00844210">
        <w:rPr>
          <w:sz w:val="24"/>
          <w:szCs w:val="24"/>
        </w:rPr>
        <w:t xml:space="preserve"> с одной стороны, по ужесточению контроля и ответственности за несвоевременный возврат валютной выручки или авансовых платежей по неосуществлённому импорту</w:t>
      </w:r>
      <w:r>
        <w:rPr>
          <w:sz w:val="24"/>
          <w:szCs w:val="24"/>
        </w:rPr>
        <w:t>;</w:t>
      </w:r>
      <w:r w:rsidRPr="00844210">
        <w:rPr>
          <w:sz w:val="24"/>
          <w:szCs w:val="24"/>
        </w:rPr>
        <w:t xml:space="preserve"> с другой стороны, по амнистии штрафов за нарушени</w:t>
      </w:r>
      <w:r>
        <w:rPr>
          <w:sz w:val="24"/>
          <w:szCs w:val="24"/>
        </w:rPr>
        <w:t>е</w:t>
      </w:r>
      <w:r w:rsidRPr="00844210">
        <w:rPr>
          <w:sz w:val="24"/>
          <w:szCs w:val="24"/>
        </w:rPr>
        <w:t xml:space="preserve"> сроков репатриации до вступления </w:t>
      </w:r>
      <w:r>
        <w:rPr>
          <w:sz w:val="24"/>
          <w:szCs w:val="24"/>
        </w:rPr>
        <w:t xml:space="preserve">в силу </w:t>
      </w:r>
      <w:r w:rsidRPr="00844210">
        <w:rPr>
          <w:sz w:val="24"/>
          <w:szCs w:val="24"/>
        </w:rPr>
        <w:t>новых требований.</w:t>
      </w:r>
    </w:p>
    <w:p w:rsidR="004E2069" w:rsidRDefault="004E2069" w:rsidP="0087739C">
      <w:pPr>
        <w:ind w:firstLine="425"/>
        <w:jc w:val="both"/>
        <w:rPr>
          <w:sz w:val="24"/>
          <w:szCs w:val="24"/>
        </w:rPr>
      </w:pPr>
      <w:r w:rsidRPr="00CA76A1">
        <w:rPr>
          <w:sz w:val="24"/>
          <w:szCs w:val="24"/>
        </w:rPr>
        <w:t>На состояние валютного рынка республики, формирование девальвационных и инфляционных ожиданий в начале отчётного года оказывал существенное влияние избыточный объём денежной массы, как в безналичной, так и наличной форме. Денежный навес (по оценкам, порядка 921 млн руб.) был образован в результате чрезмерной эмиссии предыдущих лет, не соответствующей масштабам и степени деловой активности в экономике. Фактически он представлял собой нереализованный спрос на иностранную валюту.</w:t>
      </w:r>
    </w:p>
    <w:p w:rsidR="004E2069" w:rsidRDefault="004E2069" w:rsidP="0087739C">
      <w:pPr>
        <w:ind w:firstLine="425"/>
        <w:jc w:val="both"/>
        <w:rPr>
          <w:sz w:val="24"/>
          <w:szCs w:val="24"/>
        </w:rPr>
      </w:pPr>
      <w:r w:rsidRPr="00350DE2">
        <w:rPr>
          <w:sz w:val="24"/>
          <w:szCs w:val="24"/>
        </w:rPr>
        <w:t>В связи с этим наряду с мерами рестриктивного характера решением правления Приднестровского республиканского банка коммерческим банкам была разрешена покупка иностранной валюты на валютном аукционе Приднестровского республиканского банка</w:t>
      </w:r>
      <w:r w:rsidRPr="00350DE2">
        <w:rPr>
          <w:color w:val="31849B"/>
          <w:sz w:val="24"/>
          <w:szCs w:val="24"/>
        </w:rPr>
        <w:t xml:space="preserve"> </w:t>
      </w:r>
      <w:r w:rsidRPr="00350DE2">
        <w:rPr>
          <w:sz w:val="24"/>
          <w:szCs w:val="24"/>
        </w:rPr>
        <w:t>в собственный портфель с отсрочкой поставки валюты до 1 года. Это позволило изъять из оборота излишний объём денежной массы, в результате чего он был приведён в соответствие текущим потребностям экономики.</w:t>
      </w:r>
    </w:p>
    <w:p w:rsidR="004E2069" w:rsidRPr="00FE5CEE" w:rsidRDefault="004E2069" w:rsidP="0087739C">
      <w:pPr>
        <w:ind w:firstLine="425"/>
        <w:jc w:val="both"/>
        <w:rPr>
          <w:sz w:val="24"/>
          <w:szCs w:val="24"/>
        </w:rPr>
      </w:pPr>
      <w:r w:rsidRPr="00FE5CEE">
        <w:rPr>
          <w:sz w:val="24"/>
          <w:szCs w:val="24"/>
        </w:rPr>
        <w:t xml:space="preserve">Основным инструментом денежно-кредитной политики стали валютные интервенции, главным каналом проведения которых стал безналичный сегмент валютного рынка посредством межбанковских сделок с обязательством коммерческих банков продавать валюту своим клиентам под импортные контракты с использованием механизма поставки валюты с отсрочкой. В связи с этим с 16 июня 2017 года ежедневные торги на валютном аукционе ПРБ в соответствии с решением правления прекращены. </w:t>
      </w:r>
    </w:p>
    <w:p w:rsidR="004E2069" w:rsidRPr="00FE5CEE" w:rsidRDefault="004E2069" w:rsidP="0087739C">
      <w:pPr>
        <w:ind w:firstLine="425"/>
        <w:jc w:val="both"/>
        <w:rPr>
          <w:sz w:val="24"/>
          <w:szCs w:val="24"/>
        </w:rPr>
      </w:pPr>
      <w:r w:rsidRPr="00FE5CEE">
        <w:rPr>
          <w:sz w:val="24"/>
          <w:szCs w:val="24"/>
        </w:rPr>
        <w:t>Начиная с 20 июня 2017 года</w:t>
      </w:r>
      <w:r>
        <w:rPr>
          <w:sz w:val="24"/>
          <w:szCs w:val="24"/>
        </w:rPr>
        <w:t>,</w:t>
      </w:r>
      <w:r w:rsidRPr="00FE5CEE">
        <w:rPr>
          <w:sz w:val="24"/>
          <w:szCs w:val="24"/>
        </w:rPr>
        <w:t xml:space="preserve"> центральный банк на постоянной основе проводил безналичные валютные интервенции посредством продажи иностранной валюты коммерческим банкам для их клиентов в установленном порядке не реже двух раз в неделю с отсрочкой поставки валюты </w:t>
      </w:r>
      <w:r>
        <w:rPr>
          <w:sz w:val="24"/>
          <w:szCs w:val="24"/>
        </w:rPr>
        <w:t>до</w:t>
      </w:r>
      <w:r w:rsidRPr="00FE5CEE">
        <w:rPr>
          <w:sz w:val="24"/>
          <w:szCs w:val="24"/>
        </w:rPr>
        <w:t xml:space="preserve"> </w:t>
      </w:r>
      <w:r>
        <w:rPr>
          <w:sz w:val="24"/>
          <w:szCs w:val="24"/>
        </w:rPr>
        <w:t>60</w:t>
      </w:r>
      <w:r w:rsidRPr="00FE5CEE">
        <w:rPr>
          <w:sz w:val="24"/>
          <w:szCs w:val="24"/>
        </w:rPr>
        <w:t xml:space="preserve"> дней (в целях стимулирования экспортных поставок для нетто-экспортёров созданы более привлекательные условия – 14 дней). </w:t>
      </w:r>
    </w:p>
    <w:p w:rsidR="004E2069" w:rsidRPr="00FE5CEE" w:rsidRDefault="004E2069" w:rsidP="0087739C">
      <w:pPr>
        <w:ind w:firstLine="425"/>
        <w:jc w:val="both"/>
        <w:rPr>
          <w:sz w:val="24"/>
          <w:szCs w:val="24"/>
        </w:rPr>
      </w:pPr>
      <w:r w:rsidRPr="00FE5CEE">
        <w:t xml:space="preserve"> </w:t>
      </w:r>
      <w:r w:rsidRPr="00FE5CEE">
        <w:rPr>
          <w:sz w:val="24"/>
          <w:szCs w:val="24"/>
        </w:rPr>
        <w:t xml:space="preserve">Рассредоточив спрос на валюту во времени, центральный банк смог удовлетворить в полном объёме все заявки хозяйствующих субъектов на валютные ресурсы. </w:t>
      </w:r>
    </w:p>
    <w:p w:rsidR="004E2069" w:rsidRPr="00FE5CEE" w:rsidRDefault="004E2069" w:rsidP="0087739C">
      <w:pPr>
        <w:ind w:firstLine="425"/>
        <w:jc w:val="both"/>
        <w:rPr>
          <w:sz w:val="24"/>
          <w:szCs w:val="24"/>
        </w:rPr>
      </w:pPr>
      <w:r>
        <w:rPr>
          <w:sz w:val="24"/>
          <w:szCs w:val="24"/>
        </w:rPr>
        <w:t>Кроме того, с</w:t>
      </w:r>
      <w:r w:rsidRPr="00FE5CEE">
        <w:rPr>
          <w:sz w:val="24"/>
          <w:szCs w:val="24"/>
        </w:rPr>
        <w:t xml:space="preserve"> целью стабилизации наличного сегмента валютного рынка, начиная с </w:t>
      </w:r>
      <w:r>
        <w:rPr>
          <w:sz w:val="24"/>
          <w:szCs w:val="24"/>
        </w:rPr>
        <w:br/>
      </w:r>
      <w:r w:rsidRPr="00FE5CEE">
        <w:rPr>
          <w:sz w:val="24"/>
          <w:szCs w:val="24"/>
        </w:rPr>
        <w:t xml:space="preserve">17 июня 2017 года проводились масштабные наличные валютные интервенции через сеть обменных пунктов коммерческих банков. Основная их цель стабилизировать ситуацию, вернуть операции в рамки правового поля. Помимо жёсткой нормы – предел отклонения между курсом покупки и продажи валюты (по твёрдым валютам) не должен быть более 5%, коммерческим банкам было дополнительно рекомендовано не превышать 10%-ое отклонение курса продажи наличного доллара США от его официального значения. </w:t>
      </w:r>
    </w:p>
    <w:p w:rsidR="004E2069" w:rsidRPr="00FE5CEE" w:rsidRDefault="004E2069" w:rsidP="0087739C">
      <w:pPr>
        <w:ind w:firstLine="425"/>
        <w:jc w:val="both"/>
        <w:rPr>
          <w:sz w:val="24"/>
          <w:szCs w:val="24"/>
        </w:rPr>
      </w:pPr>
      <w:r w:rsidRPr="00FE5CEE">
        <w:rPr>
          <w:sz w:val="24"/>
          <w:szCs w:val="24"/>
        </w:rPr>
        <w:t xml:space="preserve">Первоначально условием валютных интервенций центрального банка было установление комиссии по продаже доллара США в размере 2,5%. Впоследствии по мере выравнивания спроса и предложения на валюту центральный банк сократил своё присутствие на рынке с одновременным снижением комиссии (7 августа 2017 года принято решение о прекращении наличных валютных интервенций, с 9 августа комиссия при продаже доллара США не взимается). </w:t>
      </w:r>
    </w:p>
    <w:p w:rsidR="004E2069" w:rsidRPr="00FE5CEE" w:rsidRDefault="004E2069" w:rsidP="0087739C">
      <w:pPr>
        <w:ind w:firstLine="425"/>
        <w:jc w:val="both"/>
        <w:rPr>
          <w:sz w:val="24"/>
          <w:szCs w:val="24"/>
        </w:rPr>
      </w:pPr>
      <w:r>
        <w:rPr>
          <w:sz w:val="24"/>
          <w:szCs w:val="24"/>
        </w:rPr>
        <w:t>Для</w:t>
      </w:r>
      <w:r w:rsidRPr="00FE5CEE">
        <w:rPr>
          <w:sz w:val="24"/>
          <w:szCs w:val="24"/>
        </w:rPr>
        <w:t xml:space="preserve"> снижения влияния валютного риска на физических лиц, у которых имеются кредиты, выраженные в иностранной валюте, и минимизации роста нагрузки по ежемесячным платежам на семейный бюджет центральным банком дана рекомендация всем коммерческим банкам о реструктуризации задолженности при соответствующем обращении </w:t>
      </w:r>
      <w:r w:rsidRPr="00CA76A1">
        <w:rPr>
          <w:sz w:val="24"/>
          <w:szCs w:val="24"/>
        </w:rPr>
        <w:t>граждан. Необходимо отметить, что все обращения были полностью удовлетворены.</w:t>
      </w:r>
    </w:p>
    <w:p w:rsidR="004E2069" w:rsidRPr="00E85DD7" w:rsidRDefault="004E2069" w:rsidP="0087739C">
      <w:pPr>
        <w:widowControl w:val="0"/>
        <w:spacing w:before="120" w:after="120"/>
        <w:ind w:firstLine="425"/>
        <w:jc w:val="both"/>
        <w:rPr>
          <w:i/>
          <w:iCs/>
          <w:sz w:val="24"/>
          <w:szCs w:val="24"/>
        </w:rPr>
      </w:pPr>
      <w:r w:rsidRPr="00E85DD7">
        <w:rPr>
          <w:i/>
          <w:iCs/>
          <w:sz w:val="24"/>
          <w:szCs w:val="24"/>
        </w:rPr>
        <w:t xml:space="preserve">Инструменты денежно-кредитной политики </w:t>
      </w:r>
    </w:p>
    <w:p w:rsidR="004E2069" w:rsidRPr="00B27036" w:rsidRDefault="004E2069" w:rsidP="0087739C">
      <w:pPr>
        <w:ind w:firstLine="425"/>
        <w:jc w:val="both"/>
        <w:rPr>
          <w:sz w:val="24"/>
          <w:szCs w:val="24"/>
        </w:rPr>
      </w:pPr>
      <w:r w:rsidRPr="00B27036">
        <w:rPr>
          <w:sz w:val="24"/>
          <w:szCs w:val="24"/>
        </w:rPr>
        <w:t>Центральный банк в своей деятельности в 2017 году ориентировался на основные параметры, заявленные в «Основных направлениях единой государственной денежно-кредитной политики на 2017 год».</w:t>
      </w:r>
    </w:p>
    <w:p w:rsidR="004E2069" w:rsidRDefault="004E2069" w:rsidP="00CA76A1">
      <w:pPr>
        <w:widowControl w:val="0"/>
        <w:shd w:val="clear" w:color="auto" w:fill="FFFFFF"/>
        <w:ind w:firstLine="425"/>
        <w:jc w:val="both"/>
        <w:rPr>
          <w:sz w:val="24"/>
        </w:rPr>
      </w:pPr>
      <w:r w:rsidRPr="00350DE2">
        <w:rPr>
          <w:sz w:val="24"/>
        </w:rPr>
        <w:t>В целях сокращения избытка свободной ликвидности, помимо налаживания механизма функционирования валютного рынка, применялись и другие инструменты денежно-кредитной политики, в частности изменение ставки рефинансирования, нормативов обязательного резервирования, ставок страховых взносов, операции СВОП с коммерческими</w:t>
      </w:r>
      <w:r>
        <w:rPr>
          <w:sz w:val="24"/>
        </w:rPr>
        <w:t xml:space="preserve"> банками. </w:t>
      </w:r>
    </w:p>
    <w:p w:rsidR="004E2069" w:rsidRPr="00E85DD7" w:rsidRDefault="004E2069" w:rsidP="0087739C">
      <w:pPr>
        <w:ind w:firstLine="425"/>
        <w:jc w:val="both"/>
        <w:rPr>
          <w:sz w:val="24"/>
          <w:szCs w:val="24"/>
        </w:rPr>
      </w:pPr>
      <w:r w:rsidRPr="00B27036">
        <w:rPr>
          <w:sz w:val="24"/>
          <w:szCs w:val="24"/>
        </w:rPr>
        <w:t xml:space="preserve">В течение 2017 года ПРБ продолжал использовать обязательные резервные требования в качестве инструмента регулирования ликвидности банковского сектора и сдерживания инфляционных процессов. </w:t>
      </w:r>
      <w:r>
        <w:rPr>
          <w:sz w:val="24"/>
          <w:szCs w:val="24"/>
        </w:rPr>
        <w:t>К</w:t>
      </w:r>
      <w:r w:rsidRPr="00E85DD7">
        <w:rPr>
          <w:sz w:val="24"/>
          <w:szCs w:val="24"/>
        </w:rPr>
        <w:t xml:space="preserve">орректировка применяемых инструментов денежно-кредитного регулирования осуществлялась </w:t>
      </w:r>
      <w:r>
        <w:rPr>
          <w:sz w:val="24"/>
          <w:szCs w:val="24"/>
        </w:rPr>
        <w:t xml:space="preserve">в </w:t>
      </w:r>
      <w:r w:rsidRPr="00E85DD7">
        <w:rPr>
          <w:sz w:val="24"/>
          <w:szCs w:val="24"/>
        </w:rPr>
        <w:t>цел</w:t>
      </w:r>
      <w:r>
        <w:rPr>
          <w:sz w:val="24"/>
          <w:szCs w:val="24"/>
        </w:rPr>
        <w:t>ях</w:t>
      </w:r>
      <w:r w:rsidRPr="00E85DD7">
        <w:rPr>
          <w:sz w:val="24"/>
          <w:szCs w:val="24"/>
        </w:rPr>
        <w:t xml:space="preserve"> снижения давления на внутреннем валютном рынке. </w:t>
      </w:r>
    </w:p>
    <w:p w:rsidR="004E2069" w:rsidRPr="00B27036" w:rsidRDefault="004E2069" w:rsidP="0087739C">
      <w:pPr>
        <w:ind w:firstLine="425"/>
        <w:jc w:val="both"/>
        <w:rPr>
          <w:sz w:val="24"/>
          <w:szCs w:val="24"/>
        </w:rPr>
      </w:pPr>
      <w:r w:rsidRPr="00B27036">
        <w:rPr>
          <w:sz w:val="24"/>
          <w:szCs w:val="24"/>
        </w:rPr>
        <w:t>Нормы обязательного резервирования в 2017 году поддерживались на уровне, адекватном развитию экономической ситуации.</w:t>
      </w:r>
      <w:r w:rsidRPr="001B2D53">
        <w:rPr>
          <w:sz w:val="24"/>
          <w:szCs w:val="24"/>
        </w:rPr>
        <w:t xml:space="preserve"> </w:t>
      </w:r>
      <w:r w:rsidRPr="003766DD">
        <w:rPr>
          <w:sz w:val="24"/>
          <w:szCs w:val="24"/>
        </w:rPr>
        <w:t>В январе 2017 года нормативы обязательных резервов сохранялись на уровне, действующем с 1 июля 2016 года: 14% по отношению к обязательствам кредитных организаций перед юридическими лицами в рублях и 12% – к обязательствам в валюте.</w:t>
      </w:r>
      <w:r>
        <w:rPr>
          <w:sz w:val="24"/>
          <w:szCs w:val="24"/>
        </w:rPr>
        <w:t xml:space="preserve"> </w:t>
      </w:r>
      <w:r>
        <w:rPr>
          <w:sz w:val="24"/>
          <w:szCs w:val="22"/>
        </w:rPr>
        <w:t>В</w:t>
      </w:r>
      <w:r w:rsidRPr="003766DD">
        <w:rPr>
          <w:sz w:val="24"/>
          <w:szCs w:val="22"/>
        </w:rPr>
        <w:t xml:space="preserve"> соответствии с решением правления ПРБ (протокол от </w:t>
      </w:r>
      <w:r>
        <w:rPr>
          <w:sz w:val="24"/>
          <w:szCs w:val="22"/>
        </w:rPr>
        <w:br/>
      </w:r>
      <w:r w:rsidRPr="003766DD">
        <w:rPr>
          <w:sz w:val="24"/>
          <w:szCs w:val="22"/>
        </w:rPr>
        <w:t xml:space="preserve">27 декабря 2016 года № 96) </w:t>
      </w:r>
      <w:r>
        <w:rPr>
          <w:sz w:val="24"/>
          <w:szCs w:val="22"/>
        </w:rPr>
        <w:t xml:space="preserve">с </w:t>
      </w:r>
      <w:r w:rsidRPr="003766DD">
        <w:rPr>
          <w:sz w:val="24"/>
          <w:szCs w:val="22"/>
        </w:rPr>
        <w:t>1 февраля 2017 года норматив обязательных резервов по средствам, привлечённым в рублях ПМР, увеличился на 1 п.п. с 14% до 15% обязательств кредитной организации перед юридическими лицами. Норматив обязательных</w:t>
      </w:r>
      <w:r w:rsidRPr="00B27036">
        <w:rPr>
          <w:sz w:val="24"/>
          <w:szCs w:val="24"/>
        </w:rPr>
        <w:t xml:space="preserve"> резервов по обязательствам перед юридическими лицами по средствам, привлеч</w:t>
      </w:r>
      <w:r>
        <w:rPr>
          <w:sz w:val="24"/>
          <w:szCs w:val="24"/>
        </w:rPr>
        <w:t>ё</w:t>
      </w:r>
      <w:r w:rsidRPr="00B27036">
        <w:rPr>
          <w:sz w:val="24"/>
          <w:szCs w:val="24"/>
        </w:rPr>
        <w:t>нным в иностранной валюте, сохранился на прежнем уровне – 12%.</w:t>
      </w:r>
      <w:r>
        <w:rPr>
          <w:sz w:val="24"/>
          <w:szCs w:val="24"/>
        </w:rPr>
        <w:t xml:space="preserve"> </w:t>
      </w:r>
      <w:r w:rsidRPr="00B27036">
        <w:rPr>
          <w:sz w:val="24"/>
          <w:szCs w:val="24"/>
        </w:rPr>
        <w:t xml:space="preserve">До конца 2017 года нормативы обязательных резервов </w:t>
      </w:r>
      <w:r>
        <w:rPr>
          <w:sz w:val="24"/>
          <w:szCs w:val="24"/>
        </w:rPr>
        <w:t>остались</w:t>
      </w:r>
      <w:r w:rsidRPr="00B27036">
        <w:rPr>
          <w:sz w:val="24"/>
          <w:szCs w:val="24"/>
        </w:rPr>
        <w:t xml:space="preserve"> на уровне, действующем с 1 февраля 2017 года. При этом в 2017 году депонирование осуществлялось исключительно в национальной валюте.</w:t>
      </w:r>
    </w:p>
    <w:p w:rsidR="004E2069" w:rsidRDefault="004E2069" w:rsidP="0087739C">
      <w:pPr>
        <w:ind w:firstLine="425"/>
        <w:jc w:val="both"/>
        <w:rPr>
          <w:sz w:val="24"/>
          <w:szCs w:val="24"/>
        </w:rPr>
      </w:pPr>
      <w:r w:rsidRPr="00C542AC">
        <w:rPr>
          <w:sz w:val="24"/>
          <w:szCs w:val="24"/>
        </w:rPr>
        <w:t xml:space="preserve">На 1 </w:t>
      </w:r>
      <w:r>
        <w:rPr>
          <w:sz w:val="24"/>
          <w:szCs w:val="24"/>
        </w:rPr>
        <w:t>января</w:t>
      </w:r>
      <w:r w:rsidRPr="00C542AC">
        <w:rPr>
          <w:sz w:val="24"/>
          <w:szCs w:val="24"/>
        </w:rPr>
        <w:t xml:space="preserve"> 201</w:t>
      </w:r>
      <w:r>
        <w:rPr>
          <w:sz w:val="24"/>
          <w:szCs w:val="24"/>
        </w:rPr>
        <w:t>8</w:t>
      </w:r>
      <w:r w:rsidRPr="00C542AC">
        <w:rPr>
          <w:sz w:val="24"/>
          <w:szCs w:val="24"/>
        </w:rPr>
        <w:t xml:space="preserve"> года общий объём средств, аккумулированных в центральном банке в качестве обязательных резервов</w:t>
      </w:r>
      <w:r w:rsidRPr="00B27036">
        <w:rPr>
          <w:sz w:val="24"/>
          <w:szCs w:val="24"/>
        </w:rPr>
        <w:t>,</w:t>
      </w:r>
      <w:r>
        <w:rPr>
          <w:sz w:val="24"/>
          <w:szCs w:val="24"/>
        </w:rPr>
        <w:t xml:space="preserve"> составил 251,9 млн руб. (+22,5%).</w:t>
      </w:r>
      <w:r w:rsidRPr="00B27036">
        <w:rPr>
          <w:sz w:val="24"/>
          <w:szCs w:val="24"/>
        </w:rPr>
        <w:t xml:space="preserve"> </w:t>
      </w:r>
    </w:p>
    <w:p w:rsidR="004E2069" w:rsidRPr="00B27036" w:rsidRDefault="004E2069" w:rsidP="0087739C">
      <w:pPr>
        <w:ind w:firstLine="425"/>
        <w:jc w:val="both"/>
        <w:rPr>
          <w:sz w:val="24"/>
          <w:szCs w:val="24"/>
        </w:rPr>
      </w:pPr>
      <w:r w:rsidRPr="00B27036">
        <w:rPr>
          <w:sz w:val="24"/>
          <w:szCs w:val="24"/>
        </w:rPr>
        <w:t>Для обеспечения своевременности исполнения принятых обязательств перед вкладчиками - физическими лицами банки ПМР формируют страховые фонды.</w:t>
      </w:r>
    </w:p>
    <w:p w:rsidR="004E2069" w:rsidRPr="00B27036" w:rsidRDefault="004E2069" w:rsidP="0087739C">
      <w:pPr>
        <w:ind w:firstLine="425"/>
        <w:jc w:val="both"/>
        <w:rPr>
          <w:sz w:val="24"/>
          <w:szCs w:val="24"/>
        </w:rPr>
      </w:pPr>
      <w:r w:rsidRPr="00620DB8">
        <w:rPr>
          <w:sz w:val="24"/>
          <w:szCs w:val="24"/>
        </w:rPr>
        <w:t>Ставки страховых взносов, депонируемых в Приднестровском республиканском банке, в январе</w:t>
      </w:r>
      <w:r>
        <w:rPr>
          <w:sz w:val="24"/>
          <w:szCs w:val="24"/>
        </w:rPr>
        <w:t xml:space="preserve"> 2017 года</w:t>
      </w:r>
      <w:r w:rsidRPr="00620DB8">
        <w:rPr>
          <w:sz w:val="24"/>
          <w:szCs w:val="24"/>
        </w:rPr>
        <w:t xml:space="preserve"> составляли 12% от обязательств </w:t>
      </w:r>
      <w:r>
        <w:rPr>
          <w:sz w:val="24"/>
          <w:szCs w:val="24"/>
        </w:rPr>
        <w:t xml:space="preserve">коммерческих </w:t>
      </w:r>
      <w:r w:rsidRPr="00620DB8">
        <w:rPr>
          <w:sz w:val="24"/>
          <w:szCs w:val="24"/>
        </w:rPr>
        <w:t>банк</w:t>
      </w:r>
      <w:r>
        <w:rPr>
          <w:sz w:val="24"/>
          <w:szCs w:val="24"/>
        </w:rPr>
        <w:t>ов</w:t>
      </w:r>
      <w:r w:rsidRPr="00620DB8">
        <w:rPr>
          <w:sz w:val="24"/>
          <w:szCs w:val="24"/>
        </w:rPr>
        <w:t xml:space="preserve"> перед физическими лицами как в рублях, так и в иностранной валюте. Правлением Приднестровского республиканского банка 27 декабря 2016 года (протокол № 96) </w:t>
      </w:r>
      <w:r>
        <w:rPr>
          <w:sz w:val="24"/>
          <w:szCs w:val="24"/>
        </w:rPr>
        <w:t xml:space="preserve">было </w:t>
      </w:r>
      <w:r w:rsidRPr="00620DB8">
        <w:rPr>
          <w:sz w:val="24"/>
          <w:szCs w:val="24"/>
        </w:rPr>
        <w:t xml:space="preserve">принято решение об увеличении </w:t>
      </w:r>
      <w:r>
        <w:rPr>
          <w:sz w:val="24"/>
          <w:szCs w:val="24"/>
        </w:rPr>
        <w:t xml:space="preserve">с </w:t>
      </w:r>
      <w:r w:rsidRPr="00620DB8">
        <w:rPr>
          <w:sz w:val="24"/>
          <w:szCs w:val="24"/>
        </w:rPr>
        <w:t xml:space="preserve">1 февраля 2017 года ставки страховых взносов по обязательствам кредитной организации перед физическими лицами в иностранной валюте до 14%. </w:t>
      </w:r>
      <w:r w:rsidRPr="00B27036">
        <w:rPr>
          <w:sz w:val="24"/>
          <w:szCs w:val="24"/>
        </w:rPr>
        <w:t>До конца 2017 года ставк</w:t>
      </w:r>
      <w:r>
        <w:rPr>
          <w:sz w:val="24"/>
          <w:szCs w:val="24"/>
        </w:rPr>
        <w:t xml:space="preserve">и страховых взносов не изменились. </w:t>
      </w:r>
    </w:p>
    <w:p w:rsidR="004E2069" w:rsidRDefault="004E2069" w:rsidP="0087739C">
      <w:pPr>
        <w:ind w:firstLine="425"/>
        <w:jc w:val="both"/>
        <w:rPr>
          <w:sz w:val="24"/>
          <w:szCs w:val="24"/>
        </w:rPr>
      </w:pPr>
      <w:r w:rsidRPr="00B27036">
        <w:rPr>
          <w:sz w:val="24"/>
          <w:szCs w:val="24"/>
        </w:rPr>
        <w:t>За период с 1 января 2017 года по 1 января 2018 года объём страховых фондов действующих банков</w:t>
      </w:r>
      <w:r>
        <w:rPr>
          <w:sz w:val="24"/>
          <w:szCs w:val="24"/>
        </w:rPr>
        <w:t>,</w:t>
      </w:r>
      <w:r w:rsidRPr="00B27036">
        <w:rPr>
          <w:sz w:val="24"/>
          <w:szCs w:val="24"/>
        </w:rPr>
        <w:t xml:space="preserve"> </w:t>
      </w:r>
      <w:r w:rsidRPr="00C542AC">
        <w:rPr>
          <w:sz w:val="24"/>
          <w:szCs w:val="24"/>
        </w:rPr>
        <w:t xml:space="preserve">депонируемых в ПРБ исключительно в национальной валюте, </w:t>
      </w:r>
      <w:r w:rsidRPr="00B27036">
        <w:rPr>
          <w:sz w:val="24"/>
          <w:szCs w:val="24"/>
        </w:rPr>
        <w:t xml:space="preserve">увеличился на </w:t>
      </w:r>
      <w:r>
        <w:rPr>
          <w:sz w:val="24"/>
          <w:szCs w:val="24"/>
        </w:rPr>
        <w:t xml:space="preserve">66,5%, до </w:t>
      </w:r>
      <w:r w:rsidRPr="00B27036">
        <w:rPr>
          <w:sz w:val="24"/>
          <w:szCs w:val="24"/>
        </w:rPr>
        <w:t xml:space="preserve">288,0 млн руб. </w:t>
      </w:r>
    </w:p>
    <w:p w:rsidR="004E2069" w:rsidRPr="00A67648" w:rsidRDefault="004E2069" w:rsidP="0087739C">
      <w:pPr>
        <w:ind w:firstLine="425"/>
        <w:jc w:val="both"/>
        <w:rPr>
          <w:sz w:val="24"/>
          <w:szCs w:val="24"/>
        </w:rPr>
      </w:pPr>
      <w:r>
        <w:rPr>
          <w:sz w:val="24"/>
          <w:szCs w:val="24"/>
        </w:rPr>
        <w:t xml:space="preserve">Принимая во внимание </w:t>
      </w:r>
      <w:r w:rsidRPr="002C5D01">
        <w:rPr>
          <w:sz w:val="24"/>
          <w:szCs w:val="24"/>
        </w:rPr>
        <w:t xml:space="preserve">накопленный в республике инфляционный потенциал, </w:t>
      </w:r>
      <w:r>
        <w:rPr>
          <w:sz w:val="24"/>
          <w:szCs w:val="24"/>
        </w:rPr>
        <w:t>в рамках рестриктивной денежно-кредитной политики</w:t>
      </w:r>
      <w:r w:rsidRPr="002C5D01">
        <w:rPr>
          <w:sz w:val="24"/>
          <w:szCs w:val="24"/>
        </w:rPr>
        <w:t xml:space="preserve"> </w:t>
      </w:r>
      <w:r>
        <w:rPr>
          <w:sz w:val="24"/>
          <w:szCs w:val="24"/>
        </w:rPr>
        <w:t>в начале 2017 года было принято решение о</w:t>
      </w:r>
      <w:r w:rsidRPr="002C5D01">
        <w:rPr>
          <w:sz w:val="24"/>
          <w:szCs w:val="24"/>
        </w:rPr>
        <w:t xml:space="preserve"> повышени</w:t>
      </w:r>
      <w:r>
        <w:rPr>
          <w:sz w:val="24"/>
          <w:szCs w:val="24"/>
        </w:rPr>
        <w:t>и</w:t>
      </w:r>
      <w:r w:rsidRPr="002C5D01">
        <w:rPr>
          <w:sz w:val="24"/>
          <w:szCs w:val="24"/>
        </w:rPr>
        <w:t xml:space="preserve"> ставки рефинансирования</w:t>
      </w:r>
      <w:r>
        <w:rPr>
          <w:sz w:val="24"/>
          <w:szCs w:val="24"/>
        </w:rPr>
        <w:t xml:space="preserve"> с 3,5% годовых (установлена с </w:t>
      </w:r>
      <w:r w:rsidRPr="00B27036">
        <w:rPr>
          <w:sz w:val="24"/>
          <w:szCs w:val="24"/>
        </w:rPr>
        <w:t>11 августа 2014 года</w:t>
      </w:r>
      <w:r>
        <w:rPr>
          <w:sz w:val="24"/>
          <w:szCs w:val="24"/>
        </w:rPr>
        <w:t>) до</w:t>
      </w:r>
      <w:r w:rsidRPr="00B27036">
        <w:rPr>
          <w:sz w:val="24"/>
          <w:szCs w:val="24"/>
        </w:rPr>
        <w:t xml:space="preserve"> </w:t>
      </w:r>
      <w:r>
        <w:rPr>
          <w:sz w:val="24"/>
          <w:szCs w:val="24"/>
        </w:rPr>
        <w:t>7%</w:t>
      </w:r>
      <w:r w:rsidRPr="001B2D53">
        <w:rPr>
          <w:sz w:val="24"/>
          <w:szCs w:val="24"/>
        </w:rPr>
        <w:t xml:space="preserve"> </w:t>
      </w:r>
      <w:r w:rsidRPr="00B27036">
        <w:rPr>
          <w:sz w:val="24"/>
          <w:szCs w:val="24"/>
        </w:rPr>
        <w:t xml:space="preserve">годовых </w:t>
      </w:r>
      <w:r>
        <w:rPr>
          <w:sz w:val="24"/>
          <w:szCs w:val="24"/>
        </w:rPr>
        <w:t>(с 16 февраля 2017 года)</w:t>
      </w:r>
      <w:r w:rsidRPr="00B27036">
        <w:rPr>
          <w:sz w:val="24"/>
          <w:szCs w:val="24"/>
        </w:rPr>
        <w:t>.</w:t>
      </w:r>
    </w:p>
    <w:p w:rsidR="004E2069" w:rsidRPr="00E85DD7" w:rsidRDefault="004E2069" w:rsidP="0087739C">
      <w:pPr>
        <w:widowControl w:val="0"/>
        <w:spacing w:before="120" w:after="120"/>
        <w:ind w:firstLine="425"/>
        <w:jc w:val="both"/>
        <w:rPr>
          <w:i/>
          <w:iCs/>
          <w:sz w:val="24"/>
          <w:szCs w:val="24"/>
        </w:rPr>
      </w:pPr>
      <w:r w:rsidRPr="00E85DD7">
        <w:rPr>
          <w:i/>
          <w:iCs/>
          <w:sz w:val="24"/>
          <w:szCs w:val="24"/>
        </w:rPr>
        <w:t xml:space="preserve">Динамика монетарных показателей </w:t>
      </w:r>
    </w:p>
    <w:p w:rsidR="004E2069" w:rsidRDefault="004E2069" w:rsidP="0087739C">
      <w:pPr>
        <w:ind w:firstLine="425"/>
        <w:jc w:val="both"/>
        <w:rPr>
          <w:sz w:val="24"/>
          <w:szCs w:val="22"/>
        </w:rPr>
      </w:pPr>
      <w:r w:rsidRPr="00EF06DD">
        <w:rPr>
          <w:sz w:val="24"/>
          <w:szCs w:val="22"/>
        </w:rPr>
        <w:t>Результатом рестриктивной денежно-кредитной политики Приднестровского республиканского банка стало</w:t>
      </w:r>
      <w:r>
        <w:rPr>
          <w:sz w:val="24"/>
          <w:szCs w:val="22"/>
        </w:rPr>
        <w:t xml:space="preserve"> </w:t>
      </w:r>
      <w:r w:rsidRPr="00EF06DD">
        <w:rPr>
          <w:sz w:val="24"/>
          <w:szCs w:val="22"/>
        </w:rPr>
        <w:t xml:space="preserve">устранение накопленного в предыдущие годы избыточного рублёвого денежного предложения. Так, величина национальной денежной массы по сравнению с началом </w:t>
      </w:r>
      <w:r>
        <w:rPr>
          <w:sz w:val="24"/>
          <w:szCs w:val="22"/>
        </w:rPr>
        <w:t xml:space="preserve">2017 </w:t>
      </w:r>
      <w:r w:rsidRPr="00EF06DD">
        <w:rPr>
          <w:sz w:val="24"/>
          <w:szCs w:val="22"/>
        </w:rPr>
        <w:t>года сократилась на 7,3% (</w:t>
      </w:r>
      <w:r>
        <w:rPr>
          <w:sz w:val="24"/>
          <w:szCs w:val="22"/>
        </w:rPr>
        <w:t>при том, что средний уровень потребительских цен и тарифов возрос на 11,8%, а оптовых цен промышленного производства – на 18,5%</w:t>
      </w:r>
      <w:r w:rsidRPr="00EF06DD">
        <w:rPr>
          <w:sz w:val="24"/>
          <w:szCs w:val="22"/>
        </w:rPr>
        <w:t xml:space="preserve">), или на 184,7 млн руб., составив на 1 января 2018 года </w:t>
      </w:r>
      <w:r>
        <w:rPr>
          <w:sz w:val="24"/>
          <w:szCs w:val="22"/>
        </w:rPr>
        <w:br/>
      </w:r>
      <w:r w:rsidRPr="00EF06DD">
        <w:rPr>
          <w:sz w:val="24"/>
          <w:szCs w:val="22"/>
        </w:rPr>
        <w:t>2 334,1 млн руб. Основным фактором выступило существенное сжатие объёма наличных денег в обращении – на 111,8 млн руб. (-10,2%)</w:t>
      </w:r>
      <w:r>
        <w:rPr>
          <w:sz w:val="24"/>
          <w:szCs w:val="22"/>
        </w:rPr>
        <w:t xml:space="preserve">, до </w:t>
      </w:r>
      <w:r w:rsidRPr="00EF06DD">
        <w:rPr>
          <w:sz w:val="24"/>
          <w:szCs w:val="22"/>
        </w:rPr>
        <w:t>982,4 млн руб.,</w:t>
      </w:r>
      <w:r>
        <w:rPr>
          <w:sz w:val="24"/>
          <w:szCs w:val="22"/>
        </w:rPr>
        <w:t xml:space="preserve"> </w:t>
      </w:r>
      <w:r w:rsidRPr="00EF06DD">
        <w:rPr>
          <w:sz w:val="24"/>
          <w:szCs w:val="22"/>
        </w:rPr>
        <w:t>вследствие чего доля наличности в структуре показателя снизилась на 1,3 п.п.</w:t>
      </w:r>
      <w:r>
        <w:rPr>
          <w:sz w:val="24"/>
          <w:szCs w:val="22"/>
        </w:rPr>
        <w:t xml:space="preserve">, до </w:t>
      </w:r>
      <w:r w:rsidRPr="00EF06DD">
        <w:rPr>
          <w:sz w:val="24"/>
          <w:szCs w:val="22"/>
        </w:rPr>
        <w:t>42,1%. Соответственно, по состоянию на 1 января 2018 года на один рубль, задействованный</w:t>
      </w:r>
      <w:r w:rsidRPr="00EF06DD">
        <w:rPr>
          <w:color w:val="000000"/>
          <w:sz w:val="24"/>
          <w:szCs w:val="22"/>
        </w:rPr>
        <w:t xml:space="preserve"> в наличном обороте, пришлось 1,38 безналичного рубля против 1,30 рубля на начало 2017 года.</w:t>
      </w:r>
      <w:r w:rsidRPr="00CF79FB">
        <w:rPr>
          <w:sz w:val="24"/>
          <w:szCs w:val="22"/>
        </w:rPr>
        <w:t xml:space="preserve"> </w:t>
      </w:r>
    </w:p>
    <w:p w:rsidR="004E2069" w:rsidRDefault="004E2069" w:rsidP="0087739C">
      <w:pPr>
        <w:ind w:firstLine="425"/>
        <w:jc w:val="both"/>
        <w:rPr>
          <w:sz w:val="24"/>
          <w:szCs w:val="22"/>
        </w:rPr>
      </w:pPr>
      <w:r w:rsidRPr="00EF06DD">
        <w:rPr>
          <w:sz w:val="24"/>
          <w:szCs w:val="22"/>
        </w:rPr>
        <w:t>Сжатием характеризовался и объём</w:t>
      </w:r>
      <w:r>
        <w:rPr>
          <w:sz w:val="24"/>
          <w:szCs w:val="22"/>
        </w:rPr>
        <w:t xml:space="preserve"> </w:t>
      </w:r>
      <w:r w:rsidRPr="00EF06DD">
        <w:rPr>
          <w:sz w:val="24"/>
          <w:szCs w:val="22"/>
        </w:rPr>
        <w:t xml:space="preserve">безналичных средств. По отношению к отметке </w:t>
      </w:r>
      <w:r>
        <w:rPr>
          <w:sz w:val="24"/>
          <w:szCs w:val="22"/>
        </w:rPr>
        <w:t xml:space="preserve">на </w:t>
      </w:r>
      <w:r w:rsidRPr="00EF06DD">
        <w:rPr>
          <w:sz w:val="24"/>
          <w:szCs w:val="22"/>
        </w:rPr>
        <w:br/>
        <w:t>1 января 2017 года он сузился на 72,9</w:t>
      </w:r>
      <w:r>
        <w:rPr>
          <w:sz w:val="24"/>
          <w:szCs w:val="22"/>
        </w:rPr>
        <w:t xml:space="preserve"> </w:t>
      </w:r>
      <w:r w:rsidRPr="00EF06DD">
        <w:rPr>
          <w:sz w:val="24"/>
          <w:szCs w:val="22"/>
        </w:rPr>
        <w:t xml:space="preserve">млн руб., или на 5,1%, составив 1 351,8 млн руб. Главную роль в этом процессе сыграл отток средств с текущих счетов юридических лиц </w:t>
      </w:r>
      <w:r>
        <w:rPr>
          <w:sz w:val="24"/>
          <w:szCs w:val="22"/>
        </w:rPr>
        <w:br/>
      </w:r>
      <w:r w:rsidRPr="00EF06DD">
        <w:rPr>
          <w:sz w:val="24"/>
          <w:szCs w:val="22"/>
        </w:rPr>
        <w:t>(-80,6 млн руб., или -7,2%, до 1 039,6 млн руб.), что связано с предъявлением накопленных рублёвых денежных средств к конвертации в иностранную валюту</w:t>
      </w:r>
      <w:r>
        <w:rPr>
          <w:sz w:val="24"/>
          <w:szCs w:val="22"/>
        </w:rPr>
        <w:t>.</w:t>
      </w:r>
      <w:r w:rsidRPr="00EF06DD">
        <w:rPr>
          <w:sz w:val="24"/>
          <w:szCs w:val="22"/>
        </w:rPr>
        <w:t xml:space="preserve"> </w:t>
      </w:r>
    </w:p>
    <w:p w:rsidR="004E2069" w:rsidRDefault="004E2069" w:rsidP="0087739C">
      <w:pPr>
        <w:ind w:firstLine="425"/>
        <w:jc w:val="both"/>
        <w:rPr>
          <w:sz w:val="24"/>
          <w:szCs w:val="22"/>
        </w:rPr>
      </w:pPr>
      <w:r w:rsidRPr="00EF06DD">
        <w:rPr>
          <w:sz w:val="24"/>
          <w:szCs w:val="22"/>
        </w:rPr>
        <w:t>Депозиты до востребования физических лиц приросли на 1,3 млн руб., или на 0,7%, составив 199,8 млн руб. В то же время увеличилась и сумма средств, размещённых на срочных депозитах, входящих в расчёт денежной массы (+6,3%, или +6,6 млн руб.,</w:t>
      </w:r>
      <w:r>
        <w:rPr>
          <w:sz w:val="24"/>
          <w:szCs w:val="22"/>
        </w:rPr>
        <w:t xml:space="preserve"> до </w:t>
      </w:r>
      <w:r>
        <w:rPr>
          <w:sz w:val="24"/>
          <w:szCs w:val="22"/>
        </w:rPr>
        <w:br/>
        <w:t>112,2 млн руб.).</w:t>
      </w:r>
    </w:p>
    <w:p w:rsidR="004E2069" w:rsidRDefault="004E2069" w:rsidP="0087739C">
      <w:pPr>
        <w:ind w:firstLine="425"/>
        <w:jc w:val="both"/>
        <w:rPr>
          <w:sz w:val="24"/>
          <w:szCs w:val="22"/>
        </w:rPr>
      </w:pPr>
      <w:r w:rsidRPr="006D6997">
        <w:rPr>
          <w:sz w:val="24"/>
          <w:szCs w:val="22"/>
        </w:rPr>
        <w:t>Остаток средств, участвующих в операциях с ценными бумагами, сократился вдвое</w:t>
      </w:r>
      <w:r>
        <w:rPr>
          <w:sz w:val="24"/>
          <w:szCs w:val="22"/>
        </w:rPr>
        <w:t>, составив</w:t>
      </w:r>
      <w:r w:rsidRPr="006D6997">
        <w:rPr>
          <w:sz w:val="24"/>
          <w:szCs w:val="22"/>
        </w:rPr>
        <w:t xml:space="preserve"> на 1 января 2018 года 0,2 млн руб.</w:t>
      </w:r>
      <w:r w:rsidRPr="003C5648">
        <w:rPr>
          <w:sz w:val="24"/>
          <w:szCs w:val="22"/>
        </w:rPr>
        <w:t xml:space="preserve"> </w:t>
      </w:r>
    </w:p>
    <w:p w:rsidR="004E2069" w:rsidRPr="006F74FD" w:rsidRDefault="004E2069" w:rsidP="0087739C">
      <w:pPr>
        <w:ind w:firstLine="425"/>
        <w:jc w:val="both"/>
        <w:rPr>
          <w:sz w:val="24"/>
          <w:szCs w:val="22"/>
        </w:rPr>
      </w:pPr>
      <w:r w:rsidRPr="006F74FD">
        <w:rPr>
          <w:color w:val="000000"/>
          <w:sz w:val="24"/>
          <w:szCs w:val="22"/>
        </w:rPr>
        <w:t>В результате предпринятых мер по стабилизации валютного рынка отмечалось расширение валютной составляющей</w:t>
      </w:r>
      <w:r>
        <w:rPr>
          <w:color w:val="000000"/>
          <w:sz w:val="24"/>
          <w:szCs w:val="22"/>
        </w:rPr>
        <w:t xml:space="preserve"> совокупного денежного предложения</w:t>
      </w:r>
      <w:r w:rsidRPr="006F74FD">
        <w:rPr>
          <w:color w:val="000000"/>
          <w:sz w:val="24"/>
          <w:szCs w:val="22"/>
        </w:rPr>
        <w:t>. Денежная масса, номинированная в иностранной валюте, за год</w:t>
      </w:r>
      <w:r>
        <w:rPr>
          <w:color w:val="000000"/>
          <w:sz w:val="24"/>
          <w:szCs w:val="22"/>
        </w:rPr>
        <w:t xml:space="preserve"> </w:t>
      </w:r>
      <w:r w:rsidRPr="006F74FD">
        <w:rPr>
          <w:color w:val="000000"/>
          <w:sz w:val="24"/>
          <w:szCs w:val="22"/>
        </w:rPr>
        <w:t>расширилась на 82,0% (+2 297,7 млн руб.)</w:t>
      </w:r>
      <w:r>
        <w:rPr>
          <w:color w:val="000000"/>
          <w:sz w:val="24"/>
          <w:szCs w:val="22"/>
        </w:rPr>
        <w:t xml:space="preserve">, до </w:t>
      </w:r>
      <w:r w:rsidRPr="006F74FD">
        <w:rPr>
          <w:color w:val="000000"/>
          <w:sz w:val="24"/>
          <w:szCs w:val="22"/>
        </w:rPr>
        <w:t>5 099,8 млн руб.</w:t>
      </w:r>
      <w:r>
        <w:rPr>
          <w:color w:val="000000"/>
          <w:sz w:val="24"/>
          <w:szCs w:val="22"/>
        </w:rPr>
        <w:t xml:space="preserve">, что также обусловлено переоценкой счетов и депозитов в иностранной валюте. </w:t>
      </w:r>
      <w:r w:rsidRPr="006F74FD">
        <w:rPr>
          <w:color w:val="000000"/>
          <w:sz w:val="24"/>
          <w:szCs w:val="22"/>
        </w:rPr>
        <w:t>Степень валютизации денежной массы, соответственно, увеличилась на 15,9 п.п.</w:t>
      </w:r>
      <w:r>
        <w:rPr>
          <w:color w:val="000000"/>
          <w:sz w:val="24"/>
          <w:szCs w:val="22"/>
        </w:rPr>
        <w:t xml:space="preserve">, до </w:t>
      </w:r>
      <w:r w:rsidRPr="006F74FD">
        <w:rPr>
          <w:color w:val="000000"/>
          <w:sz w:val="24"/>
          <w:szCs w:val="22"/>
        </w:rPr>
        <w:t>68,6%.</w:t>
      </w:r>
    </w:p>
    <w:p w:rsidR="004E2069" w:rsidRPr="00EF06DD" w:rsidRDefault="004E2069" w:rsidP="0087739C">
      <w:pPr>
        <w:ind w:firstLine="426"/>
        <w:jc w:val="both"/>
        <w:rPr>
          <w:color w:val="000000"/>
          <w:sz w:val="24"/>
          <w:szCs w:val="22"/>
        </w:rPr>
      </w:pPr>
      <w:r w:rsidRPr="00EF06DD">
        <w:rPr>
          <w:color w:val="000000"/>
          <w:sz w:val="24"/>
          <w:szCs w:val="22"/>
        </w:rPr>
        <w:t>Вследствие разработки механизма удовлетворения накопленного спроса коммерческих банков и экономических агентов на иностранную валюту</w:t>
      </w:r>
      <w:r>
        <w:rPr>
          <w:color w:val="000000"/>
          <w:sz w:val="24"/>
          <w:szCs w:val="22"/>
        </w:rPr>
        <w:t xml:space="preserve"> </w:t>
      </w:r>
      <w:r w:rsidRPr="00EF06DD">
        <w:rPr>
          <w:color w:val="000000"/>
          <w:sz w:val="24"/>
          <w:szCs w:val="22"/>
        </w:rPr>
        <w:t>обязательства центрального банка в виде денежной базы за отчётный год снизились на 369,0 млн руб. (-17,4%) и на 1 января 2018 года сложились на уровне 1 750,7 млн руб.</w:t>
      </w:r>
      <w:r>
        <w:rPr>
          <w:color w:val="000000"/>
          <w:sz w:val="24"/>
          <w:szCs w:val="22"/>
        </w:rPr>
        <w:t xml:space="preserve"> </w:t>
      </w:r>
      <w:r w:rsidRPr="00EF06DD">
        <w:rPr>
          <w:color w:val="000000"/>
          <w:sz w:val="24"/>
          <w:szCs w:val="22"/>
        </w:rPr>
        <w:t>В основу динамики легло изменение размера средств, размещённых на корреспондентских счетах коммерческих банков и зарезервированных в Приднестровском республиканском банке для приобретения иностранной валюты. Их объём по итогам 2017 года уменьшился на 211,9 млн руб. (-25,8%)</w:t>
      </w:r>
      <w:r>
        <w:rPr>
          <w:color w:val="000000"/>
          <w:sz w:val="24"/>
          <w:szCs w:val="22"/>
        </w:rPr>
        <w:t xml:space="preserve">, до </w:t>
      </w:r>
      <w:r w:rsidRPr="00EF06DD">
        <w:rPr>
          <w:color w:val="000000"/>
          <w:sz w:val="24"/>
          <w:szCs w:val="22"/>
        </w:rPr>
        <w:t xml:space="preserve">610,5 млн руб. </w:t>
      </w:r>
    </w:p>
    <w:p w:rsidR="004E2069" w:rsidRPr="00EF06DD" w:rsidRDefault="004E2069" w:rsidP="0087739C">
      <w:pPr>
        <w:ind w:firstLine="425"/>
        <w:jc w:val="both"/>
        <w:rPr>
          <w:color w:val="000000"/>
          <w:sz w:val="24"/>
          <w:szCs w:val="22"/>
        </w:rPr>
      </w:pPr>
      <w:r w:rsidRPr="00EF06DD">
        <w:rPr>
          <w:color w:val="000000"/>
          <w:sz w:val="24"/>
          <w:szCs w:val="22"/>
        </w:rPr>
        <w:t>Рестриктивная политика выразилась и в снижении обязательств центрального банка по выпущенным наличным денежным средствам на 157,1 млн руб. (-12,1%)</w:t>
      </w:r>
      <w:r>
        <w:rPr>
          <w:color w:val="000000"/>
          <w:sz w:val="24"/>
          <w:szCs w:val="22"/>
        </w:rPr>
        <w:t xml:space="preserve">, до </w:t>
      </w:r>
      <w:r w:rsidRPr="00EF06DD">
        <w:rPr>
          <w:color w:val="000000"/>
          <w:sz w:val="24"/>
          <w:szCs w:val="22"/>
        </w:rPr>
        <w:t>1 140,2 млн руб., из которых 157,8 млн руб. (-22,3%, или -45,3 млн руб.) находилось в кассах банков. Следует отметить, что данная</w:t>
      </w:r>
      <w:r>
        <w:rPr>
          <w:color w:val="000000"/>
          <w:sz w:val="24"/>
          <w:szCs w:val="22"/>
        </w:rPr>
        <w:t xml:space="preserve"> </w:t>
      </w:r>
      <w:r w:rsidRPr="00EF06DD">
        <w:rPr>
          <w:color w:val="000000"/>
          <w:sz w:val="24"/>
          <w:szCs w:val="22"/>
        </w:rPr>
        <w:t xml:space="preserve">динамика </w:t>
      </w:r>
      <w:r>
        <w:rPr>
          <w:color w:val="000000"/>
          <w:sz w:val="24"/>
          <w:szCs w:val="22"/>
        </w:rPr>
        <w:t>фиксировалась</w:t>
      </w:r>
      <w:r w:rsidRPr="00EF06DD">
        <w:rPr>
          <w:color w:val="000000"/>
          <w:sz w:val="24"/>
          <w:szCs w:val="22"/>
        </w:rPr>
        <w:t xml:space="preserve"> с июня вплоть до ноября (в декабре традиционно наблюдался рост показателя </w:t>
      </w:r>
      <w:r>
        <w:rPr>
          <w:color w:val="000000"/>
          <w:sz w:val="24"/>
          <w:szCs w:val="22"/>
        </w:rPr>
        <w:t xml:space="preserve">– </w:t>
      </w:r>
      <w:r w:rsidRPr="00EF06DD">
        <w:rPr>
          <w:color w:val="000000"/>
          <w:sz w:val="24"/>
          <w:szCs w:val="22"/>
        </w:rPr>
        <w:t>на 84,0 млн руб.</w:t>
      </w:r>
      <w:r>
        <w:rPr>
          <w:color w:val="000000"/>
          <w:sz w:val="24"/>
          <w:szCs w:val="22"/>
        </w:rPr>
        <w:t xml:space="preserve">, или на </w:t>
      </w:r>
      <w:r w:rsidRPr="00EF06DD">
        <w:rPr>
          <w:color w:val="000000"/>
          <w:sz w:val="24"/>
          <w:szCs w:val="22"/>
        </w:rPr>
        <w:t>8,0%). Удельный вес наличной составляющей в структуре денежной базы</w:t>
      </w:r>
      <w:r>
        <w:rPr>
          <w:color w:val="000000"/>
          <w:sz w:val="24"/>
          <w:szCs w:val="22"/>
        </w:rPr>
        <w:t xml:space="preserve"> </w:t>
      </w:r>
      <w:r w:rsidRPr="00EF06DD">
        <w:rPr>
          <w:color w:val="000000"/>
          <w:sz w:val="24"/>
          <w:szCs w:val="22"/>
        </w:rPr>
        <w:t>за год вырос на</w:t>
      </w:r>
      <w:r>
        <w:rPr>
          <w:color w:val="000000"/>
          <w:sz w:val="24"/>
          <w:szCs w:val="22"/>
        </w:rPr>
        <w:t xml:space="preserve"> </w:t>
      </w:r>
      <w:r w:rsidRPr="00EF06DD">
        <w:rPr>
          <w:color w:val="000000"/>
          <w:sz w:val="24"/>
          <w:szCs w:val="22"/>
        </w:rPr>
        <w:t>3,9 п.п.</w:t>
      </w:r>
      <w:r>
        <w:rPr>
          <w:color w:val="000000"/>
          <w:sz w:val="24"/>
          <w:szCs w:val="22"/>
        </w:rPr>
        <w:t xml:space="preserve">, до </w:t>
      </w:r>
      <w:r w:rsidRPr="00EF06DD">
        <w:rPr>
          <w:color w:val="000000"/>
          <w:sz w:val="24"/>
          <w:szCs w:val="22"/>
        </w:rPr>
        <w:t>65,1%.</w:t>
      </w:r>
    </w:p>
    <w:p w:rsidR="004E2069" w:rsidRDefault="004E2069" w:rsidP="005060B9">
      <w:pPr>
        <w:pStyle w:val="BodyText"/>
        <w:widowControl w:val="0"/>
        <w:spacing w:before="0" w:after="0"/>
        <w:ind w:firstLine="425"/>
        <w:rPr>
          <w:rFonts w:ascii="Times New Roman" w:hAnsi="Times New Roman" w:cs="Times New Roman"/>
          <w:sz w:val="24"/>
          <w:szCs w:val="24"/>
        </w:rPr>
      </w:pPr>
    </w:p>
    <w:p w:rsidR="004E2069" w:rsidRPr="001318A7" w:rsidRDefault="004E2069" w:rsidP="001318A7">
      <w:pPr>
        <w:widowControl w:val="0"/>
        <w:numPr>
          <w:ilvl w:val="1"/>
          <w:numId w:val="2"/>
        </w:numPr>
        <w:spacing w:after="120"/>
        <w:ind w:left="357" w:hanging="357"/>
        <w:jc w:val="both"/>
        <w:rPr>
          <w:b/>
          <w:bCs/>
          <w:noProof/>
          <w:sz w:val="24"/>
          <w:szCs w:val="24"/>
        </w:rPr>
      </w:pPr>
      <w:r w:rsidRPr="001318A7">
        <w:rPr>
          <w:b/>
          <w:bCs/>
          <w:noProof/>
          <w:sz w:val="24"/>
          <w:szCs w:val="24"/>
        </w:rPr>
        <w:t xml:space="preserve"> ДИНАМИКА ЗОЛОТОВАЛЮТНЫХ РЕЗЕРВОВ</w:t>
      </w:r>
    </w:p>
    <w:p w:rsidR="004E2069" w:rsidRDefault="004E2069" w:rsidP="005060B9">
      <w:pPr>
        <w:pStyle w:val="NormalWeb"/>
        <w:spacing w:before="120" w:beforeAutospacing="0" w:after="0" w:afterAutospacing="0"/>
        <w:ind w:firstLine="357"/>
        <w:jc w:val="both"/>
      </w:pPr>
      <w:r>
        <w:t xml:space="preserve">Основными задачами Приднестровского республиканского банка в отчётном году являлись смягчение последствий валютного кризиса, снятие денежного навеса, создание условий для стимулирования экспорта, обеспечения равного доступа хозяйствующих субъектов к иностранной </w:t>
      </w:r>
      <w:r w:rsidRPr="00CA76A1">
        <w:t>валюте.</w:t>
      </w:r>
      <w:r>
        <w:t xml:space="preserve"> В связи с этим расчётное значение золотовалютных резервов </w:t>
      </w:r>
      <w:r w:rsidRPr="00F87109">
        <w:t>на 1</w:t>
      </w:r>
      <w:r>
        <w:t xml:space="preserve"> января </w:t>
      </w:r>
      <w:r w:rsidRPr="00F87109">
        <w:t>2018</w:t>
      </w:r>
      <w:r>
        <w:t xml:space="preserve"> года</w:t>
      </w:r>
      <w:r w:rsidRPr="00F87109">
        <w:t xml:space="preserve"> сохранилось в отрицательной плоскости</w:t>
      </w:r>
      <w:r>
        <w:t>.</w:t>
      </w:r>
      <w:r w:rsidRPr="00CA76A1">
        <w:t xml:space="preserve"> </w:t>
      </w:r>
    </w:p>
    <w:p w:rsidR="004E2069" w:rsidRDefault="004E2069" w:rsidP="00AC33C2">
      <w:pPr>
        <w:pStyle w:val="NormalWeb"/>
        <w:spacing w:before="0" w:beforeAutospacing="0" w:after="0" w:afterAutospacing="0"/>
        <w:ind w:firstLine="357"/>
        <w:jc w:val="both"/>
      </w:pPr>
      <w:r w:rsidRPr="00350DE2">
        <w:t>Проводимые в рамках монетарной политики мероприятия, рост основных макроэкономических показателей позволили создать предпосылки для восстановления золотовалютных резервов в среднесрочной перспективе.</w:t>
      </w:r>
    </w:p>
    <w:p w:rsidR="004E2069" w:rsidRPr="00BE242E" w:rsidRDefault="004E2069" w:rsidP="00F801A0">
      <w:pPr>
        <w:pStyle w:val="NormalWeb"/>
        <w:spacing w:before="0" w:beforeAutospacing="0" w:after="0" w:afterAutospacing="0"/>
        <w:ind w:firstLine="357"/>
        <w:jc w:val="both"/>
      </w:pPr>
    </w:p>
    <w:p w:rsidR="004E2069" w:rsidRPr="003D73E2" w:rsidRDefault="004E2069" w:rsidP="005060B9">
      <w:pPr>
        <w:widowControl w:val="0"/>
        <w:numPr>
          <w:ilvl w:val="1"/>
          <w:numId w:val="2"/>
        </w:numPr>
        <w:jc w:val="both"/>
        <w:rPr>
          <w:b/>
          <w:bCs/>
          <w:noProof/>
          <w:sz w:val="24"/>
          <w:szCs w:val="24"/>
        </w:rPr>
      </w:pPr>
      <w:r>
        <w:rPr>
          <w:b/>
          <w:bCs/>
          <w:noProof/>
          <w:sz w:val="24"/>
          <w:szCs w:val="24"/>
        </w:rPr>
        <w:t xml:space="preserve"> </w:t>
      </w:r>
      <w:r w:rsidRPr="003D73E2">
        <w:rPr>
          <w:b/>
          <w:bCs/>
          <w:noProof/>
          <w:sz w:val="24"/>
          <w:szCs w:val="24"/>
        </w:rPr>
        <w:t xml:space="preserve">РЕГУЛИРОВАНИЕ И НАДЗОР </w:t>
      </w:r>
      <w:r>
        <w:rPr>
          <w:b/>
          <w:bCs/>
          <w:noProof/>
          <w:sz w:val="24"/>
          <w:szCs w:val="24"/>
        </w:rPr>
        <w:t>В БАНКОВСКОЙ И СТРАХОВОЙ СФЕРАХ</w:t>
      </w:r>
    </w:p>
    <w:p w:rsidR="004E2069" w:rsidRPr="003D73E2" w:rsidRDefault="004E2069" w:rsidP="005060B9">
      <w:pPr>
        <w:widowControl w:val="0"/>
        <w:spacing w:before="120" w:after="120"/>
        <w:ind w:left="425"/>
        <w:jc w:val="both"/>
        <w:rPr>
          <w:i/>
          <w:iCs/>
          <w:sz w:val="24"/>
          <w:szCs w:val="24"/>
        </w:rPr>
      </w:pPr>
      <w:r w:rsidRPr="003D73E2">
        <w:rPr>
          <w:i/>
          <w:iCs/>
          <w:sz w:val="24"/>
          <w:szCs w:val="24"/>
        </w:rPr>
        <w:t>Регистрация и лицензирование банковской деятельности</w:t>
      </w:r>
    </w:p>
    <w:p w:rsidR="004E2069" w:rsidRDefault="004E2069" w:rsidP="005060B9">
      <w:pPr>
        <w:ind w:firstLine="425"/>
        <w:jc w:val="both"/>
        <w:rPr>
          <w:sz w:val="24"/>
          <w:szCs w:val="22"/>
        </w:rPr>
      </w:pPr>
      <w:r w:rsidRPr="009F18A1">
        <w:rPr>
          <w:sz w:val="24"/>
          <w:szCs w:val="22"/>
        </w:rPr>
        <w:t xml:space="preserve">В рамках исполнения норм Закона о стабилизации банковской системы, ужесточения требований к функционированию небанковских кредитных организаций институциональная структура банковского сектора претерпела существенные изменения. По состоянию на </w:t>
      </w:r>
      <w:r>
        <w:rPr>
          <w:sz w:val="24"/>
          <w:szCs w:val="22"/>
        </w:rPr>
        <w:br/>
      </w:r>
      <w:r w:rsidRPr="009F18A1">
        <w:rPr>
          <w:sz w:val="24"/>
          <w:szCs w:val="22"/>
        </w:rPr>
        <w:t>1</w:t>
      </w:r>
      <w:r w:rsidRPr="00B149BC">
        <w:rPr>
          <w:sz w:val="24"/>
          <w:szCs w:val="22"/>
        </w:rPr>
        <w:t xml:space="preserve"> января 2018 года банковская система Приднестровья была представлена тремя действующими коммерческими банками, функционирующими в форме акционерных обществ на основании генеральных лицензий</w:t>
      </w:r>
      <w:r>
        <w:rPr>
          <w:sz w:val="24"/>
          <w:szCs w:val="22"/>
        </w:rPr>
        <w:t xml:space="preserve"> </w:t>
      </w:r>
      <w:r w:rsidRPr="00B149BC">
        <w:rPr>
          <w:sz w:val="24"/>
          <w:szCs w:val="22"/>
        </w:rPr>
        <w:t xml:space="preserve">(табл. 2.1). Два действующих в республике коммерческих банка </w:t>
      </w:r>
      <w:r>
        <w:rPr>
          <w:sz w:val="24"/>
          <w:szCs w:val="22"/>
        </w:rPr>
        <w:t xml:space="preserve">(ЗАО </w:t>
      </w:r>
      <w:r w:rsidRPr="00B149BC">
        <w:rPr>
          <w:sz w:val="24"/>
          <w:szCs w:val="22"/>
        </w:rPr>
        <w:t>«</w:t>
      </w:r>
      <w:r>
        <w:rPr>
          <w:sz w:val="24"/>
          <w:szCs w:val="22"/>
        </w:rPr>
        <w:t>Агропромбанк</w:t>
      </w:r>
      <w:r w:rsidRPr="00B149BC">
        <w:rPr>
          <w:sz w:val="24"/>
          <w:szCs w:val="22"/>
        </w:rPr>
        <w:t>»</w:t>
      </w:r>
      <w:r>
        <w:rPr>
          <w:sz w:val="24"/>
          <w:szCs w:val="22"/>
        </w:rPr>
        <w:t xml:space="preserve"> и ЗАО </w:t>
      </w:r>
      <w:r w:rsidRPr="00B149BC">
        <w:rPr>
          <w:sz w:val="24"/>
          <w:szCs w:val="22"/>
        </w:rPr>
        <w:t>«</w:t>
      </w:r>
      <w:r>
        <w:rPr>
          <w:sz w:val="24"/>
          <w:szCs w:val="22"/>
        </w:rPr>
        <w:t>Приднестровский сберегательный банк</w:t>
      </w:r>
      <w:r w:rsidRPr="00B149BC">
        <w:rPr>
          <w:sz w:val="24"/>
          <w:szCs w:val="22"/>
        </w:rPr>
        <w:t>»</w:t>
      </w:r>
      <w:r>
        <w:rPr>
          <w:sz w:val="24"/>
          <w:szCs w:val="22"/>
        </w:rPr>
        <w:t xml:space="preserve">) </w:t>
      </w:r>
      <w:r w:rsidRPr="00B149BC">
        <w:rPr>
          <w:sz w:val="24"/>
          <w:szCs w:val="22"/>
        </w:rPr>
        <w:t>осуществляют деятельность в форме закрытого акционерного общества, один банк (ОАО «Эксимбанк») – в форме открытого.</w:t>
      </w:r>
    </w:p>
    <w:p w:rsidR="004E2069" w:rsidRPr="003D73E2" w:rsidRDefault="004E2069" w:rsidP="005060B9">
      <w:pPr>
        <w:widowControl w:val="0"/>
        <w:spacing w:before="120" w:after="120"/>
        <w:ind w:firstLine="709"/>
        <w:jc w:val="right"/>
        <w:rPr>
          <w:b/>
          <w:bCs/>
          <w:i/>
          <w:iCs/>
          <w:sz w:val="24"/>
          <w:szCs w:val="24"/>
        </w:rPr>
      </w:pPr>
      <w:r w:rsidRPr="003D73E2">
        <w:rPr>
          <w:b/>
          <w:bCs/>
          <w:i/>
          <w:iCs/>
          <w:sz w:val="24"/>
          <w:szCs w:val="24"/>
        </w:rPr>
        <w:t xml:space="preserve">Таблица 2.1 </w:t>
      </w:r>
    </w:p>
    <w:p w:rsidR="004E2069" w:rsidRPr="003D73E2" w:rsidRDefault="004E2069" w:rsidP="005060B9">
      <w:pPr>
        <w:pStyle w:val="PlainText"/>
        <w:widowControl w:val="0"/>
        <w:spacing w:after="120"/>
        <w:ind w:firstLine="709"/>
        <w:jc w:val="center"/>
        <w:rPr>
          <w:rFonts w:ascii="Times New Roman" w:hAnsi="Times New Roman" w:cs="Times New Roman"/>
          <w:b/>
          <w:bCs/>
          <w:i/>
          <w:iCs/>
          <w:sz w:val="24"/>
          <w:szCs w:val="24"/>
        </w:rPr>
      </w:pPr>
      <w:r w:rsidRPr="003D73E2">
        <w:rPr>
          <w:rFonts w:ascii="Times New Roman" w:hAnsi="Times New Roman" w:cs="Times New Roman"/>
          <w:b/>
          <w:bCs/>
          <w:i/>
          <w:iCs/>
          <w:sz w:val="24"/>
          <w:szCs w:val="24"/>
        </w:rPr>
        <w:t>Структура банковского сектора</w:t>
      </w:r>
      <w:r>
        <w:rPr>
          <w:rFonts w:ascii="Times New Roman" w:hAnsi="Times New Roman" w:cs="Times New Roman"/>
          <w:b/>
          <w:bCs/>
          <w:i/>
          <w:iCs/>
          <w:sz w:val="24"/>
          <w:szCs w:val="24"/>
        </w:rPr>
        <w:t>, ед.</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9"/>
        <w:gridCol w:w="2180"/>
        <w:gridCol w:w="2180"/>
      </w:tblGrid>
      <w:tr w:rsidR="004E2069" w:rsidRPr="003D73E2" w:rsidTr="009A0F84">
        <w:trPr>
          <w:trHeight w:val="284"/>
        </w:trPr>
        <w:tc>
          <w:tcPr>
            <w:tcW w:w="5279" w:type="dxa"/>
            <w:tcBorders>
              <w:bottom w:val="double" w:sz="4" w:space="0" w:color="auto"/>
            </w:tcBorders>
            <w:shd w:val="clear" w:color="auto" w:fill="CCCCCC"/>
          </w:tcPr>
          <w:p w:rsidR="004E2069" w:rsidRPr="003D73E2" w:rsidRDefault="004E2069" w:rsidP="005060B9">
            <w:pPr>
              <w:pStyle w:val="BodyTextIndent"/>
              <w:widowControl w:val="0"/>
              <w:spacing w:after="0"/>
              <w:ind w:left="284" w:right="-96" w:firstLine="709"/>
              <w:jc w:val="center"/>
              <w:rPr>
                <w:sz w:val="22"/>
                <w:szCs w:val="22"/>
              </w:rPr>
            </w:pPr>
          </w:p>
        </w:tc>
        <w:tc>
          <w:tcPr>
            <w:tcW w:w="2180" w:type="dxa"/>
            <w:tcBorders>
              <w:bottom w:val="double" w:sz="4" w:space="0" w:color="auto"/>
            </w:tcBorders>
            <w:shd w:val="clear" w:color="auto" w:fill="CCCCCC"/>
            <w:vAlign w:val="center"/>
          </w:tcPr>
          <w:p w:rsidR="004E2069" w:rsidRPr="003D73E2" w:rsidRDefault="004E2069" w:rsidP="005060B9">
            <w:pPr>
              <w:pStyle w:val="BodyTextIndent"/>
              <w:widowControl w:val="0"/>
              <w:spacing w:after="0"/>
              <w:ind w:left="-102"/>
              <w:jc w:val="center"/>
              <w:rPr>
                <w:sz w:val="22"/>
                <w:szCs w:val="22"/>
              </w:rPr>
            </w:pPr>
            <w:r w:rsidRPr="003D73E2">
              <w:rPr>
                <w:sz w:val="22"/>
                <w:szCs w:val="22"/>
              </w:rPr>
              <w:t>на 01.01.201</w:t>
            </w:r>
            <w:r>
              <w:rPr>
                <w:sz w:val="22"/>
                <w:szCs w:val="22"/>
              </w:rPr>
              <w:t>7</w:t>
            </w:r>
          </w:p>
        </w:tc>
        <w:tc>
          <w:tcPr>
            <w:tcW w:w="2180" w:type="dxa"/>
            <w:tcBorders>
              <w:bottom w:val="double" w:sz="4" w:space="0" w:color="auto"/>
            </w:tcBorders>
            <w:shd w:val="clear" w:color="auto" w:fill="CCCCCC"/>
            <w:vAlign w:val="center"/>
          </w:tcPr>
          <w:p w:rsidR="004E2069" w:rsidRPr="003D73E2" w:rsidRDefault="004E2069" w:rsidP="005060B9">
            <w:pPr>
              <w:pStyle w:val="BodyTextIndent"/>
              <w:widowControl w:val="0"/>
              <w:spacing w:after="0"/>
              <w:ind w:left="-125" w:firstLine="11"/>
              <w:jc w:val="center"/>
              <w:rPr>
                <w:sz w:val="22"/>
                <w:szCs w:val="22"/>
              </w:rPr>
            </w:pPr>
            <w:r w:rsidRPr="003D73E2">
              <w:rPr>
                <w:sz w:val="22"/>
                <w:szCs w:val="22"/>
              </w:rPr>
              <w:t>на 01.01.201</w:t>
            </w:r>
            <w:r>
              <w:rPr>
                <w:sz w:val="22"/>
                <w:szCs w:val="22"/>
              </w:rPr>
              <w:t>8</w:t>
            </w:r>
          </w:p>
        </w:tc>
      </w:tr>
      <w:tr w:rsidR="004E2069" w:rsidRPr="003D73E2" w:rsidTr="009A0F84">
        <w:trPr>
          <w:trHeight w:val="114"/>
        </w:trPr>
        <w:tc>
          <w:tcPr>
            <w:tcW w:w="5279" w:type="dxa"/>
            <w:tcBorders>
              <w:top w:val="double" w:sz="4" w:space="0" w:color="auto"/>
            </w:tcBorders>
            <w:vAlign w:val="center"/>
          </w:tcPr>
          <w:p w:rsidR="004E2069" w:rsidRPr="003D73E2" w:rsidRDefault="004E2069" w:rsidP="005060B9">
            <w:pPr>
              <w:pStyle w:val="CharChar"/>
              <w:widowControl w:val="0"/>
              <w:ind w:right="-96"/>
              <w:rPr>
                <w:rFonts w:ascii="Times New Roman" w:hAnsi="Times New Roman" w:cs="Times New Roman"/>
                <w:sz w:val="22"/>
                <w:szCs w:val="22"/>
                <w:lang w:val="ru-RU"/>
              </w:rPr>
            </w:pPr>
            <w:r w:rsidRPr="003D73E2">
              <w:rPr>
                <w:rFonts w:ascii="Times New Roman" w:hAnsi="Times New Roman" w:cs="Times New Roman"/>
                <w:sz w:val="22"/>
                <w:szCs w:val="22"/>
                <w:lang w:val="ru-RU"/>
              </w:rPr>
              <w:t xml:space="preserve">Коммерческие банки (действующие) </w:t>
            </w:r>
          </w:p>
        </w:tc>
        <w:tc>
          <w:tcPr>
            <w:tcW w:w="2180" w:type="dxa"/>
            <w:tcBorders>
              <w:top w:val="double" w:sz="4" w:space="0" w:color="auto"/>
            </w:tcBorders>
            <w:vAlign w:val="center"/>
          </w:tcPr>
          <w:p w:rsidR="004E2069" w:rsidRPr="003D73E2" w:rsidRDefault="004E2069" w:rsidP="005060B9">
            <w:pPr>
              <w:pStyle w:val="BodyTextIndent"/>
              <w:widowControl w:val="0"/>
              <w:tabs>
                <w:tab w:val="left" w:pos="2148"/>
              </w:tabs>
              <w:spacing w:after="0"/>
              <w:ind w:left="-374" w:right="-20" w:firstLine="238"/>
              <w:jc w:val="center"/>
              <w:rPr>
                <w:sz w:val="22"/>
                <w:szCs w:val="22"/>
              </w:rPr>
            </w:pPr>
            <w:r w:rsidRPr="003D73E2">
              <w:rPr>
                <w:sz w:val="22"/>
                <w:szCs w:val="22"/>
              </w:rPr>
              <w:t>6</w:t>
            </w:r>
          </w:p>
        </w:tc>
        <w:tc>
          <w:tcPr>
            <w:tcW w:w="2180" w:type="dxa"/>
            <w:tcBorders>
              <w:top w:val="double" w:sz="4" w:space="0" w:color="auto"/>
            </w:tcBorders>
            <w:vAlign w:val="center"/>
          </w:tcPr>
          <w:p w:rsidR="004E2069" w:rsidRPr="003D73E2" w:rsidRDefault="004E2069" w:rsidP="005060B9">
            <w:pPr>
              <w:pStyle w:val="BodyTextIndent"/>
              <w:widowControl w:val="0"/>
              <w:tabs>
                <w:tab w:val="left" w:pos="2148"/>
              </w:tabs>
              <w:spacing w:after="0"/>
              <w:ind w:left="-374" w:right="-20" w:firstLine="238"/>
              <w:jc w:val="center"/>
              <w:rPr>
                <w:sz w:val="22"/>
                <w:szCs w:val="22"/>
              </w:rPr>
            </w:pPr>
            <w:r>
              <w:rPr>
                <w:sz w:val="22"/>
                <w:szCs w:val="22"/>
              </w:rPr>
              <w:t>3</w:t>
            </w:r>
          </w:p>
        </w:tc>
      </w:tr>
      <w:tr w:rsidR="004E2069" w:rsidRPr="003D73E2" w:rsidTr="009A0F84">
        <w:trPr>
          <w:trHeight w:val="96"/>
        </w:trPr>
        <w:tc>
          <w:tcPr>
            <w:tcW w:w="5279" w:type="dxa"/>
            <w:tcBorders>
              <w:top w:val="nil"/>
              <w:bottom w:val="nil"/>
            </w:tcBorders>
            <w:vAlign w:val="center"/>
          </w:tcPr>
          <w:p w:rsidR="004E2069" w:rsidRPr="003D73E2" w:rsidRDefault="004E2069" w:rsidP="005060B9">
            <w:pPr>
              <w:pStyle w:val="CharChar"/>
              <w:widowControl w:val="0"/>
              <w:ind w:left="162" w:right="-96"/>
              <w:rPr>
                <w:rFonts w:ascii="Times New Roman" w:hAnsi="Times New Roman" w:cs="Times New Roman"/>
                <w:sz w:val="22"/>
                <w:szCs w:val="22"/>
                <w:lang w:val="ru-RU"/>
              </w:rPr>
            </w:pPr>
            <w:r w:rsidRPr="003D73E2">
              <w:rPr>
                <w:rFonts w:ascii="Times New Roman" w:hAnsi="Times New Roman" w:cs="Times New Roman"/>
                <w:sz w:val="22"/>
                <w:szCs w:val="22"/>
                <w:lang w:val="ru-RU"/>
              </w:rPr>
              <w:t>из них:</w:t>
            </w:r>
          </w:p>
        </w:tc>
        <w:tc>
          <w:tcPr>
            <w:tcW w:w="2180" w:type="dxa"/>
            <w:tcBorders>
              <w:top w:val="nil"/>
              <w:bottom w:val="nil"/>
            </w:tcBorders>
            <w:vAlign w:val="center"/>
          </w:tcPr>
          <w:p w:rsidR="004E2069" w:rsidRPr="003D73E2" w:rsidRDefault="004E2069" w:rsidP="005060B9">
            <w:pPr>
              <w:pStyle w:val="BodyTextIndent"/>
              <w:widowControl w:val="0"/>
              <w:tabs>
                <w:tab w:val="left" w:pos="2148"/>
              </w:tabs>
              <w:spacing w:after="0"/>
              <w:ind w:left="-374" w:right="-20" w:firstLine="238"/>
              <w:jc w:val="center"/>
              <w:rPr>
                <w:sz w:val="22"/>
                <w:szCs w:val="22"/>
              </w:rPr>
            </w:pPr>
          </w:p>
        </w:tc>
        <w:tc>
          <w:tcPr>
            <w:tcW w:w="2180" w:type="dxa"/>
            <w:tcBorders>
              <w:top w:val="nil"/>
              <w:bottom w:val="nil"/>
            </w:tcBorders>
            <w:vAlign w:val="center"/>
          </w:tcPr>
          <w:p w:rsidR="004E2069" w:rsidRPr="003D73E2" w:rsidRDefault="004E2069" w:rsidP="005060B9">
            <w:pPr>
              <w:pStyle w:val="BodyTextIndent"/>
              <w:widowControl w:val="0"/>
              <w:tabs>
                <w:tab w:val="left" w:pos="2148"/>
              </w:tabs>
              <w:spacing w:after="0"/>
              <w:ind w:left="-374" w:right="-20" w:firstLine="238"/>
              <w:jc w:val="center"/>
              <w:rPr>
                <w:sz w:val="22"/>
                <w:szCs w:val="22"/>
              </w:rPr>
            </w:pPr>
          </w:p>
        </w:tc>
      </w:tr>
      <w:tr w:rsidR="004E2069" w:rsidRPr="003D73E2" w:rsidTr="009A0F84">
        <w:trPr>
          <w:trHeight w:val="96"/>
        </w:trPr>
        <w:tc>
          <w:tcPr>
            <w:tcW w:w="5279" w:type="dxa"/>
            <w:tcBorders>
              <w:top w:val="nil"/>
              <w:bottom w:val="nil"/>
            </w:tcBorders>
            <w:vAlign w:val="center"/>
          </w:tcPr>
          <w:p w:rsidR="004E2069" w:rsidRPr="003D73E2" w:rsidRDefault="004E2069" w:rsidP="005060B9">
            <w:pPr>
              <w:pStyle w:val="CharChar"/>
              <w:widowControl w:val="0"/>
              <w:ind w:left="162" w:right="-96"/>
              <w:rPr>
                <w:rFonts w:ascii="Times New Roman" w:hAnsi="Times New Roman" w:cs="Times New Roman"/>
                <w:sz w:val="22"/>
                <w:szCs w:val="22"/>
                <w:lang w:val="ru-RU"/>
              </w:rPr>
            </w:pPr>
            <w:r w:rsidRPr="003D73E2">
              <w:rPr>
                <w:rFonts w:ascii="Times New Roman" w:hAnsi="Times New Roman" w:cs="Times New Roman"/>
                <w:sz w:val="22"/>
                <w:szCs w:val="22"/>
                <w:lang w:val="ru-RU"/>
              </w:rPr>
              <w:t>- с государственным участием</w:t>
            </w:r>
          </w:p>
        </w:tc>
        <w:tc>
          <w:tcPr>
            <w:tcW w:w="2180" w:type="dxa"/>
            <w:tcBorders>
              <w:top w:val="nil"/>
              <w:bottom w:val="nil"/>
            </w:tcBorders>
            <w:vAlign w:val="center"/>
          </w:tcPr>
          <w:p w:rsidR="004E2069" w:rsidRPr="003D73E2" w:rsidRDefault="004E2069" w:rsidP="005060B9">
            <w:pPr>
              <w:pStyle w:val="BodyTextIndent"/>
              <w:widowControl w:val="0"/>
              <w:tabs>
                <w:tab w:val="left" w:pos="2148"/>
              </w:tabs>
              <w:spacing w:after="0"/>
              <w:ind w:left="-374" w:right="-20" w:firstLine="238"/>
              <w:jc w:val="center"/>
              <w:rPr>
                <w:sz w:val="22"/>
                <w:szCs w:val="22"/>
              </w:rPr>
            </w:pPr>
            <w:r w:rsidRPr="003D73E2">
              <w:rPr>
                <w:sz w:val="22"/>
                <w:szCs w:val="22"/>
              </w:rPr>
              <w:t>3</w:t>
            </w:r>
          </w:p>
        </w:tc>
        <w:tc>
          <w:tcPr>
            <w:tcW w:w="2180" w:type="dxa"/>
            <w:tcBorders>
              <w:top w:val="nil"/>
              <w:bottom w:val="nil"/>
            </w:tcBorders>
            <w:vAlign w:val="center"/>
          </w:tcPr>
          <w:p w:rsidR="004E2069" w:rsidRPr="003D73E2" w:rsidRDefault="004E2069" w:rsidP="005060B9">
            <w:pPr>
              <w:pStyle w:val="BodyTextIndent"/>
              <w:widowControl w:val="0"/>
              <w:tabs>
                <w:tab w:val="left" w:pos="2148"/>
              </w:tabs>
              <w:spacing w:after="0"/>
              <w:ind w:left="-374" w:right="-20" w:firstLine="238"/>
              <w:jc w:val="center"/>
              <w:rPr>
                <w:sz w:val="22"/>
                <w:szCs w:val="22"/>
              </w:rPr>
            </w:pPr>
            <w:r>
              <w:rPr>
                <w:sz w:val="22"/>
                <w:szCs w:val="22"/>
              </w:rPr>
              <w:t>2</w:t>
            </w:r>
          </w:p>
        </w:tc>
      </w:tr>
      <w:tr w:rsidR="004E2069" w:rsidRPr="003D73E2" w:rsidTr="009A0F84">
        <w:trPr>
          <w:trHeight w:val="62"/>
        </w:trPr>
        <w:tc>
          <w:tcPr>
            <w:tcW w:w="5279" w:type="dxa"/>
            <w:tcBorders>
              <w:top w:val="nil"/>
            </w:tcBorders>
            <w:vAlign w:val="center"/>
          </w:tcPr>
          <w:p w:rsidR="004E2069" w:rsidRPr="003D73E2" w:rsidRDefault="004E2069" w:rsidP="005060B9">
            <w:pPr>
              <w:pStyle w:val="CharChar"/>
              <w:widowControl w:val="0"/>
              <w:ind w:left="162" w:right="-96"/>
              <w:rPr>
                <w:rFonts w:ascii="Times New Roman" w:hAnsi="Times New Roman" w:cs="Times New Roman"/>
                <w:sz w:val="22"/>
                <w:szCs w:val="22"/>
                <w:lang w:val="ru-RU"/>
              </w:rPr>
            </w:pPr>
            <w:r w:rsidRPr="003D73E2">
              <w:rPr>
                <w:rFonts w:ascii="Times New Roman" w:hAnsi="Times New Roman" w:cs="Times New Roman"/>
                <w:sz w:val="22"/>
                <w:szCs w:val="22"/>
                <w:lang w:val="ru-RU"/>
              </w:rPr>
              <w:t>- с иностранным участием</w:t>
            </w:r>
          </w:p>
        </w:tc>
        <w:tc>
          <w:tcPr>
            <w:tcW w:w="2180" w:type="dxa"/>
            <w:tcBorders>
              <w:top w:val="nil"/>
            </w:tcBorders>
            <w:vAlign w:val="center"/>
          </w:tcPr>
          <w:p w:rsidR="004E2069" w:rsidRPr="003D73E2" w:rsidRDefault="004E2069" w:rsidP="005060B9">
            <w:pPr>
              <w:pStyle w:val="BodyTextIndent"/>
              <w:widowControl w:val="0"/>
              <w:tabs>
                <w:tab w:val="left" w:pos="2148"/>
              </w:tabs>
              <w:spacing w:after="0"/>
              <w:ind w:left="-374" w:right="-20" w:firstLine="238"/>
              <w:jc w:val="center"/>
              <w:rPr>
                <w:sz w:val="22"/>
                <w:szCs w:val="22"/>
              </w:rPr>
            </w:pPr>
            <w:r w:rsidRPr="003D73E2">
              <w:rPr>
                <w:sz w:val="22"/>
                <w:szCs w:val="22"/>
              </w:rPr>
              <w:t>1</w:t>
            </w:r>
          </w:p>
        </w:tc>
        <w:tc>
          <w:tcPr>
            <w:tcW w:w="2180" w:type="dxa"/>
            <w:tcBorders>
              <w:top w:val="nil"/>
            </w:tcBorders>
            <w:vAlign w:val="center"/>
          </w:tcPr>
          <w:p w:rsidR="004E2069" w:rsidRPr="003D73E2" w:rsidRDefault="004E2069" w:rsidP="005060B9">
            <w:pPr>
              <w:pStyle w:val="BodyTextIndent"/>
              <w:widowControl w:val="0"/>
              <w:tabs>
                <w:tab w:val="left" w:pos="2148"/>
              </w:tabs>
              <w:spacing w:after="0"/>
              <w:ind w:left="-374" w:right="-20" w:firstLine="238"/>
              <w:jc w:val="center"/>
              <w:rPr>
                <w:sz w:val="22"/>
                <w:szCs w:val="22"/>
              </w:rPr>
            </w:pPr>
            <w:r>
              <w:rPr>
                <w:sz w:val="22"/>
                <w:szCs w:val="22"/>
              </w:rPr>
              <w:t>-</w:t>
            </w:r>
          </w:p>
        </w:tc>
      </w:tr>
      <w:tr w:rsidR="004E2069" w:rsidRPr="003D73E2" w:rsidTr="009A0F84">
        <w:trPr>
          <w:trHeight w:val="284"/>
        </w:trPr>
        <w:tc>
          <w:tcPr>
            <w:tcW w:w="5279" w:type="dxa"/>
            <w:vAlign w:val="center"/>
          </w:tcPr>
          <w:p w:rsidR="004E2069" w:rsidRPr="003D73E2" w:rsidRDefault="004E2069" w:rsidP="005060B9">
            <w:pPr>
              <w:pStyle w:val="CharChar"/>
              <w:widowControl w:val="0"/>
              <w:ind w:right="-96"/>
              <w:rPr>
                <w:rFonts w:ascii="Times New Roman" w:hAnsi="Times New Roman" w:cs="Times New Roman"/>
                <w:sz w:val="22"/>
                <w:szCs w:val="22"/>
              </w:rPr>
            </w:pPr>
            <w:r w:rsidRPr="003D73E2">
              <w:rPr>
                <w:rFonts w:ascii="Times New Roman" w:hAnsi="Times New Roman" w:cs="Times New Roman"/>
                <w:sz w:val="22"/>
                <w:szCs w:val="22"/>
                <w:lang w:val="ru-RU"/>
              </w:rPr>
              <w:t>Филиалы коммерч</w:t>
            </w:r>
            <w:r w:rsidRPr="003D73E2">
              <w:rPr>
                <w:rFonts w:ascii="Times New Roman" w:hAnsi="Times New Roman" w:cs="Times New Roman"/>
                <w:sz w:val="22"/>
                <w:szCs w:val="22"/>
              </w:rPr>
              <w:t>еских банков</w:t>
            </w:r>
          </w:p>
        </w:tc>
        <w:tc>
          <w:tcPr>
            <w:tcW w:w="2180" w:type="dxa"/>
            <w:vAlign w:val="center"/>
          </w:tcPr>
          <w:p w:rsidR="004E2069" w:rsidRPr="003D73E2" w:rsidRDefault="004E2069" w:rsidP="005060B9">
            <w:pPr>
              <w:pStyle w:val="BodyTextIndent"/>
              <w:widowControl w:val="0"/>
              <w:tabs>
                <w:tab w:val="left" w:pos="2148"/>
              </w:tabs>
              <w:spacing w:after="0"/>
              <w:ind w:left="-374" w:right="-20" w:firstLine="238"/>
              <w:jc w:val="center"/>
              <w:rPr>
                <w:sz w:val="22"/>
                <w:szCs w:val="22"/>
              </w:rPr>
            </w:pPr>
            <w:r w:rsidRPr="003D73E2">
              <w:rPr>
                <w:sz w:val="22"/>
                <w:szCs w:val="22"/>
              </w:rPr>
              <w:t>21</w:t>
            </w:r>
          </w:p>
        </w:tc>
        <w:tc>
          <w:tcPr>
            <w:tcW w:w="2180" w:type="dxa"/>
            <w:vAlign w:val="center"/>
          </w:tcPr>
          <w:p w:rsidR="004E2069" w:rsidRPr="003D73E2" w:rsidRDefault="004E2069" w:rsidP="005060B9">
            <w:pPr>
              <w:pStyle w:val="BodyTextIndent"/>
              <w:widowControl w:val="0"/>
              <w:tabs>
                <w:tab w:val="left" w:pos="2148"/>
              </w:tabs>
              <w:spacing w:after="0"/>
              <w:ind w:left="-374" w:right="-20" w:firstLine="238"/>
              <w:jc w:val="center"/>
              <w:rPr>
                <w:sz w:val="22"/>
                <w:szCs w:val="22"/>
              </w:rPr>
            </w:pPr>
            <w:r>
              <w:rPr>
                <w:sz w:val="22"/>
                <w:szCs w:val="22"/>
              </w:rPr>
              <w:t>15</w:t>
            </w:r>
          </w:p>
        </w:tc>
      </w:tr>
      <w:tr w:rsidR="004E2069" w:rsidRPr="003D73E2" w:rsidTr="009A0F84">
        <w:trPr>
          <w:trHeight w:val="54"/>
        </w:trPr>
        <w:tc>
          <w:tcPr>
            <w:tcW w:w="5279" w:type="dxa"/>
            <w:vAlign w:val="center"/>
          </w:tcPr>
          <w:p w:rsidR="004E2069" w:rsidRPr="003D73E2" w:rsidRDefault="004E2069" w:rsidP="005060B9">
            <w:pPr>
              <w:pStyle w:val="CharChar"/>
              <w:widowControl w:val="0"/>
              <w:ind w:right="-96"/>
              <w:rPr>
                <w:rFonts w:ascii="Times New Roman" w:hAnsi="Times New Roman" w:cs="Times New Roman"/>
                <w:sz w:val="22"/>
                <w:szCs w:val="22"/>
              </w:rPr>
            </w:pPr>
            <w:r w:rsidRPr="003D73E2">
              <w:rPr>
                <w:rFonts w:ascii="Times New Roman" w:hAnsi="Times New Roman" w:cs="Times New Roman"/>
                <w:sz w:val="22"/>
                <w:szCs w:val="22"/>
              </w:rPr>
              <w:t>Отделения коммерческих банков</w:t>
            </w:r>
          </w:p>
        </w:tc>
        <w:tc>
          <w:tcPr>
            <w:tcW w:w="2180" w:type="dxa"/>
            <w:vAlign w:val="center"/>
          </w:tcPr>
          <w:p w:rsidR="004E2069" w:rsidRPr="003D73E2" w:rsidRDefault="004E2069" w:rsidP="005060B9">
            <w:pPr>
              <w:pStyle w:val="BodyTextIndent"/>
              <w:widowControl w:val="0"/>
              <w:tabs>
                <w:tab w:val="left" w:pos="2148"/>
              </w:tabs>
              <w:spacing w:after="0"/>
              <w:ind w:left="-374" w:right="-20" w:firstLine="238"/>
              <w:jc w:val="center"/>
              <w:rPr>
                <w:sz w:val="22"/>
                <w:szCs w:val="22"/>
              </w:rPr>
            </w:pPr>
            <w:r w:rsidRPr="003D73E2">
              <w:rPr>
                <w:sz w:val="22"/>
                <w:szCs w:val="22"/>
              </w:rPr>
              <w:t>276</w:t>
            </w:r>
          </w:p>
        </w:tc>
        <w:tc>
          <w:tcPr>
            <w:tcW w:w="2180" w:type="dxa"/>
            <w:vAlign w:val="center"/>
          </w:tcPr>
          <w:p w:rsidR="004E2069" w:rsidRPr="003D73E2" w:rsidRDefault="004E2069" w:rsidP="005060B9">
            <w:pPr>
              <w:pStyle w:val="BodyTextIndent"/>
              <w:widowControl w:val="0"/>
              <w:tabs>
                <w:tab w:val="left" w:pos="2148"/>
              </w:tabs>
              <w:spacing w:after="0"/>
              <w:ind w:left="-374" w:right="-20" w:firstLine="238"/>
              <w:jc w:val="center"/>
              <w:rPr>
                <w:sz w:val="22"/>
                <w:szCs w:val="22"/>
              </w:rPr>
            </w:pPr>
            <w:r w:rsidRPr="003D73E2">
              <w:rPr>
                <w:sz w:val="22"/>
                <w:szCs w:val="22"/>
              </w:rPr>
              <w:t>2</w:t>
            </w:r>
            <w:r>
              <w:rPr>
                <w:sz w:val="22"/>
                <w:szCs w:val="22"/>
              </w:rPr>
              <w:t>07</w:t>
            </w:r>
          </w:p>
        </w:tc>
      </w:tr>
      <w:tr w:rsidR="004E2069" w:rsidRPr="003D73E2" w:rsidTr="009A0F84">
        <w:trPr>
          <w:trHeight w:val="214"/>
        </w:trPr>
        <w:tc>
          <w:tcPr>
            <w:tcW w:w="5279" w:type="dxa"/>
            <w:vAlign w:val="center"/>
          </w:tcPr>
          <w:p w:rsidR="004E2069" w:rsidRPr="003D73E2" w:rsidRDefault="004E2069" w:rsidP="005060B9">
            <w:pPr>
              <w:pStyle w:val="CharChar"/>
              <w:widowControl w:val="0"/>
              <w:ind w:right="-96"/>
              <w:rPr>
                <w:rFonts w:ascii="Times New Roman" w:hAnsi="Times New Roman" w:cs="Times New Roman"/>
                <w:sz w:val="22"/>
                <w:szCs w:val="22"/>
                <w:lang w:val="ru-RU"/>
              </w:rPr>
            </w:pPr>
            <w:r w:rsidRPr="003D73E2">
              <w:rPr>
                <w:rFonts w:ascii="Times New Roman" w:hAnsi="Times New Roman" w:cs="Times New Roman"/>
                <w:sz w:val="22"/>
                <w:szCs w:val="22"/>
                <w:lang w:val="ru-RU"/>
              </w:rPr>
              <w:t xml:space="preserve">Небанковские кредитные организации (действующие) </w:t>
            </w:r>
          </w:p>
        </w:tc>
        <w:tc>
          <w:tcPr>
            <w:tcW w:w="2180" w:type="dxa"/>
            <w:vAlign w:val="center"/>
          </w:tcPr>
          <w:p w:rsidR="004E2069" w:rsidRPr="003D73E2" w:rsidRDefault="004E2069" w:rsidP="005060B9">
            <w:pPr>
              <w:pStyle w:val="BodyTextIndent"/>
              <w:widowControl w:val="0"/>
              <w:tabs>
                <w:tab w:val="left" w:pos="2148"/>
              </w:tabs>
              <w:spacing w:after="0"/>
              <w:ind w:left="-374" w:right="-20" w:firstLine="238"/>
              <w:jc w:val="center"/>
              <w:rPr>
                <w:sz w:val="22"/>
                <w:szCs w:val="22"/>
              </w:rPr>
            </w:pPr>
            <w:r w:rsidRPr="003D73E2">
              <w:rPr>
                <w:sz w:val="22"/>
                <w:szCs w:val="22"/>
              </w:rPr>
              <w:t>6</w:t>
            </w:r>
          </w:p>
        </w:tc>
        <w:tc>
          <w:tcPr>
            <w:tcW w:w="2180" w:type="dxa"/>
            <w:vAlign w:val="center"/>
          </w:tcPr>
          <w:p w:rsidR="004E2069" w:rsidRPr="003D73E2" w:rsidRDefault="004E2069" w:rsidP="005060B9">
            <w:pPr>
              <w:pStyle w:val="BodyTextIndent"/>
              <w:widowControl w:val="0"/>
              <w:tabs>
                <w:tab w:val="left" w:pos="2148"/>
              </w:tabs>
              <w:spacing w:after="0"/>
              <w:ind w:left="-374" w:right="-20" w:firstLine="238"/>
              <w:jc w:val="center"/>
              <w:rPr>
                <w:sz w:val="22"/>
                <w:szCs w:val="22"/>
              </w:rPr>
            </w:pPr>
            <w:r>
              <w:rPr>
                <w:sz w:val="22"/>
                <w:szCs w:val="22"/>
              </w:rPr>
              <w:t>2</w:t>
            </w:r>
          </w:p>
        </w:tc>
      </w:tr>
      <w:tr w:rsidR="004E2069" w:rsidRPr="003D73E2" w:rsidTr="009A0F84">
        <w:trPr>
          <w:trHeight w:val="52"/>
        </w:trPr>
        <w:tc>
          <w:tcPr>
            <w:tcW w:w="5279" w:type="dxa"/>
            <w:vAlign w:val="center"/>
          </w:tcPr>
          <w:p w:rsidR="004E2069" w:rsidRPr="003D73E2" w:rsidRDefault="004E2069" w:rsidP="005060B9">
            <w:pPr>
              <w:pStyle w:val="CharChar"/>
              <w:widowControl w:val="0"/>
              <w:tabs>
                <w:tab w:val="left" w:pos="283"/>
              </w:tabs>
              <w:ind w:left="162" w:right="-96"/>
              <w:rPr>
                <w:rFonts w:ascii="Times New Roman" w:hAnsi="Times New Roman" w:cs="Times New Roman"/>
                <w:sz w:val="22"/>
                <w:szCs w:val="22"/>
                <w:lang w:val="ru-RU"/>
              </w:rPr>
            </w:pPr>
            <w:r w:rsidRPr="003D73E2">
              <w:rPr>
                <w:rFonts w:ascii="Times New Roman" w:hAnsi="Times New Roman" w:cs="Times New Roman"/>
                <w:sz w:val="22"/>
                <w:szCs w:val="22"/>
                <w:lang w:val="ru-RU"/>
              </w:rPr>
              <w:t xml:space="preserve"> - из них с иностранным участием</w:t>
            </w:r>
          </w:p>
        </w:tc>
        <w:tc>
          <w:tcPr>
            <w:tcW w:w="2180" w:type="dxa"/>
            <w:vAlign w:val="center"/>
          </w:tcPr>
          <w:p w:rsidR="004E2069" w:rsidRPr="003D73E2" w:rsidRDefault="004E2069" w:rsidP="005060B9">
            <w:pPr>
              <w:pStyle w:val="BodyTextIndent"/>
              <w:widowControl w:val="0"/>
              <w:tabs>
                <w:tab w:val="left" w:pos="2148"/>
              </w:tabs>
              <w:spacing w:after="0"/>
              <w:ind w:left="-374" w:right="-20" w:firstLine="238"/>
              <w:jc w:val="center"/>
              <w:rPr>
                <w:sz w:val="22"/>
                <w:szCs w:val="22"/>
              </w:rPr>
            </w:pPr>
            <w:r w:rsidRPr="003D73E2">
              <w:rPr>
                <w:sz w:val="22"/>
                <w:szCs w:val="22"/>
              </w:rPr>
              <w:t>1</w:t>
            </w:r>
          </w:p>
        </w:tc>
        <w:tc>
          <w:tcPr>
            <w:tcW w:w="2180" w:type="dxa"/>
            <w:vAlign w:val="center"/>
          </w:tcPr>
          <w:p w:rsidR="004E2069" w:rsidRPr="003D73E2" w:rsidRDefault="004E2069" w:rsidP="005060B9">
            <w:pPr>
              <w:pStyle w:val="BodyTextIndent"/>
              <w:widowControl w:val="0"/>
              <w:tabs>
                <w:tab w:val="left" w:pos="2148"/>
              </w:tabs>
              <w:spacing w:after="0"/>
              <w:ind w:left="-374" w:right="-20" w:firstLine="238"/>
              <w:jc w:val="center"/>
              <w:rPr>
                <w:sz w:val="22"/>
                <w:szCs w:val="22"/>
              </w:rPr>
            </w:pPr>
            <w:r>
              <w:rPr>
                <w:sz w:val="22"/>
                <w:szCs w:val="22"/>
              </w:rPr>
              <w:t>-</w:t>
            </w:r>
          </w:p>
        </w:tc>
      </w:tr>
    </w:tbl>
    <w:p w:rsidR="004E2069" w:rsidRDefault="004E2069" w:rsidP="005060B9">
      <w:pPr>
        <w:spacing w:before="120"/>
        <w:ind w:firstLine="425"/>
        <w:jc w:val="both"/>
        <w:rPr>
          <w:sz w:val="24"/>
          <w:szCs w:val="22"/>
        </w:rPr>
      </w:pPr>
      <w:r w:rsidRPr="009F18A1">
        <w:rPr>
          <w:sz w:val="24"/>
          <w:szCs w:val="22"/>
        </w:rPr>
        <w:t>В результате уменьшения количества действующих коммерческих банков коэффициент институциональной насыщенности республики банковскими учреждениями (количество банков на 100 тыс. чел.) за отчётный год сократился с 1,3 до 0,6. Несмотря на понижательную динамику, данный показатель по-прежнему выше аналогичных коэффициентов в других странах. Для сравнения: в Российской Федерации он находится на уровне 0,4, в Республике Молдова – 0,3, в Украине – 0,2.</w:t>
      </w:r>
      <w:r w:rsidRPr="001B21A0">
        <w:rPr>
          <w:sz w:val="24"/>
          <w:szCs w:val="22"/>
        </w:rPr>
        <w:t xml:space="preserve"> </w:t>
      </w:r>
    </w:p>
    <w:p w:rsidR="004E2069" w:rsidRPr="004D2C23" w:rsidRDefault="004E2069" w:rsidP="004948C4">
      <w:pPr>
        <w:widowControl w:val="0"/>
        <w:ind w:firstLine="425"/>
        <w:jc w:val="both"/>
        <w:rPr>
          <w:sz w:val="24"/>
          <w:szCs w:val="24"/>
        </w:rPr>
      </w:pPr>
      <w:r w:rsidRPr="003D73E2">
        <w:rPr>
          <w:sz w:val="24"/>
          <w:szCs w:val="24"/>
        </w:rPr>
        <w:t xml:space="preserve">Суммарная величина зарегистрированного уставного капитала действующих банков </w:t>
      </w:r>
      <w:r>
        <w:rPr>
          <w:sz w:val="24"/>
          <w:szCs w:val="24"/>
        </w:rPr>
        <w:t>сократилась</w:t>
      </w:r>
      <w:r w:rsidRPr="003D73E2">
        <w:rPr>
          <w:sz w:val="24"/>
          <w:szCs w:val="24"/>
        </w:rPr>
        <w:t xml:space="preserve"> на </w:t>
      </w:r>
      <w:r>
        <w:rPr>
          <w:sz w:val="24"/>
          <w:szCs w:val="24"/>
        </w:rPr>
        <w:t>141,9</w:t>
      </w:r>
      <w:r w:rsidRPr="003D73E2">
        <w:rPr>
          <w:sz w:val="24"/>
          <w:szCs w:val="24"/>
        </w:rPr>
        <w:t xml:space="preserve"> млн руб.</w:t>
      </w:r>
      <w:r>
        <w:rPr>
          <w:sz w:val="24"/>
          <w:szCs w:val="24"/>
        </w:rPr>
        <w:t xml:space="preserve"> и по состоянию на 1 января 2018</w:t>
      </w:r>
      <w:r w:rsidRPr="003D73E2">
        <w:rPr>
          <w:sz w:val="24"/>
          <w:szCs w:val="24"/>
        </w:rPr>
        <w:t xml:space="preserve"> года зафиксирована на уровне 1</w:t>
      </w:r>
      <w:r>
        <w:rPr>
          <w:sz w:val="24"/>
          <w:szCs w:val="24"/>
        </w:rPr>
        <w:t> 411,6 млн руб.</w:t>
      </w:r>
      <w:r w:rsidRPr="003D73E2">
        <w:rPr>
          <w:sz w:val="24"/>
          <w:szCs w:val="24"/>
        </w:rPr>
        <w:t xml:space="preserve"> </w:t>
      </w:r>
      <w:r>
        <w:rPr>
          <w:sz w:val="24"/>
          <w:szCs w:val="24"/>
        </w:rPr>
        <w:t>Сложившаяся динамика была обусловлена</w:t>
      </w:r>
      <w:r w:rsidRPr="004D2C23">
        <w:rPr>
          <w:sz w:val="24"/>
          <w:szCs w:val="24"/>
        </w:rPr>
        <w:t>:</w:t>
      </w:r>
    </w:p>
    <w:p w:rsidR="004E2069" w:rsidRPr="004D2C23" w:rsidRDefault="004E2069" w:rsidP="004948C4">
      <w:pPr>
        <w:numPr>
          <w:ilvl w:val="0"/>
          <w:numId w:val="23"/>
        </w:numPr>
        <w:tabs>
          <w:tab w:val="left" w:pos="567"/>
          <w:tab w:val="left" w:pos="910"/>
        </w:tabs>
        <w:ind w:left="925" w:hanging="369"/>
        <w:jc w:val="both"/>
        <w:rPr>
          <w:sz w:val="24"/>
          <w:szCs w:val="24"/>
        </w:rPr>
      </w:pPr>
      <w:r w:rsidRPr="004D2C23">
        <w:rPr>
          <w:sz w:val="24"/>
          <w:szCs w:val="24"/>
        </w:rPr>
        <w:t xml:space="preserve">уменьшением уставного капитала ЗАО «Приднестровский Сбербанк» на </w:t>
      </w:r>
      <w:r>
        <w:rPr>
          <w:sz w:val="24"/>
          <w:szCs w:val="24"/>
        </w:rPr>
        <w:br/>
      </w:r>
      <w:r w:rsidRPr="004D2C23">
        <w:rPr>
          <w:sz w:val="24"/>
          <w:szCs w:val="24"/>
        </w:rPr>
        <w:t>135</w:t>
      </w:r>
      <w:r>
        <w:rPr>
          <w:sz w:val="24"/>
          <w:szCs w:val="24"/>
        </w:rPr>
        <w:t>,</w:t>
      </w:r>
      <w:r w:rsidRPr="004D2C23">
        <w:rPr>
          <w:sz w:val="24"/>
          <w:szCs w:val="24"/>
        </w:rPr>
        <w:t>55</w:t>
      </w:r>
      <w:r>
        <w:rPr>
          <w:sz w:val="24"/>
          <w:szCs w:val="24"/>
        </w:rPr>
        <w:t xml:space="preserve"> млн руб.;</w:t>
      </w:r>
    </w:p>
    <w:p w:rsidR="004E2069" w:rsidRPr="004D2C23" w:rsidRDefault="004E2069" w:rsidP="004948C4">
      <w:pPr>
        <w:numPr>
          <w:ilvl w:val="0"/>
          <w:numId w:val="23"/>
        </w:numPr>
        <w:tabs>
          <w:tab w:val="left" w:pos="567"/>
        </w:tabs>
        <w:ind w:left="925" w:hanging="369"/>
        <w:jc w:val="both"/>
        <w:rPr>
          <w:sz w:val="24"/>
          <w:szCs w:val="24"/>
        </w:rPr>
      </w:pPr>
      <w:r>
        <w:rPr>
          <w:sz w:val="24"/>
          <w:szCs w:val="24"/>
        </w:rPr>
        <w:t xml:space="preserve"> </w:t>
      </w:r>
      <w:r w:rsidRPr="004D2C23">
        <w:rPr>
          <w:sz w:val="24"/>
          <w:szCs w:val="24"/>
        </w:rPr>
        <w:t xml:space="preserve">уменьшением уставных капиталов ЗАО АКБ «Ипотечный» и </w:t>
      </w:r>
      <w:r>
        <w:rPr>
          <w:sz w:val="24"/>
          <w:szCs w:val="24"/>
        </w:rPr>
        <w:br/>
      </w:r>
      <w:r w:rsidRPr="004D2C23">
        <w:rPr>
          <w:sz w:val="24"/>
          <w:szCs w:val="24"/>
        </w:rPr>
        <w:t>ЗАО «Тираспромстройбанк» до размера 1 (одного) рубля ПМР соответственно в рамках исполнения требовани</w:t>
      </w:r>
      <w:r>
        <w:rPr>
          <w:sz w:val="24"/>
          <w:szCs w:val="24"/>
        </w:rPr>
        <w:t>й</w:t>
      </w:r>
      <w:r w:rsidRPr="004D2C23">
        <w:rPr>
          <w:sz w:val="24"/>
          <w:szCs w:val="24"/>
        </w:rPr>
        <w:t xml:space="preserve"> Закона </w:t>
      </w:r>
      <w:r>
        <w:rPr>
          <w:sz w:val="24"/>
          <w:szCs w:val="24"/>
        </w:rPr>
        <w:t>о</w:t>
      </w:r>
      <w:r w:rsidRPr="00B149BC">
        <w:rPr>
          <w:sz w:val="24"/>
          <w:szCs w:val="22"/>
        </w:rPr>
        <w:t xml:space="preserve"> стабилизации банковской системы</w:t>
      </w:r>
      <w:r>
        <w:rPr>
          <w:sz w:val="24"/>
          <w:szCs w:val="22"/>
        </w:rPr>
        <w:t>.</w:t>
      </w:r>
      <w:r w:rsidRPr="00B149BC">
        <w:rPr>
          <w:sz w:val="24"/>
          <w:szCs w:val="22"/>
        </w:rPr>
        <w:t xml:space="preserve"> </w:t>
      </w:r>
    </w:p>
    <w:p w:rsidR="004E2069" w:rsidRPr="003D73E2" w:rsidRDefault="004E2069" w:rsidP="005060B9">
      <w:pPr>
        <w:widowControl w:val="0"/>
        <w:ind w:firstLine="425"/>
        <w:jc w:val="both"/>
        <w:rPr>
          <w:sz w:val="24"/>
          <w:szCs w:val="24"/>
        </w:rPr>
      </w:pPr>
      <w:r w:rsidRPr="008C545C">
        <w:rPr>
          <w:sz w:val="24"/>
          <w:szCs w:val="24"/>
          <w:lang w:val="uk-UA"/>
        </w:rPr>
        <w:t>По состоянию</w:t>
      </w:r>
      <w:r w:rsidRPr="003D73E2">
        <w:rPr>
          <w:sz w:val="24"/>
          <w:szCs w:val="24"/>
        </w:rPr>
        <w:t xml:space="preserve"> на 1 января 201</w:t>
      </w:r>
      <w:r>
        <w:rPr>
          <w:sz w:val="24"/>
          <w:szCs w:val="24"/>
        </w:rPr>
        <w:t>8</w:t>
      </w:r>
      <w:r w:rsidRPr="003D73E2">
        <w:rPr>
          <w:sz w:val="24"/>
          <w:szCs w:val="24"/>
        </w:rPr>
        <w:t xml:space="preserve"> года в стадии ликвидации находились:</w:t>
      </w:r>
    </w:p>
    <w:p w:rsidR="004E2069" w:rsidRPr="0065329D" w:rsidRDefault="004E2069" w:rsidP="005060B9">
      <w:pPr>
        <w:numPr>
          <w:ilvl w:val="0"/>
          <w:numId w:val="5"/>
        </w:numPr>
        <w:tabs>
          <w:tab w:val="left" w:pos="567"/>
        </w:tabs>
        <w:ind w:left="896" w:hanging="357"/>
        <w:jc w:val="both"/>
        <w:rPr>
          <w:sz w:val="24"/>
          <w:szCs w:val="24"/>
        </w:rPr>
      </w:pPr>
      <w:r w:rsidRPr="0065329D">
        <w:rPr>
          <w:sz w:val="24"/>
          <w:szCs w:val="24"/>
        </w:rPr>
        <w:t xml:space="preserve">СЗАО «Банк Ламинат» по решению Арбитражного суда ПМР от 4 июня 2013 года (дело </w:t>
      </w:r>
      <w:r>
        <w:rPr>
          <w:sz w:val="24"/>
          <w:szCs w:val="24"/>
        </w:rPr>
        <w:t>№</w:t>
      </w:r>
      <w:r w:rsidRPr="0065329D">
        <w:rPr>
          <w:sz w:val="24"/>
          <w:szCs w:val="24"/>
        </w:rPr>
        <w:t xml:space="preserve"> 357/13-2);</w:t>
      </w:r>
    </w:p>
    <w:p w:rsidR="004E2069" w:rsidRPr="0065329D" w:rsidRDefault="004E2069" w:rsidP="005060B9">
      <w:pPr>
        <w:numPr>
          <w:ilvl w:val="0"/>
          <w:numId w:val="5"/>
        </w:numPr>
        <w:tabs>
          <w:tab w:val="left" w:pos="567"/>
        </w:tabs>
        <w:ind w:left="896" w:hanging="357"/>
        <w:jc w:val="both"/>
        <w:rPr>
          <w:sz w:val="24"/>
          <w:szCs w:val="24"/>
        </w:rPr>
      </w:pPr>
      <w:r w:rsidRPr="0065329D">
        <w:rPr>
          <w:sz w:val="24"/>
          <w:szCs w:val="24"/>
        </w:rPr>
        <w:t xml:space="preserve">ОАО «Бендерысоцбанк» по решению Арбитражного суда ПМР от 30 июня </w:t>
      </w:r>
      <w:r>
        <w:rPr>
          <w:sz w:val="24"/>
          <w:szCs w:val="24"/>
        </w:rPr>
        <w:br/>
      </w:r>
      <w:r w:rsidRPr="0065329D">
        <w:rPr>
          <w:sz w:val="24"/>
          <w:szCs w:val="24"/>
        </w:rPr>
        <w:t xml:space="preserve">2014 года (дело </w:t>
      </w:r>
      <w:r>
        <w:rPr>
          <w:sz w:val="24"/>
          <w:szCs w:val="24"/>
        </w:rPr>
        <w:t>№</w:t>
      </w:r>
      <w:r w:rsidRPr="0065329D">
        <w:rPr>
          <w:sz w:val="24"/>
          <w:szCs w:val="24"/>
        </w:rPr>
        <w:t xml:space="preserve"> 424/14-06);</w:t>
      </w:r>
    </w:p>
    <w:p w:rsidR="004E2069" w:rsidRPr="0065329D" w:rsidRDefault="004E2069" w:rsidP="005060B9">
      <w:pPr>
        <w:numPr>
          <w:ilvl w:val="0"/>
          <w:numId w:val="5"/>
        </w:numPr>
        <w:tabs>
          <w:tab w:val="left" w:pos="567"/>
        </w:tabs>
        <w:ind w:left="896" w:hanging="357"/>
        <w:jc w:val="both"/>
        <w:rPr>
          <w:sz w:val="24"/>
          <w:szCs w:val="24"/>
        </w:rPr>
      </w:pPr>
      <w:r w:rsidRPr="0065329D">
        <w:rPr>
          <w:sz w:val="24"/>
          <w:szCs w:val="24"/>
        </w:rPr>
        <w:t xml:space="preserve">ЗАО «Банк сельхозразвития» по решению общего собрания акционеров от </w:t>
      </w:r>
      <w:r>
        <w:rPr>
          <w:sz w:val="24"/>
          <w:szCs w:val="24"/>
        </w:rPr>
        <w:br/>
      </w:r>
      <w:r w:rsidRPr="0065329D">
        <w:rPr>
          <w:sz w:val="24"/>
          <w:szCs w:val="24"/>
        </w:rPr>
        <w:t xml:space="preserve">29 ноября 2017 года (протокол </w:t>
      </w:r>
      <w:r>
        <w:rPr>
          <w:sz w:val="24"/>
          <w:szCs w:val="24"/>
        </w:rPr>
        <w:t>№</w:t>
      </w:r>
      <w:r w:rsidRPr="0065329D">
        <w:rPr>
          <w:sz w:val="24"/>
          <w:szCs w:val="24"/>
        </w:rPr>
        <w:t xml:space="preserve"> 5);</w:t>
      </w:r>
    </w:p>
    <w:p w:rsidR="004E2069" w:rsidRPr="0065329D" w:rsidRDefault="004E2069" w:rsidP="005060B9">
      <w:pPr>
        <w:numPr>
          <w:ilvl w:val="0"/>
          <w:numId w:val="5"/>
        </w:numPr>
        <w:tabs>
          <w:tab w:val="left" w:pos="567"/>
        </w:tabs>
        <w:ind w:left="896" w:hanging="357"/>
        <w:jc w:val="both"/>
        <w:rPr>
          <w:sz w:val="24"/>
          <w:szCs w:val="24"/>
        </w:rPr>
      </w:pPr>
      <w:r w:rsidRPr="0065329D">
        <w:rPr>
          <w:sz w:val="24"/>
          <w:szCs w:val="24"/>
        </w:rPr>
        <w:t xml:space="preserve">ООО «КО «Гаштан» по решению Арбитражного суда ПМР от 1 июня 2012 года (дело </w:t>
      </w:r>
      <w:r>
        <w:rPr>
          <w:sz w:val="24"/>
          <w:szCs w:val="24"/>
        </w:rPr>
        <w:t>№</w:t>
      </w:r>
      <w:r w:rsidRPr="0065329D">
        <w:rPr>
          <w:sz w:val="24"/>
          <w:szCs w:val="24"/>
        </w:rPr>
        <w:t xml:space="preserve"> 275/12-03);</w:t>
      </w:r>
    </w:p>
    <w:p w:rsidR="004E2069" w:rsidRPr="0065329D" w:rsidRDefault="004E2069" w:rsidP="005060B9">
      <w:pPr>
        <w:numPr>
          <w:ilvl w:val="0"/>
          <w:numId w:val="5"/>
        </w:numPr>
        <w:tabs>
          <w:tab w:val="left" w:pos="567"/>
        </w:tabs>
        <w:ind w:left="896" w:hanging="357"/>
        <w:jc w:val="both"/>
        <w:rPr>
          <w:sz w:val="24"/>
          <w:szCs w:val="24"/>
        </w:rPr>
      </w:pPr>
      <w:r w:rsidRPr="0065329D">
        <w:rPr>
          <w:sz w:val="24"/>
          <w:szCs w:val="24"/>
        </w:rPr>
        <w:t xml:space="preserve">ДООО КО «Финком» по решению единственного участника от 20 января 2017 года (решение </w:t>
      </w:r>
      <w:r>
        <w:rPr>
          <w:sz w:val="24"/>
          <w:szCs w:val="24"/>
        </w:rPr>
        <w:t>№</w:t>
      </w:r>
      <w:r w:rsidRPr="0065329D">
        <w:rPr>
          <w:sz w:val="24"/>
          <w:szCs w:val="24"/>
        </w:rPr>
        <w:t xml:space="preserve"> 2).</w:t>
      </w:r>
    </w:p>
    <w:p w:rsidR="004E2069" w:rsidRPr="009F18A1" w:rsidRDefault="004E2069" w:rsidP="00B32215">
      <w:pPr>
        <w:widowControl w:val="0"/>
        <w:ind w:firstLine="425"/>
        <w:jc w:val="both"/>
        <w:rPr>
          <w:sz w:val="24"/>
        </w:rPr>
      </w:pPr>
      <w:r w:rsidRPr="003D73E2">
        <w:rPr>
          <w:sz w:val="24"/>
          <w:szCs w:val="24"/>
        </w:rPr>
        <w:t xml:space="preserve">Количество небанковских кредитных организаций, действующих на основании лицензии </w:t>
      </w:r>
      <w:r w:rsidRPr="009F18A1">
        <w:rPr>
          <w:sz w:val="24"/>
          <w:szCs w:val="24"/>
        </w:rPr>
        <w:t xml:space="preserve">на право совершения отдельных банковских операций, также изменилось. </w:t>
      </w:r>
      <w:r w:rsidRPr="009F18A1">
        <w:rPr>
          <w:sz w:val="24"/>
        </w:rPr>
        <w:t>В результате невозможности выполнения требований по увеличению капитала, в августе 2017 года утратила юридическую силу лицензия ООО КО «Владора» вследствие полной утраты лицензиатом объекта, в котором или с помощью которого осуществлялся лицензируемый вид деятельности. В ноябре 2017 года решением председателя ПРБ прекращён статус кредитной организации ООО КО «Владора» и внесена запись об исключении её из Книги государственной регистрации кредитных организаций.</w:t>
      </w:r>
    </w:p>
    <w:p w:rsidR="004E2069" w:rsidRPr="00B32215" w:rsidRDefault="004E2069" w:rsidP="00B32215">
      <w:pPr>
        <w:widowControl w:val="0"/>
        <w:ind w:firstLine="425"/>
        <w:jc w:val="both"/>
        <w:rPr>
          <w:sz w:val="24"/>
          <w:szCs w:val="24"/>
        </w:rPr>
      </w:pPr>
      <w:r w:rsidRPr="009F18A1">
        <w:rPr>
          <w:sz w:val="24"/>
          <w:szCs w:val="24"/>
        </w:rPr>
        <w:t>В декабре 2017 года, согласно заявлению ДООО «КО «Европлюс», утратила юридическую силу его лицензия вследствие полной утраты лицензиатом объекта, в котором или с помощью которого осуществлялся лицензируемый вид деятельности.</w:t>
      </w:r>
    </w:p>
    <w:p w:rsidR="004E2069" w:rsidRPr="009276D0" w:rsidRDefault="004E2069" w:rsidP="005060B9">
      <w:pPr>
        <w:widowControl w:val="0"/>
        <w:ind w:firstLine="425"/>
        <w:jc w:val="both"/>
        <w:rPr>
          <w:sz w:val="24"/>
          <w:szCs w:val="24"/>
        </w:rPr>
      </w:pPr>
      <w:r>
        <w:rPr>
          <w:sz w:val="24"/>
          <w:szCs w:val="24"/>
          <w:lang w:val="uk-UA"/>
        </w:rPr>
        <w:t>Таким образом, на конец 2017 года общее количество</w:t>
      </w:r>
      <w:r>
        <w:rPr>
          <w:sz w:val="24"/>
          <w:szCs w:val="24"/>
        </w:rPr>
        <w:t xml:space="preserve"> небанковских </w:t>
      </w:r>
      <w:r w:rsidRPr="009276D0">
        <w:rPr>
          <w:sz w:val="24"/>
          <w:szCs w:val="24"/>
        </w:rPr>
        <w:t>кредитных организаци</w:t>
      </w:r>
      <w:r>
        <w:rPr>
          <w:sz w:val="24"/>
          <w:szCs w:val="24"/>
        </w:rPr>
        <w:t>й (НКО) сократилось до четырёх</w:t>
      </w:r>
      <w:r w:rsidRPr="009276D0">
        <w:rPr>
          <w:sz w:val="24"/>
          <w:szCs w:val="24"/>
        </w:rPr>
        <w:t>, три из</w:t>
      </w:r>
      <w:r>
        <w:rPr>
          <w:sz w:val="24"/>
          <w:szCs w:val="24"/>
        </w:rPr>
        <w:t xml:space="preserve"> </w:t>
      </w:r>
      <w:r w:rsidRPr="009276D0">
        <w:rPr>
          <w:sz w:val="24"/>
          <w:szCs w:val="24"/>
        </w:rPr>
        <w:t>которых относились к III</w:t>
      </w:r>
      <w:r>
        <w:rPr>
          <w:sz w:val="24"/>
          <w:szCs w:val="24"/>
        </w:rPr>
        <w:t xml:space="preserve"> </w:t>
      </w:r>
      <w:r w:rsidRPr="009276D0">
        <w:rPr>
          <w:sz w:val="24"/>
          <w:szCs w:val="24"/>
        </w:rPr>
        <w:t>категории, а одна – к I</w:t>
      </w:r>
      <w:r>
        <w:rPr>
          <w:sz w:val="24"/>
          <w:szCs w:val="24"/>
        </w:rPr>
        <w:t xml:space="preserve"> </w:t>
      </w:r>
      <w:r w:rsidRPr="009276D0">
        <w:rPr>
          <w:sz w:val="24"/>
          <w:szCs w:val="24"/>
        </w:rPr>
        <w:t xml:space="preserve">категории. </w:t>
      </w:r>
      <w:r>
        <w:rPr>
          <w:sz w:val="24"/>
          <w:szCs w:val="24"/>
        </w:rPr>
        <w:t>Все НКО</w:t>
      </w:r>
      <w:r w:rsidRPr="009276D0">
        <w:rPr>
          <w:sz w:val="24"/>
          <w:szCs w:val="24"/>
        </w:rPr>
        <w:t xml:space="preserve"> действуют в </w:t>
      </w:r>
      <w:r>
        <w:rPr>
          <w:sz w:val="24"/>
          <w:szCs w:val="24"/>
        </w:rPr>
        <w:t>форме</w:t>
      </w:r>
      <w:r w:rsidRPr="009276D0">
        <w:rPr>
          <w:sz w:val="24"/>
          <w:szCs w:val="24"/>
        </w:rPr>
        <w:t xml:space="preserve"> обществ с ограниченной </w:t>
      </w:r>
      <w:r>
        <w:rPr>
          <w:sz w:val="24"/>
          <w:szCs w:val="24"/>
        </w:rPr>
        <w:t>ответственностью</w:t>
      </w:r>
      <w:r w:rsidRPr="009276D0">
        <w:rPr>
          <w:sz w:val="24"/>
          <w:szCs w:val="24"/>
        </w:rPr>
        <w:t xml:space="preserve">. </w:t>
      </w:r>
    </w:p>
    <w:p w:rsidR="004E2069" w:rsidRPr="0015270B" w:rsidRDefault="004E2069" w:rsidP="005060B9">
      <w:pPr>
        <w:widowControl w:val="0"/>
        <w:ind w:firstLine="425"/>
        <w:jc w:val="both"/>
        <w:rPr>
          <w:sz w:val="24"/>
          <w:szCs w:val="24"/>
        </w:rPr>
      </w:pPr>
      <w:r>
        <w:rPr>
          <w:sz w:val="24"/>
          <w:szCs w:val="24"/>
        </w:rPr>
        <w:t>Вместе с тем н</w:t>
      </w:r>
      <w:r w:rsidRPr="0015270B">
        <w:rPr>
          <w:sz w:val="24"/>
          <w:szCs w:val="24"/>
        </w:rPr>
        <w:t>а основании промежуточного резул</w:t>
      </w:r>
      <w:r>
        <w:rPr>
          <w:sz w:val="24"/>
          <w:szCs w:val="24"/>
        </w:rPr>
        <w:t>ьтата внеплановой</w:t>
      </w:r>
      <w:r w:rsidRPr="0015270B">
        <w:rPr>
          <w:sz w:val="24"/>
          <w:szCs w:val="24"/>
        </w:rPr>
        <w:t xml:space="preserve"> проверки в связи с выявленными фактами нарушений норм действующего законодательства ПМР, в том числе нормативных актов ПРБ,</w:t>
      </w:r>
      <w:r>
        <w:rPr>
          <w:sz w:val="24"/>
          <w:szCs w:val="24"/>
        </w:rPr>
        <w:t xml:space="preserve"> по состоянию на 1 января 2018 года </w:t>
      </w:r>
      <w:r w:rsidRPr="0015270B">
        <w:rPr>
          <w:sz w:val="24"/>
          <w:szCs w:val="24"/>
        </w:rPr>
        <w:t>приостановлено действие лицензии:</w:t>
      </w:r>
    </w:p>
    <w:p w:rsidR="004E2069" w:rsidRPr="00854CD3" w:rsidRDefault="004E2069" w:rsidP="005060B9">
      <w:pPr>
        <w:numPr>
          <w:ilvl w:val="0"/>
          <w:numId w:val="5"/>
        </w:numPr>
        <w:tabs>
          <w:tab w:val="left" w:pos="567"/>
        </w:tabs>
        <w:ind w:left="896" w:hanging="357"/>
        <w:jc w:val="both"/>
        <w:rPr>
          <w:sz w:val="24"/>
          <w:szCs w:val="24"/>
        </w:rPr>
      </w:pPr>
      <w:r w:rsidRPr="00854CD3">
        <w:rPr>
          <w:sz w:val="24"/>
          <w:szCs w:val="24"/>
        </w:rPr>
        <w:t xml:space="preserve">ООО «КО «Трэйд Стар» на период с 26 декабря 2017 года по 24 июня 2018 года включительно по решению правления ПРБ от 25 декабря 2017 года (протокол </w:t>
      </w:r>
      <w:r w:rsidRPr="00854CD3">
        <w:rPr>
          <w:sz w:val="24"/>
          <w:szCs w:val="24"/>
        </w:rPr>
        <w:br/>
        <w:t>№ 87);</w:t>
      </w:r>
    </w:p>
    <w:p w:rsidR="004E2069" w:rsidRPr="00854CD3" w:rsidRDefault="004E2069" w:rsidP="005060B9">
      <w:pPr>
        <w:numPr>
          <w:ilvl w:val="0"/>
          <w:numId w:val="5"/>
        </w:numPr>
        <w:tabs>
          <w:tab w:val="left" w:pos="567"/>
        </w:tabs>
        <w:ind w:left="896" w:hanging="357"/>
        <w:jc w:val="both"/>
        <w:rPr>
          <w:sz w:val="24"/>
          <w:szCs w:val="24"/>
        </w:rPr>
      </w:pPr>
      <w:r w:rsidRPr="00854CD3">
        <w:rPr>
          <w:sz w:val="24"/>
          <w:szCs w:val="24"/>
        </w:rPr>
        <w:t>ОО</w:t>
      </w:r>
      <w:r>
        <w:rPr>
          <w:sz w:val="24"/>
          <w:szCs w:val="24"/>
        </w:rPr>
        <w:t>О</w:t>
      </w:r>
      <w:r w:rsidRPr="00854CD3">
        <w:rPr>
          <w:sz w:val="24"/>
          <w:szCs w:val="24"/>
        </w:rPr>
        <w:t xml:space="preserve"> «КО «ЭКЮ» на период с 30 декабря 2017 года по 29 июня 2018 года включительно по решению правления ПРБ от 29 декабря 2017 года (протокол № 89).</w:t>
      </w:r>
    </w:p>
    <w:p w:rsidR="004E2069" w:rsidRDefault="004E2069" w:rsidP="005060B9">
      <w:pPr>
        <w:widowControl w:val="0"/>
        <w:ind w:firstLine="425"/>
        <w:jc w:val="both"/>
        <w:rPr>
          <w:sz w:val="24"/>
          <w:szCs w:val="24"/>
        </w:rPr>
      </w:pPr>
      <w:r>
        <w:rPr>
          <w:sz w:val="24"/>
          <w:szCs w:val="24"/>
        </w:rPr>
        <w:t xml:space="preserve">В результате действующими на конец отчётного года были две кредитные организации, относящиеся к </w:t>
      </w:r>
      <w:r>
        <w:rPr>
          <w:sz w:val="24"/>
          <w:szCs w:val="24"/>
          <w:lang w:val="en-US"/>
        </w:rPr>
        <w:t>III</w:t>
      </w:r>
      <w:r>
        <w:rPr>
          <w:sz w:val="24"/>
          <w:szCs w:val="24"/>
        </w:rPr>
        <w:t xml:space="preserve"> категории. </w:t>
      </w:r>
    </w:p>
    <w:p w:rsidR="004E2069" w:rsidRPr="00854CD3" w:rsidRDefault="004E2069" w:rsidP="005060B9">
      <w:pPr>
        <w:widowControl w:val="0"/>
        <w:ind w:firstLine="425"/>
        <w:jc w:val="both"/>
        <w:rPr>
          <w:sz w:val="24"/>
          <w:szCs w:val="24"/>
        </w:rPr>
      </w:pPr>
      <w:r w:rsidRPr="00B32215">
        <w:rPr>
          <w:sz w:val="24"/>
          <w:szCs w:val="24"/>
        </w:rPr>
        <w:t xml:space="preserve">В связи с изменением требований, касающихся капитализации </w:t>
      </w:r>
      <w:r>
        <w:rPr>
          <w:sz w:val="24"/>
          <w:szCs w:val="24"/>
        </w:rPr>
        <w:t>НКО</w:t>
      </w:r>
      <w:r w:rsidRPr="00B32215">
        <w:rPr>
          <w:sz w:val="24"/>
          <w:szCs w:val="24"/>
        </w:rPr>
        <w:t xml:space="preserve"> III категории,</w:t>
      </w:r>
      <w:r>
        <w:rPr>
          <w:sz w:val="24"/>
          <w:szCs w:val="24"/>
        </w:rPr>
        <w:t xml:space="preserve"> </w:t>
      </w:r>
      <w:r w:rsidRPr="00B32215">
        <w:rPr>
          <w:sz w:val="24"/>
          <w:szCs w:val="24"/>
        </w:rPr>
        <w:t xml:space="preserve">ООО КО «Идиллия», ООО «КО «ЭКЮ», ДООО </w:t>
      </w:r>
      <w:r>
        <w:rPr>
          <w:sz w:val="24"/>
          <w:szCs w:val="24"/>
        </w:rPr>
        <w:t>«</w:t>
      </w:r>
      <w:r w:rsidRPr="00B32215">
        <w:rPr>
          <w:sz w:val="24"/>
          <w:szCs w:val="24"/>
        </w:rPr>
        <w:t xml:space="preserve">КО «Европлюс» </w:t>
      </w:r>
      <w:r>
        <w:rPr>
          <w:sz w:val="24"/>
          <w:szCs w:val="24"/>
        </w:rPr>
        <w:t xml:space="preserve">в течение отчётного года </w:t>
      </w:r>
      <w:r w:rsidRPr="00B32215">
        <w:rPr>
          <w:sz w:val="24"/>
          <w:szCs w:val="24"/>
        </w:rPr>
        <w:t>увеличили свои уставные капиталы</w:t>
      </w:r>
      <w:r>
        <w:rPr>
          <w:sz w:val="24"/>
          <w:szCs w:val="24"/>
        </w:rPr>
        <w:t>.</w:t>
      </w:r>
      <w:r w:rsidRPr="003D73E2">
        <w:rPr>
          <w:sz w:val="24"/>
          <w:szCs w:val="24"/>
        </w:rPr>
        <w:t xml:space="preserve"> </w:t>
      </w:r>
      <w:r>
        <w:rPr>
          <w:sz w:val="24"/>
          <w:szCs w:val="24"/>
        </w:rPr>
        <w:t>В результате в</w:t>
      </w:r>
      <w:r w:rsidRPr="003D73E2">
        <w:rPr>
          <w:sz w:val="24"/>
          <w:szCs w:val="24"/>
        </w:rPr>
        <w:t>еличина зарегистрированного уставного капитала небанковских кредитных организаций</w:t>
      </w:r>
      <w:r>
        <w:rPr>
          <w:sz w:val="24"/>
          <w:szCs w:val="24"/>
        </w:rPr>
        <w:t xml:space="preserve"> расширилась </w:t>
      </w:r>
      <w:r w:rsidRPr="003D73E2">
        <w:rPr>
          <w:sz w:val="24"/>
          <w:szCs w:val="24"/>
        </w:rPr>
        <w:t>на 20,</w:t>
      </w:r>
      <w:r>
        <w:rPr>
          <w:sz w:val="24"/>
          <w:szCs w:val="24"/>
        </w:rPr>
        <w:t>8</w:t>
      </w:r>
      <w:r w:rsidRPr="003D73E2">
        <w:rPr>
          <w:sz w:val="24"/>
          <w:szCs w:val="24"/>
        </w:rPr>
        <w:t xml:space="preserve"> млн руб., достигнув </w:t>
      </w:r>
      <w:r>
        <w:rPr>
          <w:sz w:val="24"/>
          <w:szCs w:val="24"/>
        </w:rPr>
        <w:t>54,9</w:t>
      </w:r>
      <w:r w:rsidRPr="003D73E2">
        <w:rPr>
          <w:sz w:val="24"/>
          <w:szCs w:val="24"/>
        </w:rPr>
        <w:t xml:space="preserve"> млн руб.</w:t>
      </w:r>
    </w:p>
    <w:p w:rsidR="004E2069" w:rsidRDefault="004E2069" w:rsidP="005060B9">
      <w:pPr>
        <w:widowControl w:val="0"/>
        <w:ind w:firstLine="425"/>
        <w:jc w:val="both"/>
        <w:rPr>
          <w:sz w:val="24"/>
          <w:szCs w:val="24"/>
        </w:rPr>
      </w:pPr>
      <w:r w:rsidRPr="003D73E2">
        <w:rPr>
          <w:sz w:val="24"/>
          <w:szCs w:val="24"/>
        </w:rPr>
        <w:t>В 201</w:t>
      </w:r>
      <w:r>
        <w:rPr>
          <w:sz w:val="24"/>
          <w:szCs w:val="24"/>
        </w:rPr>
        <w:t>7</w:t>
      </w:r>
      <w:r w:rsidRPr="003D73E2">
        <w:rPr>
          <w:sz w:val="24"/>
          <w:szCs w:val="24"/>
        </w:rPr>
        <w:t xml:space="preserve"> году коммерческими банками было открыто 1</w:t>
      </w:r>
      <w:r>
        <w:rPr>
          <w:sz w:val="24"/>
          <w:szCs w:val="24"/>
        </w:rPr>
        <w:t>2</w:t>
      </w:r>
      <w:r w:rsidRPr="003D73E2">
        <w:rPr>
          <w:sz w:val="24"/>
          <w:szCs w:val="24"/>
        </w:rPr>
        <w:t xml:space="preserve"> отделений, закрыто – </w:t>
      </w:r>
      <w:r>
        <w:rPr>
          <w:sz w:val="24"/>
          <w:szCs w:val="24"/>
        </w:rPr>
        <w:t xml:space="preserve">81. Процедуру перерегистрации </w:t>
      </w:r>
      <w:r w:rsidRPr="00CA1E46">
        <w:rPr>
          <w:sz w:val="24"/>
          <w:szCs w:val="24"/>
        </w:rPr>
        <w:t>прошло 399 отделений. П</w:t>
      </w:r>
      <w:r w:rsidRPr="003D73E2">
        <w:rPr>
          <w:sz w:val="24"/>
          <w:szCs w:val="24"/>
        </w:rPr>
        <w:t>о состоян</w:t>
      </w:r>
      <w:r>
        <w:rPr>
          <w:sz w:val="24"/>
          <w:szCs w:val="24"/>
        </w:rPr>
        <w:t xml:space="preserve">ию на </w:t>
      </w:r>
      <w:r w:rsidRPr="003D73E2">
        <w:rPr>
          <w:sz w:val="24"/>
          <w:szCs w:val="24"/>
        </w:rPr>
        <w:t>1 января 201</w:t>
      </w:r>
      <w:r>
        <w:rPr>
          <w:sz w:val="24"/>
          <w:szCs w:val="24"/>
        </w:rPr>
        <w:t>8</w:t>
      </w:r>
      <w:r w:rsidRPr="003D73E2">
        <w:rPr>
          <w:sz w:val="24"/>
          <w:szCs w:val="24"/>
        </w:rPr>
        <w:t xml:space="preserve"> года действовало </w:t>
      </w:r>
      <w:r>
        <w:rPr>
          <w:sz w:val="24"/>
          <w:szCs w:val="24"/>
        </w:rPr>
        <w:t>207</w:t>
      </w:r>
      <w:r w:rsidRPr="003D73E2">
        <w:rPr>
          <w:sz w:val="24"/>
          <w:szCs w:val="24"/>
        </w:rPr>
        <w:t xml:space="preserve"> отделений коммерческих банков против </w:t>
      </w:r>
      <w:r>
        <w:rPr>
          <w:sz w:val="24"/>
          <w:szCs w:val="24"/>
        </w:rPr>
        <w:t xml:space="preserve">276 – на </w:t>
      </w:r>
      <w:r w:rsidRPr="003D73E2">
        <w:rPr>
          <w:sz w:val="24"/>
          <w:szCs w:val="24"/>
        </w:rPr>
        <w:t>1 января 201</w:t>
      </w:r>
      <w:r>
        <w:rPr>
          <w:sz w:val="24"/>
          <w:szCs w:val="24"/>
        </w:rPr>
        <w:t>7</w:t>
      </w:r>
      <w:r w:rsidRPr="003D73E2">
        <w:rPr>
          <w:sz w:val="24"/>
          <w:szCs w:val="24"/>
        </w:rPr>
        <w:t xml:space="preserve"> года. </w:t>
      </w:r>
    </w:p>
    <w:p w:rsidR="004E2069" w:rsidRPr="0071310D" w:rsidRDefault="004E2069" w:rsidP="00D80B9D">
      <w:pPr>
        <w:ind w:firstLine="425"/>
        <w:jc w:val="both"/>
        <w:rPr>
          <w:sz w:val="24"/>
          <w:szCs w:val="24"/>
        </w:rPr>
      </w:pPr>
      <w:r w:rsidRPr="0071310D">
        <w:rPr>
          <w:sz w:val="24"/>
          <w:szCs w:val="24"/>
        </w:rPr>
        <w:t>В отч</w:t>
      </w:r>
      <w:r>
        <w:rPr>
          <w:sz w:val="24"/>
          <w:szCs w:val="24"/>
        </w:rPr>
        <w:t>ё</w:t>
      </w:r>
      <w:r w:rsidRPr="0071310D">
        <w:rPr>
          <w:sz w:val="24"/>
          <w:szCs w:val="24"/>
        </w:rPr>
        <w:t>тном периоде коммерческими банками и небанковским кредитными организациями было открыто 76 обменных пунктов и закрыто 126 обменных пункта. Процедуру перерегистрации в 2017 году прошло 365 обменных пунктов. Итого по состоянию на 1 января 2018 года действует 361 обменный пункт</w:t>
      </w:r>
      <w:r>
        <w:rPr>
          <w:sz w:val="24"/>
          <w:szCs w:val="24"/>
        </w:rPr>
        <w:t xml:space="preserve"> (411 – п</w:t>
      </w:r>
      <w:r w:rsidRPr="0071310D">
        <w:rPr>
          <w:sz w:val="24"/>
          <w:szCs w:val="24"/>
        </w:rPr>
        <w:t xml:space="preserve">о состоянию на 1 января </w:t>
      </w:r>
      <w:r>
        <w:rPr>
          <w:sz w:val="24"/>
          <w:szCs w:val="24"/>
        </w:rPr>
        <w:br/>
      </w:r>
      <w:r w:rsidRPr="0071310D">
        <w:rPr>
          <w:sz w:val="24"/>
          <w:szCs w:val="24"/>
        </w:rPr>
        <w:t>2017 года</w:t>
      </w:r>
      <w:r>
        <w:rPr>
          <w:sz w:val="24"/>
          <w:szCs w:val="24"/>
        </w:rPr>
        <w:t>)</w:t>
      </w:r>
      <w:r w:rsidRPr="0071310D">
        <w:rPr>
          <w:sz w:val="24"/>
          <w:szCs w:val="24"/>
        </w:rPr>
        <w:t>.</w:t>
      </w:r>
    </w:p>
    <w:p w:rsidR="004E2069" w:rsidRPr="00CE1D49" w:rsidRDefault="004E2069" w:rsidP="00D80B9D">
      <w:pPr>
        <w:widowControl w:val="0"/>
        <w:ind w:firstLine="425"/>
        <w:jc w:val="both"/>
        <w:rPr>
          <w:sz w:val="24"/>
          <w:szCs w:val="24"/>
        </w:rPr>
      </w:pPr>
      <w:r>
        <w:rPr>
          <w:sz w:val="24"/>
          <w:szCs w:val="24"/>
        </w:rPr>
        <w:t>В 2017 году была о</w:t>
      </w:r>
      <w:r w:rsidRPr="003D73E2">
        <w:rPr>
          <w:sz w:val="24"/>
          <w:szCs w:val="24"/>
        </w:rPr>
        <w:t xml:space="preserve">существлена регистрация (постановка на учёт) </w:t>
      </w:r>
      <w:r>
        <w:rPr>
          <w:sz w:val="24"/>
          <w:szCs w:val="24"/>
        </w:rPr>
        <w:br/>
      </w:r>
      <w:r w:rsidRPr="003D73E2">
        <w:rPr>
          <w:sz w:val="24"/>
          <w:szCs w:val="24"/>
        </w:rPr>
        <w:t>ЗАО «Агропромбанк»</w:t>
      </w:r>
      <w:r>
        <w:rPr>
          <w:sz w:val="24"/>
          <w:szCs w:val="24"/>
        </w:rPr>
        <w:t xml:space="preserve"> </w:t>
      </w:r>
      <w:r w:rsidRPr="003D73E2">
        <w:rPr>
          <w:sz w:val="24"/>
          <w:szCs w:val="24"/>
        </w:rPr>
        <w:t xml:space="preserve">в качестве банка-эквайрера банковских карт </w:t>
      </w:r>
      <w:r w:rsidRPr="00CE1D49">
        <w:rPr>
          <w:sz w:val="24"/>
          <w:szCs w:val="24"/>
        </w:rPr>
        <w:t>платёжной системы «Мир»</w:t>
      </w:r>
      <w:r>
        <w:rPr>
          <w:sz w:val="24"/>
          <w:szCs w:val="24"/>
        </w:rPr>
        <w:t>,</w:t>
      </w:r>
      <w:r w:rsidRPr="003D73E2">
        <w:rPr>
          <w:sz w:val="24"/>
          <w:szCs w:val="24"/>
        </w:rPr>
        <w:t xml:space="preserve"> </w:t>
      </w:r>
      <w:r w:rsidRPr="00CE1D49">
        <w:rPr>
          <w:sz w:val="24"/>
          <w:szCs w:val="24"/>
        </w:rPr>
        <w:t>а также о снятии с уч</w:t>
      </w:r>
      <w:r>
        <w:rPr>
          <w:sz w:val="24"/>
          <w:szCs w:val="24"/>
        </w:rPr>
        <w:t>ё</w:t>
      </w:r>
      <w:r w:rsidRPr="00CE1D49">
        <w:rPr>
          <w:sz w:val="24"/>
          <w:szCs w:val="24"/>
        </w:rPr>
        <w:t>та ЗАО «Агропромбанк» в качестве банка-эквайрера банковских карт международной плат</w:t>
      </w:r>
      <w:r>
        <w:rPr>
          <w:sz w:val="24"/>
          <w:szCs w:val="24"/>
        </w:rPr>
        <w:t>ё</w:t>
      </w:r>
      <w:r w:rsidRPr="00CE1D49">
        <w:rPr>
          <w:sz w:val="24"/>
          <w:szCs w:val="24"/>
        </w:rPr>
        <w:t>жной системы Di</w:t>
      </w:r>
      <w:r>
        <w:rPr>
          <w:sz w:val="24"/>
          <w:szCs w:val="24"/>
          <w:lang w:val="en-US"/>
        </w:rPr>
        <w:t>n</w:t>
      </w:r>
      <w:r w:rsidRPr="00CE1D49">
        <w:rPr>
          <w:sz w:val="24"/>
          <w:szCs w:val="24"/>
        </w:rPr>
        <w:t xml:space="preserve">ers Club International и </w:t>
      </w:r>
      <w:r>
        <w:rPr>
          <w:sz w:val="24"/>
          <w:szCs w:val="24"/>
        </w:rPr>
        <w:br/>
      </w:r>
      <w:r w:rsidRPr="00CE1D49">
        <w:rPr>
          <w:sz w:val="24"/>
          <w:szCs w:val="24"/>
        </w:rPr>
        <w:t>ОАО «Эксимбанк» в качестве банка</w:t>
      </w:r>
      <w:r>
        <w:rPr>
          <w:sz w:val="24"/>
          <w:szCs w:val="24"/>
        </w:rPr>
        <w:t>-</w:t>
      </w:r>
      <w:r w:rsidRPr="00CE1D49">
        <w:rPr>
          <w:sz w:val="24"/>
          <w:szCs w:val="24"/>
        </w:rPr>
        <w:t>эмитента и банка</w:t>
      </w:r>
      <w:r>
        <w:rPr>
          <w:sz w:val="24"/>
          <w:szCs w:val="24"/>
        </w:rPr>
        <w:t>-</w:t>
      </w:r>
      <w:r w:rsidRPr="00CE1D49">
        <w:rPr>
          <w:sz w:val="24"/>
          <w:szCs w:val="24"/>
        </w:rPr>
        <w:t>эквайрера карт плат</w:t>
      </w:r>
      <w:r>
        <w:rPr>
          <w:sz w:val="24"/>
          <w:szCs w:val="24"/>
        </w:rPr>
        <w:t>ё</w:t>
      </w:r>
      <w:r w:rsidRPr="00CE1D49">
        <w:rPr>
          <w:sz w:val="24"/>
          <w:szCs w:val="24"/>
        </w:rPr>
        <w:t>жной системы «ПАРТН</w:t>
      </w:r>
      <w:r>
        <w:rPr>
          <w:sz w:val="24"/>
          <w:szCs w:val="24"/>
        </w:rPr>
        <w:t>Ё</w:t>
      </w:r>
      <w:r w:rsidRPr="00CE1D49">
        <w:rPr>
          <w:sz w:val="24"/>
          <w:szCs w:val="24"/>
        </w:rPr>
        <w:t xml:space="preserve">Р». Зарегистрированы изменения и дополнения ряда внутренних правил, положений и регламентов платёжной системы «Радуга», принадлежащей </w:t>
      </w:r>
      <w:r>
        <w:rPr>
          <w:sz w:val="24"/>
          <w:szCs w:val="24"/>
        </w:rPr>
        <w:br/>
      </w:r>
      <w:r w:rsidRPr="00CE1D49">
        <w:rPr>
          <w:sz w:val="24"/>
          <w:szCs w:val="24"/>
        </w:rPr>
        <w:t xml:space="preserve">ЗАО «Агропромбанк». </w:t>
      </w:r>
      <w:r w:rsidRPr="003D73E2">
        <w:rPr>
          <w:sz w:val="24"/>
          <w:szCs w:val="24"/>
        </w:rPr>
        <w:t>Соответствующие записи внесены в Реестр банков-эмитентов и банков-эквайреров.</w:t>
      </w:r>
    </w:p>
    <w:p w:rsidR="004E2069" w:rsidRPr="003D73E2" w:rsidRDefault="004E2069" w:rsidP="00D80B9D">
      <w:pPr>
        <w:widowControl w:val="0"/>
        <w:ind w:firstLine="425"/>
        <w:jc w:val="both"/>
        <w:rPr>
          <w:sz w:val="24"/>
          <w:szCs w:val="24"/>
        </w:rPr>
      </w:pPr>
      <w:r w:rsidRPr="003D73E2">
        <w:rPr>
          <w:sz w:val="24"/>
          <w:szCs w:val="24"/>
        </w:rPr>
        <w:t>Во исполнение законодательно установленных функций в сфере регистрации и лицензирования в отчётном году Приднестровским республиканским банком были также приняты:</w:t>
      </w:r>
    </w:p>
    <w:p w:rsidR="004E2069" w:rsidRDefault="004E2069" w:rsidP="00D80B9D">
      <w:pPr>
        <w:numPr>
          <w:ilvl w:val="0"/>
          <w:numId w:val="5"/>
        </w:numPr>
        <w:tabs>
          <w:tab w:val="left" w:pos="567"/>
        </w:tabs>
        <w:jc w:val="both"/>
        <w:rPr>
          <w:sz w:val="24"/>
          <w:szCs w:val="24"/>
        </w:rPr>
      </w:pPr>
      <w:r w:rsidRPr="00231B18">
        <w:rPr>
          <w:sz w:val="24"/>
          <w:szCs w:val="24"/>
        </w:rPr>
        <w:t>решение о прекращении статуса кредитной организации и исключения из книги государственной регистрации кредитных организаций;</w:t>
      </w:r>
    </w:p>
    <w:p w:rsidR="004E2069" w:rsidRPr="003D73E2" w:rsidRDefault="004E2069" w:rsidP="00D80B9D">
      <w:pPr>
        <w:numPr>
          <w:ilvl w:val="0"/>
          <w:numId w:val="5"/>
        </w:numPr>
        <w:tabs>
          <w:tab w:val="left" w:pos="567"/>
        </w:tabs>
        <w:jc w:val="both"/>
        <w:rPr>
          <w:sz w:val="24"/>
          <w:szCs w:val="24"/>
        </w:rPr>
      </w:pPr>
      <w:r>
        <w:rPr>
          <w:sz w:val="24"/>
          <w:szCs w:val="24"/>
        </w:rPr>
        <w:t>18</w:t>
      </w:r>
      <w:r w:rsidRPr="003D73E2">
        <w:rPr>
          <w:sz w:val="24"/>
          <w:szCs w:val="24"/>
        </w:rPr>
        <w:t xml:space="preserve"> решений о государственной регистрации изменений в учредительных документах кредитных организаций республики;</w:t>
      </w:r>
    </w:p>
    <w:p w:rsidR="004E2069" w:rsidRPr="003D73E2" w:rsidRDefault="004E2069" w:rsidP="00D80B9D">
      <w:pPr>
        <w:numPr>
          <w:ilvl w:val="0"/>
          <w:numId w:val="5"/>
        </w:numPr>
        <w:tabs>
          <w:tab w:val="left" w:pos="567"/>
        </w:tabs>
        <w:jc w:val="both"/>
        <w:rPr>
          <w:sz w:val="24"/>
          <w:szCs w:val="24"/>
        </w:rPr>
      </w:pPr>
      <w:r w:rsidRPr="00A86C93">
        <w:rPr>
          <w:sz w:val="22"/>
          <w:szCs w:val="22"/>
        </w:rPr>
        <w:t>22</w:t>
      </w:r>
      <w:r w:rsidRPr="003D73E2">
        <w:rPr>
          <w:sz w:val="24"/>
          <w:szCs w:val="24"/>
        </w:rPr>
        <w:t xml:space="preserve"> решени</w:t>
      </w:r>
      <w:r>
        <w:rPr>
          <w:sz w:val="24"/>
          <w:szCs w:val="24"/>
        </w:rPr>
        <w:t>я</w:t>
      </w:r>
      <w:r w:rsidRPr="003D73E2">
        <w:rPr>
          <w:sz w:val="24"/>
          <w:szCs w:val="24"/>
        </w:rPr>
        <w:t xml:space="preserve"> о согласовании в должности руководителей кредитных организаций.</w:t>
      </w:r>
    </w:p>
    <w:p w:rsidR="004E2069" w:rsidRDefault="004E2069" w:rsidP="00D80B9D">
      <w:pPr>
        <w:widowControl w:val="0"/>
        <w:ind w:firstLine="425"/>
        <w:jc w:val="both"/>
        <w:rPr>
          <w:sz w:val="24"/>
          <w:szCs w:val="24"/>
        </w:rPr>
      </w:pPr>
      <w:r w:rsidRPr="003D73E2">
        <w:rPr>
          <w:sz w:val="24"/>
          <w:szCs w:val="24"/>
        </w:rPr>
        <w:t>В течение 201</w:t>
      </w:r>
      <w:r>
        <w:rPr>
          <w:sz w:val="24"/>
          <w:szCs w:val="24"/>
        </w:rPr>
        <w:t>7</w:t>
      </w:r>
      <w:r w:rsidRPr="003D73E2">
        <w:rPr>
          <w:sz w:val="24"/>
          <w:szCs w:val="24"/>
        </w:rPr>
        <w:t xml:space="preserve"> года в результате проведения камерального надзора (контроля) в сфере регистрации и лицензирования по фактам нарушения действующего законодательства, в том числе нормативно-правовых актов Приднестровского республиканского банка, были составлены и направлены кредитным организациям 1</w:t>
      </w:r>
      <w:r>
        <w:rPr>
          <w:sz w:val="24"/>
          <w:szCs w:val="24"/>
        </w:rPr>
        <w:t>7</w:t>
      </w:r>
      <w:r w:rsidRPr="003D73E2">
        <w:rPr>
          <w:sz w:val="24"/>
          <w:szCs w:val="24"/>
        </w:rPr>
        <w:t xml:space="preserve"> актов и </w:t>
      </w:r>
      <w:r>
        <w:rPr>
          <w:sz w:val="24"/>
          <w:szCs w:val="24"/>
        </w:rPr>
        <w:t>7</w:t>
      </w:r>
      <w:r w:rsidRPr="003D73E2">
        <w:rPr>
          <w:sz w:val="24"/>
          <w:szCs w:val="24"/>
        </w:rPr>
        <w:t xml:space="preserve"> предписания. </w:t>
      </w:r>
    </w:p>
    <w:p w:rsidR="004E2069" w:rsidRDefault="004E2069" w:rsidP="00D80B9D">
      <w:pPr>
        <w:widowControl w:val="0"/>
        <w:ind w:firstLine="425"/>
        <w:jc w:val="both"/>
        <w:rPr>
          <w:sz w:val="24"/>
          <w:szCs w:val="24"/>
        </w:rPr>
      </w:pPr>
    </w:p>
    <w:p w:rsidR="004E2069" w:rsidRPr="00630561" w:rsidRDefault="004E2069" w:rsidP="00891B10">
      <w:pPr>
        <w:widowControl w:val="0"/>
        <w:spacing w:after="120"/>
        <w:ind w:left="11" w:firstLine="425"/>
        <w:jc w:val="both"/>
        <w:rPr>
          <w:i/>
          <w:iCs/>
          <w:sz w:val="24"/>
          <w:szCs w:val="24"/>
        </w:rPr>
      </w:pPr>
      <w:r w:rsidRPr="00630561">
        <w:rPr>
          <w:i/>
          <w:iCs/>
          <w:sz w:val="24"/>
          <w:szCs w:val="24"/>
        </w:rPr>
        <w:t>Дистанционный надзор</w:t>
      </w:r>
    </w:p>
    <w:p w:rsidR="004E2069" w:rsidRDefault="004E2069" w:rsidP="00EC5072">
      <w:pPr>
        <w:ind w:firstLine="567"/>
        <w:jc w:val="both"/>
        <w:rPr>
          <w:sz w:val="24"/>
          <w:szCs w:val="24"/>
        </w:rPr>
      </w:pPr>
      <w:r w:rsidRPr="00630561">
        <w:rPr>
          <w:sz w:val="24"/>
          <w:szCs w:val="24"/>
        </w:rPr>
        <w:t>Главной задачей дистанционного надзора являлось принятие комплекса мер надзорного реагирования, направленных на обеспечение</w:t>
      </w:r>
      <w:r>
        <w:rPr>
          <w:sz w:val="24"/>
          <w:szCs w:val="24"/>
        </w:rPr>
        <w:t xml:space="preserve"> </w:t>
      </w:r>
      <w:r w:rsidRPr="00630561">
        <w:rPr>
          <w:sz w:val="24"/>
          <w:szCs w:val="24"/>
        </w:rPr>
        <w:t>функционирования банков, защиту интересов кредиторов банков, минимизацию рисков и издержек, связанных с ними, а именно: осуществление мониторинга уровня рисков, принятых в конкретном банке, соблюдения банком пруденциальных норм деятельности, а также cбор данных для определения приоритетов распределения надзорных ресурсов и планирования инспекционных проверок.</w:t>
      </w:r>
    </w:p>
    <w:p w:rsidR="004E2069" w:rsidRPr="00E95790" w:rsidRDefault="004E2069" w:rsidP="00EC5072">
      <w:pPr>
        <w:ind w:firstLine="567"/>
        <w:jc w:val="both"/>
        <w:rPr>
          <w:sz w:val="24"/>
          <w:szCs w:val="24"/>
        </w:rPr>
      </w:pPr>
      <w:r w:rsidRPr="00E95790">
        <w:rPr>
          <w:sz w:val="24"/>
          <w:szCs w:val="24"/>
        </w:rPr>
        <w:t>В ходе осуществления дистанционного надзора центральный банк определял соответствие проводимых кредитными организациями операций функциям и задачам, свойственным непосредст</w:t>
      </w:r>
      <w:r>
        <w:rPr>
          <w:sz w:val="24"/>
          <w:szCs w:val="24"/>
        </w:rPr>
        <w:t>в</w:t>
      </w:r>
      <w:r w:rsidRPr="00E95790">
        <w:rPr>
          <w:sz w:val="24"/>
          <w:szCs w:val="24"/>
        </w:rPr>
        <w:t>енно банковским учреждениям, а также требованиям законодательства. Проводилась работа по усилению дистанционного надзора в части совершенствования анализа показателей деятельности банков и соблюдения установленных нормативов.</w:t>
      </w:r>
    </w:p>
    <w:p w:rsidR="004E2069" w:rsidRPr="005120A6" w:rsidRDefault="004E2069" w:rsidP="00D80B9D">
      <w:pPr>
        <w:ind w:firstLine="425"/>
        <w:jc w:val="both"/>
        <w:rPr>
          <w:rFonts w:eastAsia="Times-Roman"/>
          <w:sz w:val="24"/>
          <w:szCs w:val="24"/>
        </w:rPr>
      </w:pPr>
      <w:r w:rsidRPr="00E95790">
        <w:rPr>
          <w:rFonts w:eastAsia="Times-Roman"/>
          <w:sz w:val="24"/>
          <w:szCs w:val="24"/>
        </w:rPr>
        <w:t>По результатам анализа отчётности в течение 2017</w:t>
      </w:r>
      <w:r w:rsidRPr="00630561">
        <w:rPr>
          <w:rFonts w:eastAsia="Times-Roman"/>
          <w:sz w:val="24"/>
          <w:szCs w:val="24"/>
        </w:rPr>
        <w:t xml:space="preserve"> года в деятельности кредитных организаций имели место нарушения действующего</w:t>
      </w:r>
      <w:r w:rsidRPr="005120A6">
        <w:rPr>
          <w:rFonts w:eastAsia="Times-Roman"/>
          <w:sz w:val="24"/>
          <w:szCs w:val="24"/>
        </w:rPr>
        <w:t xml:space="preserve"> законодательства республики, в том числе нормативных актов </w:t>
      </w:r>
      <w:r>
        <w:rPr>
          <w:rFonts w:eastAsia="Times-Roman"/>
          <w:sz w:val="24"/>
          <w:szCs w:val="24"/>
        </w:rPr>
        <w:t>Приднестровского республиканского банка</w:t>
      </w:r>
      <w:r w:rsidRPr="005120A6">
        <w:rPr>
          <w:rFonts w:eastAsia="Times-Roman"/>
          <w:sz w:val="24"/>
          <w:szCs w:val="24"/>
        </w:rPr>
        <w:t xml:space="preserve">. По данным фактам составлены и направлены </w:t>
      </w:r>
      <w:r w:rsidRPr="005D59A0">
        <w:rPr>
          <w:rFonts w:eastAsia="Times-Roman"/>
          <w:sz w:val="24"/>
          <w:szCs w:val="24"/>
        </w:rPr>
        <w:t>40 актов и 24 предписаний</w:t>
      </w:r>
      <w:r w:rsidRPr="005120A6">
        <w:rPr>
          <w:rFonts w:eastAsia="Times-Roman"/>
          <w:sz w:val="24"/>
          <w:szCs w:val="24"/>
        </w:rPr>
        <w:t xml:space="preserve"> по устранению выявленных нарушений. </w:t>
      </w:r>
    </w:p>
    <w:p w:rsidR="004E2069" w:rsidRDefault="004E2069" w:rsidP="00D80B9D">
      <w:pPr>
        <w:ind w:firstLine="425"/>
        <w:jc w:val="both"/>
        <w:rPr>
          <w:rFonts w:eastAsia="Times-Roman"/>
          <w:sz w:val="24"/>
          <w:szCs w:val="24"/>
        </w:rPr>
      </w:pPr>
      <w:r w:rsidRPr="005120A6">
        <w:rPr>
          <w:rFonts w:eastAsia="Times-Roman"/>
          <w:sz w:val="24"/>
          <w:szCs w:val="24"/>
        </w:rPr>
        <w:t xml:space="preserve">В ходе осуществления дистанционного надзора была выявлена необходимость внесения дополнений и изменений в нормативные акты </w:t>
      </w:r>
      <w:r>
        <w:rPr>
          <w:rFonts w:eastAsia="Times-Roman"/>
          <w:sz w:val="24"/>
          <w:szCs w:val="24"/>
        </w:rPr>
        <w:t>Приднестровского республиканского банка</w:t>
      </w:r>
      <w:r w:rsidRPr="005120A6">
        <w:rPr>
          <w:rFonts w:eastAsia="Times-Roman"/>
          <w:sz w:val="24"/>
          <w:szCs w:val="24"/>
        </w:rPr>
        <w:t xml:space="preserve">, направленных на совершенствование регулирования банковской деятельности. </w:t>
      </w:r>
    </w:p>
    <w:p w:rsidR="004E2069" w:rsidRPr="003D73E2" w:rsidRDefault="004E2069" w:rsidP="00D80B9D">
      <w:pPr>
        <w:widowControl w:val="0"/>
        <w:spacing w:before="120" w:after="120"/>
        <w:ind w:left="425"/>
        <w:jc w:val="both"/>
        <w:rPr>
          <w:i/>
          <w:iCs/>
          <w:sz w:val="24"/>
          <w:szCs w:val="24"/>
        </w:rPr>
      </w:pPr>
      <w:r w:rsidRPr="00F61818">
        <w:rPr>
          <w:i/>
          <w:iCs/>
          <w:sz w:val="24"/>
          <w:szCs w:val="24"/>
        </w:rPr>
        <w:t>Банковское регулирование</w:t>
      </w:r>
    </w:p>
    <w:p w:rsidR="004E2069" w:rsidRDefault="004E2069" w:rsidP="00D80B9D">
      <w:pPr>
        <w:ind w:firstLine="425"/>
        <w:jc w:val="both"/>
        <w:rPr>
          <w:rFonts w:eastAsia="Times-Roman"/>
          <w:sz w:val="24"/>
          <w:szCs w:val="24"/>
        </w:rPr>
      </w:pPr>
      <w:r w:rsidRPr="00FD53D1">
        <w:rPr>
          <w:rFonts w:eastAsia="Times-Roman"/>
          <w:sz w:val="24"/>
          <w:szCs w:val="24"/>
        </w:rPr>
        <w:t xml:space="preserve">В целях обеспечения стабильности банковской системы и защиты интересов вкладчиков и кредиторов </w:t>
      </w:r>
      <w:r w:rsidRPr="003D73E2">
        <w:rPr>
          <w:sz w:val="24"/>
          <w:szCs w:val="24"/>
        </w:rPr>
        <w:t>Приднестровски</w:t>
      </w:r>
      <w:r>
        <w:rPr>
          <w:sz w:val="24"/>
          <w:szCs w:val="24"/>
        </w:rPr>
        <w:t>й</w:t>
      </w:r>
      <w:r w:rsidRPr="003D73E2">
        <w:rPr>
          <w:sz w:val="24"/>
          <w:szCs w:val="24"/>
        </w:rPr>
        <w:t xml:space="preserve"> республикански</w:t>
      </w:r>
      <w:r>
        <w:rPr>
          <w:sz w:val="24"/>
          <w:szCs w:val="24"/>
        </w:rPr>
        <w:t>й</w:t>
      </w:r>
      <w:r w:rsidRPr="003D73E2">
        <w:rPr>
          <w:sz w:val="24"/>
          <w:szCs w:val="24"/>
        </w:rPr>
        <w:t xml:space="preserve"> банк</w:t>
      </w:r>
      <w:r w:rsidRPr="00FD53D1">
        <w:rPr>
          <w:rFonts w:eastAsia="Times-Roman"/>
          <w:sz w:val="24"/>
          <w:szCs w:val="24"/>
        </w:rPr>
        <w:t xml:space="preserve"> осуществляет надзор и регулирование деятельности банков и небанковских кредитных </w:t>
      </w:r>
      <w:r w:rsidRPr="000B58B8">
        <w:rPr>
          <w:rFonts w:eastAsia="Times-Roman"/>
          <w:sz w:val="24"/>
          <w:szCs w:val="24"/>
        </w:rPr>
        <w:t>организаций</w:t>
      </w:r>
      <w:r w:rsidRPr="00FD53D1">
        <w:rPr>
          <w:rFonts w:eastAsia="Times-Roman"/>
          <w:sz w:val="24"/>
          <w:szCs w:val="24"/>
        </w:rPr>
        <w:t xml:space="preserve">, в соответствии с законодательством </w:t>
      </w:r>
      <w:r>
        <w:rPr>
          <w:rFonts w:eastAsia="Times-Roman"/>
          <w:sz w:val="24"/>
          <w:szCs w:val="24"/>
        </w:rPr>
        <w:t>республики</w:t>
      </w:r>
      <w:r w:rsidRPr="00FD53D1">
        <w:rPr>
          <w:rFonts w:eastAsia="Times-Roman"/>
          <w:sz w:val="24"/>
          <w:szCs w:val="24"/>
        </w:rPr>
        <w:t>. Основным инструментом исполнения функций надзора и регулирования является сочетание внешнего надзора с проведением комплексных и специализированных проверок.</w:t>
      </w:r>
    </w:p>
    <w:p w:rsidR="004E2069" w:rsidRDefault="004E2069" w:rsidP="00D80B9D">
      <w:pPr>
        <w:ind w:firstLine="425"/>
        <w:jc w:val="both"/>
        <w:rPr>
          <w:rFonts w:eastAsia="Times-Roman"/>
          <w:sz w:val="24"/>
          <w:szCs w:val="24"/>
        </w:rPr>
      </w:pPr>
      <w:r w:rsidRPr="003D73E2">
        <w:rPr>
          <w:rFonts w:eastAsia="Times-Roman"/>
          <w:sz w:val="24"/>
          <w:szCs w:val="24"/>
        </w:rPr>
        <w:t>В 201</w:t>
      </w:r>
      <w:r>
        <w:rPr>
          <w:rFonts w:eastAsia="Times-Roman"/>
          <w:sz w:val="24"/>
          <w:szCs w:val="24"/>
        </w:rPr>
        <w:t>7</w:t>
      </w:r>
      <w:r w:rsidRPr="003D73E2">
        <w:rPr>
          <w:rFonts w:eastAsia="Times-Roman"/>
          <w:sz w:val="24"/>
          <w:szCs w:val="24"/>
        </w:rPr>
        <w:t xml:space="preserve"> году была продолжена работа по </w:t>
      </w:r>
      <w:r>
        <w:rPr>
          <w:rFonts w:eastAsia="Times-Roman"/>
          <w:sz w:val="24"/>
          <w:szCs w:val="24"/>
        </w:rPr>
        <w:t>улучшению</w:t>
      </w:r>
      <w:r w:rsidRPr="003D73E2">
        <w:rPr>
          <w:rFonts w:eastAsia="Times-Roman"/>
          <w:sz w:val="24"/>
          <w:szCs w:val="24"/>
        </w:rPr>
        <w:t xml:space="preserve"> банковского регулирования. </w:t>
      </w:r>
      <w:r>
        <w:rPr>
          <w:rFonts w:eastAsia="Times-Roman"/>
          <w:sz w:val="24"/>
          <w:szCs w:val="24"/>
        </w:rPr>
        <w:t>Основной акцент был сделан</w:t>
      </w:r>
      <w:r w:rsidRPr="003D73E2">
        <w:rPr>
          <w:rFonts w:eastAsia="Times-Roman"/>
          <w:sz w:val="24"/>
          <w:szCs w:val="24"/>
        </w:rPr>
        <w:t xml:space="preserve"> на </w:t>
      </w:r>
      <w:r w:rsidRPr="000B58B8">
        <w:rPr>
          <w:rFonts w:eastAsia="Times-Roman"/>
          <w:sz w:val="24"/>
          <w:szCs w:val="24"/>
        </w:rPr>
        <w:t xml:space="preserve">выявлении </w:t>
      </w:r>
      <w:r w:rsidRPr="00FD53D1">
        <w:rPr>
          <w:rFonts w:eastAsia="Times-Roman"/>
          <w:sz w:val="24"/>
          <w:szCs w:val="24"/>
        </w:rPr>
        <w:t>негативных</w:t>
      </w:r>
      <w:r w:rsidRPr="000B58B8">
        <w:rPr>
          <w:rFonts w:eastAsia="Times-Roman"/>
          <w:sz w:val="24"/>
          <w:szCs w:val="24"/>
        </w:rPr>
        <w:t xml:space="preserve"> </w:t>
      </w:r>
      <w:r w:rsidRPr="00FD53D1">
        <w:rPr>
          <w:rFonts w:eastAsia="Times-Roman"/>
          <w:sz w:val="24"/>
          <w:szCs w:val="24"/>
        </w:rPr>
        <w:t>тенденций</w:t>
      </w:r>
      <w:r w:rsidRPr="000B58B8">
        <w:rPr>
          <w:rFonts w:eastAsia="Times-Roman"/>
          <w:sz w:val="24"/>
          <w:szCs w:val="24"/>
        </w:rPr>
        <w:t xml:space="preserve"> и </w:t>
      </w:r>
      <w:r w:rsidRPr="00FD53D1">
        <w:rPr>
          <w:rFonts w:eastAsia="Times-Roman"/>
          <w:sz w:val="24"/>
          <w:szCs w:val="24"/>
        </w:rPr>
        <w:t>кризисных</w:t>
      </w:r>
      <w:r w:rsidRPr="000B58B8">
        <w:rPr>
          <w:rFonts w:eastAsia="Times-Roman"/>
          <w:sz w:val="24"/>
          <w:szCs w:val="24"/>
        </w:rPr>
        <w:t xml:space="preserve"> </w:t>
      </w:r>
      <w:r w:rsidRPr="00FD53D1">
        <w:rPr>
          <w:rFonts w:eastAsia="Times-Roman"/>
          <w:sz w:val="24"/>
          <w:szCs w:val="24"/>
        </w:rPr>
        <w:t>явлений</w:t>
      </w:r>
      <w:r w:rsidRPr="000B58B8">
        <w:rPr>
          <w:rFonts w:eastAsia="Times-Roman"/>
          <w:sz w:val="24"/>
          <w:szCs w:val="24"/>
        </w:rPr>
        <w:t xml:space="preserve"> </w:t>
      </w:r>
      <w:r w:rsidRPr="00FD53D1">
        <w:rPr>
          <w:rFonts w:eastAsia="Times-Roman"/>
          <w:sz w:val="24"/>
          <w:szCs w:val="24"/>
        </w:rPr>
        <w:t>на</w:t>
      </w:r>
      <w:r w:rsidRPr="000B58B8">
        <w:rPr>
          <w:rFonts w:eastAsia="Times-Roman"/>
          <w:sz w:val="24"/>
          <w:szCs w:val="24"/>
        </w:rPr>
        <w:t xml:space="preserve"> </w:t>
      </w:r>
      <w:r w:rsidRPr="00FD53D1">
        <w:rPr>
          <w:rFonts w:eastAsia="Times-Roman"/>
          <w:sz w:val="24"/>
          <w:szCs w:val="24"/>
        </w:rPr>
        <w:t>ранних</w:t>
      </w:r>
      <w:r w:rsidRPr="000B58B8">
        <w:rPr>
          <w:rFonts w:eastAsia="Times-Roman"/>
          <w:sz w:val="24"/>
          <w:szCs w:val="24"/>
        </w:rPr>
        <w:t xml:space="preserve"> </w:t>
      </w:r>
      <w:r w:rsidRPr="00FD53D1">
        <w:rPr>
          <w:rFonts w:eastAsia="Times-Roman"/>
          <w:sz w:val="24"/>
          <w:szCs w:val="24"/>
        </w:rPr>
        <w:t xml:space="preserve">стадиях. </w:t>
      </w:r>
      <w:r>
        <w:rPr>
          <w:rFonts w:eastAsia="Times-Roman"/>
          <w:sz w:val="24"/>
          <w:szCs w:val="24"/>
        </w:rPr>
        <w:t>Продолжи</w:t>
      </w:r>
      <w:r w:rsidRPr="00F03497">
        <w:rPr>
          <w:rFonts w:eastAsia="Times-Roman"/>
          <w:sz w:val="24"/>
          <w:szCs w:val="24"/>
        </w:rPr>
        <w:t>лось совершенствование отч</w:t>
      </w:r>
      <w:r>
        <w:rPr>
          <w:rFonts w:eastAsia="Times-Roman"/>
          <w:sz w:val="24"/>
          <w:szCs w:val="24"/>
        </w:rPr>
        <w:t>ё</w:t>
      </w:r>
      <w:r w:rsidRPr="00F03497">
        <w:rPr>
          <w:rFonts w:eastAsia="Times-Roman"/>
          <w:sz w:val="24"/>
          <w:szCs w:val="24"/>
        </w:rPr>
        <w:t xml:space="preserve">тности кредитных организаций в целях получения всей полноты информации о характере и размерах принимаемых рисков и процедурах управления ими, позволяющей осуществлять постоянный мониторинг основных рисков. </w:t>
      </w:r>
    </w:p>
    <w:p w:rsidR="004E2069" w:rsidRPr="00F03497" w:rsidRDefault="004E2069" w:rsidP="00D80B9D">
      <w:pPr>
        <w:ind w:firstLine="425"/>
        <w:jc w:val="both"/>
        <w:rPr>
          <w:rFonts w:eastAsia="Times-Roman"/>
          <w:sz w:val="24"/>
          <w:szCs w:val="24"/>
        </w:rPr>
      </w:pPr>
      <w:r>
        <w:rPr>
          <w:rFonts w:eastAsia="Times-Roman"/>
          <w:sz w:val="24"/>
          <w:szCs w:val="24"/>
        </w:rPr>
        <w:t>В</w:t>
      </w:r>
      <w:r w:rsidRPr="000B58B8">
        <w:rPr>
          <w:rFonts w:eastAsia="Times-Roman"/>
          <w:sz w:val="24"/>
          <w:szCs w:val="24"/>
        </w:rPr>
        <w:t xml:space="preserve"> течение </w:t>
      </w:r>
      <w:r>
        <w:rPr>
          <w:rFonts w:eastAsia="Times-Roman"/>
          <w:sz w:val="24"/>
          <w:szCs w:val="24"/>
        </w:rPr>
        <w:t>отчётного</w:t>
      </w:r>
      <w:r w:rsidRPr="000B58B8">
        <w:rPr>
          <w:rFonts w:eastAsia="Times-Roman"/>
          <w:sz w:val="24"/>
          <w:szCs w:val="24"/>
        </w:rPr>
        <w:t xml:space="preserve"> года </w:t>
      </w:r>
      <w:r w:rsidRPr="003D73E2">
        <w:rPr>
          <w:rFonts w:eastAsia="Times-Roman"/>
          <w:sz w:val="24"/>
          <w:szCs w:val="24"/>
        </w:rPr>
        <w:t xml:space="preserve">в нормативные акты центрального банка, </w:t>
      </w:r>
      <w:r>
        <w:rPr>
          <w:rFonts w:eastAsia="Times-Roman"/>
          <w:sz w:val="24"/>
          <w:szCs w:val="24"/>
        </w:rPr>
        <w:t>регламентирующие</w:t>
      </w:r>
      <w:r w:rsidRPr="003D73E2">
        <w:rPr>
          <w:rFonts w:eastAsia="Times-Roman"/>
          <w:sz w:val="24"/>
          <w:szCs w:val="24"/>
        </w:rPr>
        <w:t xml:space="preserve"> банковские риски, исходя из опыта практического применения, </w:t>
      </w:r>
      <w:r w:rsidRPr="009F18A1">
        <w:rPr>
          <w:rFonts w:eastAsia="Times-Roman"/>
          <w:sz w:val="24"/>
          <w:szCs w:val="24"/>
        </w:rPr>
        <w:t>были внесены ряд изменений и дополнений.</w:t>
      </w:r>
      <w:r>
        <w:rPr>
          <w:rFonts w:eastAsia="Times-Roman"/>
          <w:sz w:val="24"/>
          <w:szCs w:val="24"/>
        </w:rPr>
        <w:t xml:space="preserve"> </w:t>
      </w:r>
      <w:r w:rsidRPr="0034298D">
        <w:rPr>
          <w:rFonts w:eastAsia="Times-Roman"/>
          <w:sz w:val="24"/>
          <w:szCs w:val="24"/>
        </w:rPr>
        <w:t xml:space="preserve">В 2017 году </w:t>
      </w:r>
      <w:r w:rsidRPr="00F03497">
        <w:rPr>
          <w:rFonts w:eastAsia="Times-Roman"/>
          <w:sz w:val="24"/>
          <w:szCs w:val="24"/>
        </w:rPr>
        <w:t xml:space="preserve">продолжили действовать реализованные в 2015 году антикризисные меры Приднестровского республиканского банка, </w:t>
      </w:r>
      <w:r w:rsidRPr="0034298D">
        <w:rPr>
          <w:rFonts w:eastAsia="Times-Roman"/>
          <w:sz w:val="24"/>
          <w:szCs w:val="24"/>
        </w:rPr>
        <w:t>направленные на смягчение пруденциальных требований к банкам</w:t>
      </w:r>
      <w:r w:rsidRPr="00F03497">
        <w:rPr>
          <w:rFonts w:eastAsia="Times-Roman"/>
          <w:sz w:val="24"/>
          <w:szCs w:val="24"/>
        </w:rPr>
        <w:t xml:space="preserve">. </w:t>
      </w:r>
      <w:r w:rsidRPr="0034298D">
        <w:rPr>
          <w:rFonts w:eastAsia="Times-Roman"/>
          <w:sz w:val="24"/>
          <w:szCs w:val="24"/>
        </w:rPr>
        <w:t>Данные антикризисны</w:t>
      </w:r>
      <w:r>
        <w:rPr>
          <w:rFonts w:eastAsia="Times-Roman"/>
          <w:sz w:val="24"/>
          <w:szCs w:val="24"/>
        </w:rPr>
        <w:t>е</w:t>
      </w:r>
      <w:r w:rsidRPr="0034298D">
        <w:rPr>
          <w:rFonts w:eastAsia="Times-Roman"/>
          <w:sz w:val="24"/>
          <w:szCs w:val="24"/>
        </w:rPr>
        <w:t xml:space="preserve"> меры установлены Указанием ПРБ от 23 января 2016 года </w:t>
      </w:r>
      <w:r>
        <w:rPr>
          <w:rFonts w:eastAsia="Times-Roman"/>
          <w:sz w:val="24"/>
          <w:szCs w:val="24"/>
        </w:rPr>
        <w:t>№</w:t>
      </w:r>
      <w:r w:rsidRPr="0034298D">
        <w:rPr>
          <w:rFonts w:eastAsia="Times-Roman"/>
          <w:sz w:val="24"/>
          <w:szCs w:val="24"/>
        </w:rPr>
        <w:t xml:space="preserve"> 889-У «О временном порядке применения некоторых нормативных актов Приднестровского республиканского банка», </w:t>
      </w:r>
      <w:r w:rsidRPr="00F03497">
        <w:rPr>
          <w:rFonts w:eastAsia="Times-Roman"/>
          <w:sz w:val="24"/>
          <w:szCs w:val="24"/>
        </w:rPr>
        <w:t>содержащим положения, разрешающие банкам:</w:t>
      </w:r>
    </w:p>
    <w:p w:rsidR="004E2069" w:rsidRPr="003D73E2" w:rsidRDefault="004E2069" w:rsidP="00D80B9D">
      <w:pPr>
        <w:widowControl w:val="0"/>
        <w:ind w:firstLine="425"/>
        <w:jc w:val="both"/>
        <w:rPr>
          <w:rFonts w:eastAsia="Times-Roman"/>
          <w:sz w:val="24"/>
          <w:szCs w:val="24"/>
        </w:rPr>
      </w:pPr>
      <w:r w:rsidRPr="003D73E2">
        <w:rPr>
          <w:rFonts w:eastAsia="Times-Roman"/>
          <w:sz w:val="24"/>
          <w:szCs w:val="24"/>
        </w:rPr>
        <w:t>- не ухудшать финансовое состояние и качество обслуживания долга заёмщикам, столкнувшимся с проблемами экономического кризиса;</w:t>
      </w:r>
    </w:p>
    <w:p w:rsidR="004E2069" w:rsidRPr="003D73E2" w:rsidRDefault="004E2069" w:rsidP="00D80B9D">
      <w:pPr>
        <w:widowControl w:val="0"/>
        <w:ind w:firstLine="425"/>
        <w:jc w:val="both"/>
        <w:rPr>
          <w:rFonts w:eastAsia="Times-Roman"/>
          <w:sz w:val="24"/>
          <w:szCs w:val="24"/>
        </w:rPr>
      </w:pPr>
      <w:r w:rsidRPr="003D73E2">
        <w:rPr>
          <w:rFonts w:eastAsia="Times-Roman"/>
          <w:sz w:val="24"/>
          <w:szCs w:val="24"/>
        </w:rPr>
        <w:t>- учитывать рейтинги международных рейтинговых агентств, присвоенные до 1 марта 2014 года;</w:t>
      </w:r>
    </w:p>
    <w:p w:rsidR="004E2069" w:rsidRPr="003D73E2" w:rsidRDefault="004E2069" w:rsidP="00D80B9D">
      <w:pPr>
        <w:widowControl w:val="0"/>
        <w:ind w:firstLine="425"/>
        <w:jc w:val="both"/>
        <w:rPr>
          <w:rFonts w:eastAsia="Times-Roman"/>
          <w:sz w:val="24"/>
          <w:szCs w:val="24"/>
        </w:rPr>
      </w:pPr>
      <w:r w:rsidRPr="003D73E2">
        <w:rPr>
          <w:rFonts w:eastAsia="Times-Roman"/>
          <w:sz w:val="24"/>
          <w:szCs w:val="24"/>
        </w:rPr>
        <w:t>- устанавливать коэффициент риска для вложений в непрофильные активы в размере 0%.</w:t>
      </w:r>
    </w:p>
    <w:p w:rsidR="004E2069" w:rsidRDefault="004E2069" w:rsidP="00D80B9D">
      <w:pPr>
        <w:widowControl w:val="0"/>
        <w:ind w:firstLine="425"/>
        <w:jc w:val="both"/>
        <w:rPr>
          <w:rFonts w:eastAsia="Times-Roman"/>
          <w:sz w:val="24"/>
          <w:szCs w:val="24"/>
        </w:rPr>
      </w:pPr>
      <w:r w:rsidRPr="0034298D">
        <w:rPr>
          <w:rFonts w:eastAsia="Times-Roman"/>
          <w:sz w:val="24"/>
          <w:szCs w:val="24"/>
        </w:rPr>
        <w:t>В то же время в отчётном году к банкам стали применяться меры воздействия за нарушение отдельных лимитов валютного риска</w:t>
      </w:r>
      <w:r w:rsidRPr="00785075">
        <w:rPr>
          <w:rFonts w:eastAsia="Times-Roman"/>
          <w:sz w:val="24"/>
          <w:szCs w:val="24"/>
        </w:rPr>
        <w:t>. В</w:t>
      </w:r>
      <w:r>
        <w:rPr>
          <w:rFonts w:eastAsia="Times-Roman"/>
          <w:sz w:val="24"/>
          <w:szCs w:val="24"/>
        </w:rPr>
        <w:t xml:space="preserve"> рамках проводимой центральным банком антикризисной политики в</w:t>
      </w:r>
      <w:r w:rsidRPr="003D73E2">
        <w:rPr>
          <w:rFonts w:eastAsia="Times-Roman"/>
          <w:sz w:val="24"/>
          <w:szCs w:val="24"/>
        </w:rPr>
        <w:t xml:space="preserve"> </w:t>
      </w:r>
      <w:r w:rsidRPr="00785075">
        <w:rPr>
          <w:rFonts w:eastAsia="Times-Roman"/>
          <w:sz w:val="24"/>
          <w:szCs w:val="24"/>
        </w:rPr>
        <w:t>2017 году были увеличены лимиты валютного риска, сниженные в 2016 году.</w:t>
      </w:r>
    </w:p>
    <w:p w:rsidR="004E2069" w:rsidRPr="009F18A1" w:rsidRDefault="004E2069" w:rsidP="00B85074">
      <w:pPr>
        <w:widowControl w:val="0"/>
        <w:ind w:firstLine="425"/>
        <w:jc w:val="both"/>
        <w:rPr>
          <w:rFonts w:eastAsia="Times-Roman"/>
          <w:sz w:val="24"/>
          <w:szCs w:val="24"/>
        </w:rPr>
      </w:pPr>
      <w:r w:rsidRPr="009F18A1">
        <w:rPr>
          <w:rFonts w:eastAsia="Times-Roman"/>
          <w:sz w:val="24"/>
          <w:szCs w:val="24"/>
        </w:rPr>
        <w:t xml:space="preserve">Кроме того, были внесены изменения в нормативные акты, касающиеся деятельности небанковских кредитных организаций. </w:t>
      </w:r>
    </w:p>
    <w:p w:rsidR="004E2069" w:rsidRPr="009F18A1" w:rsidRDefault="004E2069" w:rsidP="00B85074">
      <w:pPr>
        <w:widowControl w:val="0"/>
        <w:ind w:firstLine="425"/>
        <w:jc w:val="both"/>
        <w:rPr>
          <w:rFonts w:eastAsia="Times-Roman"/>
          <w:sz w:val="24"/>
          <w:szCs w:val="24"/>
        </w:rPr>
      </w:pPr>
      <w:r w:rsidRPr="009F18A1">
        <w:rPr>
          <w:rFonts w:eastAsia="Times-Roman"/>
          <w:sz w:val="24"/>
          <w:szCs w:val="24"/>
        </w:rPr>
        <w:t xml:space="preserve">Так, Указанием ПРБ от 5 июля 2017 года </w:t>
      </w:r>
      <w:r>
        <w:rPr>
          <w:rFonts w:eastAsia="Times-Roman"/>
          <w:sz w:val="24"/>
          <w:szCs w:val="24"/>
        </w:rPr>
        <w:t xml:space="preserve">№ </w:t>
      </w:r>
      <w:r w:rsidRPr="009F18A1">
        <w:rPr>
          <w:rFonts w:eastAsia="Times-Roman"/>
          <w:sz w:val="24"/>
          <w:szCs w:val="24"/>
        </w:rPr>
        <w:t xml:space="preserve">996-У «О внесении изменения и дополнений в Положение ПРБ от 9 ноября 2007 года </w:t>
      </w:r>
      <w:r>
        <w:rPr>
          <w:rFonts w:eastAsia="Times-Roman"/>
          <w:sz w:val="24"/>
          <w:szCs w:val="24"/>
        </w:rPr>
        <w:t>№</w:t>
      </w:r>
      <w:r w:rsidRPr="009F18A1">
        <w:rPr>
          <w:rFonts w:eastAsia="Times-Roman"/>
          <w:sz w:val="24"/>
          <w:szCs w:val="24"/>
        </w:rPr>
        <w:t xml:space="preserve"> 83-П «О кредитных организациях, осуществляющих отдельные банковские операции» внесены изменения в части минимального размера уставного капитала для вновь создаваемой НКО, а также минимального размера собственных средств (капитала) действующей НКО III категории, обязанность для НКО III категории на ежедневной основе поддерживать суммарный остаток наличных и безналичных денежных средств в рублях ПМР и/или в иностранной валюте на уровне не ниже, установленного данным указанием. А именно: минимальный размер уставного капитала для вновь создаваемой НКО, а также минимальный размер собственных средств (капитала) действующей НКО III категории с 1 сентября 2017 года с количеством обменных пунктов до 10 включительно – в сумме, эквивалентной 5 000 000 рублей ПМР, с количеством обменных пунктов свыше 10 – в сумме, эквивалентной 5 000 000 рублей ПМР и плюс сумма, эквивалентная 150 000 рублей ПМР на каждый обменный пункт, следующий после десятого обменного пункта.</w:t>
      </w:r>
    </w:p>
    <w:p w:rsidR="004E2069" w:rsidRPr="009F18A1" w:rsidRDefault="004E2069" w:rsidP="00B85074">
      <w:pPr>
        <w:widowControl w:val="0"/>
        <w:ind w:firstLine="425"/>
        <w:jc w:val="both"/>
        <w:rPr>
          <w:rFonts w:eastAsia="Times-Roman"/>
          <w:sz w:val="24"/>
          <w:szCs w:val="24"/>
        </w:rPr>
      </w:pPr>
      <w:r w:rsidRPr="009F18A1">
        <w:rPr>
          <w:rFonts w:eastAsia="Times-Roman"/>
          <w:sz w:val="24"/>
          <w:szCs w:val="24"/>
        </w:rPr>
        <w:t xml:space="preserve">На протяжении своей деятельности НКО III категории обязана ежедневно поддерживать суммарный остаток наличных и безналичных денежных средств в рублях ПМР и/или в иностранной валюте на уровне не ниже установленного. </w:t>
      </w:r>
    </w:p>
    <w:p w:rsidR="004E2069" w:rsidRDefault="004E2069" w:rsidP="00B85074">
      <w:pPr>
        <w:widowControl w:val="0"/>
        <w:ind w:firstLine="425"/>
        <w:jc w:val="both"/>
        <w:rPr>
          <w:rFonts w:eastAsia="Times-Roman"/>
          <w:sz w:val="24"/>
          <w:szCs w:val="24"/>
        </w:rPr>
      </w:pPr>
      <w:r w:rsidRPr="009F18A1">
        <w:rPr>
          <w:rFonts w:eastAsia="Times-Roman"/>
          <w:sz w:val="24"/>
          <w:szCs w:val="24"/>
        </w:rPr>
        <w:t xml:space="preserve">Одновременно, Указанием ПРБ от 5 июля 2017 года № 995-У «О внесении изменений и дополнений в Положение ПРБ от 11 апреля 2012 года № 109-П «О правилах организации наличного денежного обращения на территории Приднестровской Молдавской Республики» определено, что НКО III категории устанавливают лимит остатка кассы в рублях ПМР в размере не более 5% от уставного капитала для вновь создаваемой НКО либо 5% от собственных средств (капитала) действующей НКО. В расчёт лимита входят остатки наличных денежных средств в рублях ПМР и иностранной валюте в рублёвом эквиваленте по официальному курсу ПРБ, а Указанием ПРБ от 30 августа 2017 года № 1014-У «О внесении изменения в Положение ПРБ от 13 июня 2006 года </w:t>
      </w:r>
      <w:r>
        <w:rPr>
          <w:rFonts w:eastAsia="Times-Roman"/>
          <w:sz w:val="24"/>
          <w:szCs w:val="24"/>
        </w:rPr>
        <w:t>№</w:t>
      </w:r>
      <w:r w:rsidRPr="009F18A1">
        <w:rPr>
          <w:rFonts w:eastAsia="Times-Roman"/>
          <w:sz w:val="24"/>
          <w:szCs w:val="24"/>
        </w:rPr>
        <w:t xml:space="preserve"> 63-П «О порядке деятельности обменных пунктов на территории Приднестровской Молдавской Республики» установлено, что НКО III категории, обеспечивающие ежедневную доставку остатков денежной наличности обменных пунктов на хранение в банк на основании заключённого договора хранения, вправе не осуществлять ежедневную инкассацию.</w:t>
      </w:r>
    </w:p>
    <w:p w:rsidR="004E2069" w:rsidRPr="003D73E2" w:rsidRDefault="004E2069" w:rsidP="00D80B9D">
      <w:pPr>
        <w:widowControl w:val="0"/>
        <w:spacing w:before="120" w:after="120"/>
        <w:ind w:left="425"/>
        <w:jc w:val="both"/>
        <w:rPr>
          <w:i/>
          <w:iCs/>
          <w:sz w:val="24"/>
          <w:szCs w:val="24"/>
        </w:rPr>
      </w:pPr>
      <w:r w:rsidRPr="00FA6300">
        <w:rPr>
          <w:i/>
          <w:iCs/>
          <w:sz w:val="24"/>
          <w:szCs w:val="24"/>
        </w:rPr>
        <w:t>Инспектирование кредитных организаций</w:t>
      </w:r>
    </w:p>
    <w:p w:rsidR="004E2069" w:rsidRPr="00F13741" w:rsidRDefault="004E2069" w:rsidP="00D80B9D">
      <w:pPr>
        <w:ind w:firstLine="425"/>
        <w:jc w:val="both"/>
        <w:rPr>
          <w:rFonts w:eastAsia="Times-Roman"/>
          <w:sz w:val="24"/>
          <w:szCs w:val="24"/>
        </w:rPr>
      </w:pPr>
      <w:r w:rsidRPr="00F13741">
        <w:rPr>
          <w:rFonts w:eastAsia="Times-Roman"/>
          <w:sz w:val="24"/>
          <w:szCs w:val="24"/>
        </w:rPr>
        <w:t xml:space="preserve">В 2017 году Приднестровский республиканский банк реализовывал функцию осуществления контроля по вопросам соблюдения банками действующего законодательства Приднестровской Молдавской Республики путём проведения регулярных инспекционных проверок их деятельности. </w:t>
      </w:r>
      <w:r>
        <w:rPr>
          <w:rFonts w:eastAsia="Times-Roman"/>
          <w:sz w:val="24"/>
          <w:szCs w:val="24"/>
        </w:rPr>
        <w:t>П</w:t>
      </w:r>
      <w:r w:rsidRPr="00F13741">
        <w:rPr>
          <w:rFonts w:eastAsia="Times-Roman"/>
          <w:sz w:val="24"/>
          <w:szCs w:val="24"/>
        </w:rPr>
        <w:t>роведение инспекционных проверок Приднестровским республиканским банком осуществлялось как на планово</w:t>
      </w:r>
      <w:r>
        <w:rPr>
          <w:rFonts w:eastAsia="Times-Roman"/>
          <w:sz w:val="24"/>
          <w:szCs w:val="24"/>
        </w:rPr>
        <w:t>й</w:t>
      </w:r>
      <w:r w:rsidRPr="00F13741">
        <w:rPr>
          <w:rFonts w:eastAsia="Times-Roman"/>
          <w:sz w:val="24"/>
          <w:szCs w:val="24"/>
        </w:rPr>
        <w:t>, так и внепланово</w:t>
      </w:r>
      <w:r>
        <w:rPr>
          <w:rFonts w:eastAsia="Times-Roman"/>
          <w:sz w:val="24"/>
          <w:szCs w:val="24"/>
        </w:rPr>
        <w:t>й</w:t>
      </w:r>
      <w:r w:rsidRPr="00F13741">
        <w:rPr>
          <w:rFonts w:eastAsia="Times-Roman"/>
          <w:sz w:val="24"/>
          <w:szCs w:val="24"/>
        </w:rPr>
        <w:t xml:space="preserve"> </w:t>
      </w:r>
      <w:r>
        <w:rPr>
          <w:rFonts w:eastAsia="Times-Roman"/>
          <w:sz w:val="24"/>
          <w:szCs w:val="24"/>
        </w:rPr>
        <w:t>основ</w:t>
      </w:r>
      <w:r w:rsidRPr="00F13741">
        <w:rPr>
          <w:rFonts w:eastAsia="Times-Roman"/>
          <w:sz w:val="24"/>
          <w:szCs w:val="24"/>
        </w:rPr>
        <w:t xml:space="preserve">е. В целом </w:t>
      </w:r>
      <w:r>
        <w:rPr>
          <w:rFonts w:eastAsia="Times-Roman"/>
          <w:sz w:val="24"/>
          <w:szCs w:val="24"/>
        </w:rPr>
        <w:t xml:space="preserve">за год </w:t>
      </w:r>
      <w:r w:rsidRPr="00F13741">
        <w:rPr>
          <w:rFonts w:eastAsia="Times-Roman"/>
          <w:sz w:val="24"/>
          <w:szCs w:val="24"/>
        </w:rPr>
        <w:t>центральным банком был</w:t>
      </w:r>
      <w:r>
        <w:rPr>
          <w:rFonts w:eastAsia="Times-Roman"/>
          <w:sz w:val="24"/>
          <w:szCs w:val="24"/>
        </w:rPr>
        <w:t>о</w:t>
      </w:r>
      <w:r w:rsidRPr="00F13741">
        <w:rPr>
          <w:rFonts w:eastAsia="Times-Roman"/>
          <w:sz w:val="24"/>
          <w:szCs w:val="24"/>
        </w:rPr>
        <w:t xml:space="preserve"> проведен</w:t>
      </w:r>
      <w:r>
        <w:rPr>
          <w:rFonts w:eastAsia="Times-Roman"/>
          <w:sz w:val="24"/>
          <w:szCs w:val="24"/>
        </w:rPr>
        <w:t>о</w:t>
      </w:r>
      <w:r w:rsidRPr="00F13741">
        <w:rPr>
          <w:rFonts w:eastAsia="Times-Roman"/>
          <w:sz w:val="24"/>
          <w:szCs w:val="24"/>
        </w:rPr>
        <w:t xml:space="preserve"> </w:t>
      </w:r>
      <w:r>
        <w:rPr>
          <w:rFonts w:eastAsia="Times-Roman"/>
          <w:sz w:val="24"/>
          <w:szCs w:val="24"/>
        </w:rPr>
        <w:t>двенадцать проверок</w:t>
      </w:r>
      <w:r w:rsidRPr="00F13741">
        <w:rPr>
          <w:sz w:val="24"/>
          <w:szCs w:val="24"/>
        </w:rPr>
        <w:t xml:space="preserve"> </w:t>
      </w:r>
      <w:r w:rsidRPr="00CF3F4A">
        <w:rPr>
          <w:sz w:val="24"/>
          <w:szCs w:val="24"/>
        </w:rPr>
        <w:t>банков и небанковских кредитных организаций ПМР</w:t>
      </w:r>
      <w:r w:rsidRPr="00F13741">
        <w:rPr>
          <w:rFonts w:eastAsia="Times-Roman"/>
          <w:sz w:val="24"/>
          <w:szCs w:val="24"/>
        </w:rPr>
        <w:t>, в том числе:</w:t>
      </w:r>
    </w:p>
    <w:p w:rsidR="004E2069" w:rsidRPr="00CA1E2E" w:rsidRDefault="004E2069" w:rsidP="00D80B9D">
      <w:pPr>
        <w:pStyle w:val="ListParagraph"/>
        <w:widowControl w:val="0"/>
        <w:numPr>
          <w:ilvl w:val="0"/>
          <w:numId w:val="21"/>
        </w:numPr>
        <w:ind w:left="709" w:hanging="283"/>
        <w:contextualSpacing/>
        <w:jc w:val="both"/>
        <w:rPr>
          <w:sz w:val="24"/>
          <w:szCs w:val="24"/>
        </w:rPr>
      </w:pPr>
      <w:r w:rsidRPr="00CA1E2E">
        <w:rPr>
          <w:sz w:val="24"/>
          <w:szCs w:val="24"/>
        </w:rPr>
        <w:t xml:space="preserve">1 плановая </w:t>
      </w:r>
      <w:r>
        <w:rPr>
          <w:sz w:val="24"/>
          <w:szCs w:val="24"/>
        </w:rPr>
        <w:t>тематическая</w:t>
      </w:r>
      <w:r w:rsidRPr="00CA1E2E">
        <w:rPr>
          <w:sz w:val="24"/>
          <w:szCs w:val="24"/>
        </w:rPr>
        <w:t>;</w:t>
      </w:r>
    </w:p>
    <w:p w:rsidR="004E2069" w:rsidRDefault="004E2069" w:rsidP="00D80B9D">
      <w:pPr>
        <w:pStyle w:val="ListParagraph"/>
        <w:widowControl w:val="0"/>
        <w:numPr>
          <w:ilvl w:val="0"/>
          <w:numId w:val="21"/>
        </w:numPr>
        <w:ind w:left="709" w:hanging="283"/>
        <w:contextualSpacing/>
        <w:jc w:val="both"/>
        <w:rPr>
          <w:sz w:val="24"/>
          <w:szCs w:val="24"/>
        </w:rPr>
      </w:pPr>
      <w:r w:rsidRPr="00CA1E2E">
        <w:rPr>
          <w:sz w:val="24"/>
          <w:szCs w:val="24"/>
        </w:rPr>
        <w:t>1 ревизионная финансово-хозяйственной деятельности банка за 2016 год;</w:t>
      </w:r>
    </w:p>
    <w:p w:rsidR="004E2069" w:rsidRPr="00184750" w:rsidRDefault="004E2069" w:rsidP="00D80B9D">
      <w:pPr>
        <w:pStyle w:val="ListParagraph"/>
        <w:widowControl w:val="0"/>
        <w:numPr>
          <w:ilvl w:val="0"/>
          <w:numId w:val="21"/>
        </w:numPr>
        <w:ind w:left="709" w:hanging="283"/>
        <w:contextualSpacing/>
        <w:jc w:val="both"/>
        <w:rPr>
          <w:sz w:val="24"/>
          <w:szCs w:val="24"/>
        </w:rPr>
      </w:pPr>
      <w:r w:rsidRPr="00184750">
        <w:rPr>
          <w:sz w:val="24"/>
          <w:szCs w:val="24"/>
        </w:rPr>
        <w:t>10 внеплановых:</w:t>
      </w:r>
    </w:p>
    <w:p w:rsidR="004E2069" w:rsidRPr="00396524" w:rsidRDefault="004E2069" w:rsidP="00D80B9D">
      <w:pPr>
        <w:pStyle w:val="ListParagraph"/>
        <w:widowControl w:val="0"/>
        <w:numPr>
          <w:ilvl w:val="0"/>
          <w:numId w:val="22"/>
        </w:numPr>
        <w:ind w:left="1276" w:hanging="283"/>
        <w:contextualSpacing/>
        <w:jc w:val="both"/>
        <w:rPr>
          <w:sz w:val="24"/>
          <w:szCs w:val="24"/>
        </w:rPr>
      </w:pPr>
      <w:r w:rsidRPr="00396524">
        <w:rPr>
          <w:sz w:val="24"/>
          <w:szCs w:val="24"/>
        </w:rPr>
        <w:t xml:space="preserve">2 </w:t>
      </w:r>
      <w:r>
        <w:rPr>
          <w:sz w:val="24"/>
          <w:szCs w:val="24"/>
        </w:rPr>
        <w:t xml:space="preserve">проверки </w:t>
      </w:r>
      <w:r w:rsidRPr="00396524">
        <w:rPr>
          <w:sz w:val="24"/>
          <w:szCs w:val="24"/>
        </w:rPr>
        <w:t>деятельности обменных пунктов кредитных организаций;</w:t>
      </w:r>
    </w:p>
    <w:p w:rsidR="004E2069" w:rsidRDefault="004E2069" w:rsidP="00D80B9D">
      <w:pPr>
        <w:pStyle w:val="ListParagraph"/>
        <w:widowControl w:val="0"/>
        <w:numPr>
          <w:ilvl w:val="0"/>
          <w:numId w:val="22"/>
        </w:numPr>
        <w:ind w:left="1276" w:hanging="283"/>
        <w:contextualSpacing/>
        <w:jc w:val="both"/>
        <w:rPr>
          <w:sz w:val="24"/>
          <w:szCs w:val="24"/>
        </w:rPr>
      </w:pPr>
      <w:r>
        <w:rPr>
          <w:sz w:val="24"/>
          <w:szCs w:val="24"/>
        </w:rPr>
        <w:t>3 тематических проверки</w:t>
      </w:r>
      <w:r w:rsidRPr="00396524">
        <w:rPr>
          <w:sz w:val="24"/>
          <w:szCs w:val="24"/>
        </w:rPr>
        <w:t xml:space="preserve"> деятельности обменных пунктов кредитных организаций</w:t>
      </w:r>
      <w:r>
        <w:rPr>
          <w:sz w:val="24"/>
          <w:szCs w:val="24"/>
        </w:rPr>
        <w:t>;</w:t>
      </w:r>
    </w:p>
    <w:p w:rsidR="004E2069" w:rsidRPr="009A645A" w:rsidRDefault="004E2069" w:rsidP="00D80B9D">
      <w:pPr>
        <w:pStyle w:val="ListParagraph"/>
        <w:widowControl w:val="0"/>
        <w:numPr>
          <w:ilvl w:val="0"/>
          <w:numId w:val="22"/>
        </w:numPr>
        <w:ind w:left="1276" w:hanging="283"/>
        <w:contextualSpacing/>
        <w:jc w:val="both"/>
        <w:rPr>
          <w:sz w:val="24"/>
          <w:szCs w:val="24"/>
        </w:rPr>
      </w:pPr>
      <w:r w:rsidRPr="00396524">
        <w:rPr>
          <w:sz w:val="24"/>
          <w:szCs w:val="24"/>
        </w:rPr>
        <w:t xml:space="preserve">1 тематическая проверка </w:t>
      </w:r>
      <w:r w:rsidRPr="009A645A">
        <w:rPr>
          <w:sz w:val="24"/>
          <w:szCs w:val="24"/>
        </w:rPr>
        <w:t>банка на предмет определения качества активов, оценки уровня рисков и финансового состояния банка, осуществления расч</w:t>
      </w:r>
      <w:r>
        <w:rPr>
          <w:sz w:val="24"/>
          <w:szCs w:val="24"/>
        </w:rPr>
        <w:t>ё</w:t>
      </w:r>
      <w:r w:rsidRPr="009A645A">
        <w:rPr>
          <w:sz w:val="24"/>
          <w:szCs w:val="24"/>
        </w:rPr>
        <w:t>та по оценке кредитного и прочих рисков, чистых активов, собственного капитала и обязательных нормативов деятельности банка;</w:t>
      </w:r>
    </w:p>
    <w:p w:rsidR="004E2069" w:rsidRDefault="004E2069" w:rsidP="00D80B9D">
      <w:pPr>
        <w:pStyle w:val="ListParagraph"/>
        <w:widowControl w:val="0"/>
        <w:numPr>
          <w:ilvl w:val="0"/>
          <w:numId w:val="22"/>
        </w:numPr>
        <w:ind w:left="1276" w:hanging="283"/>
        <w:contextualSpacing/>
        <w:jc w:val="both"/>
        <w:rPr>
          <w:sz w:val="24"/>
          <w:szCs w:val="24"/>
        </w:rPr>
      </w:pPr>
      <w:r w:rsidRPr="00CA1E2E">
        <w:rPr>
          <w:sz w:val="24"/>
          <w:szCs w:val="24"/>
        </w:rPr>
        <w:t>1 ревизионная</w:t>
      </w:r>
      <w:r w:rsidRPr="00130E05">
        <w:rPr>
          <w:sz w:val="24"/>
          <w:szCs w:val="24"/>
        </w:rPr>
        <w:t xml:space="preserve"> </w:t>
      </w:r>
      <w:r w:rsidRPr="00396524">
        <w:rPr>
          <w:sz w:val="24"/>
          <w:szCs w:val="24"/>
        </w:rPr>
        <w:t xml:space="preserve">проверка </w:t>
      </w:r>
      <w:r w:rsidRPr="00FA6300">
        <w:rPr>
          <w:sz w:val="24"/>
          <w:szCs w:val="24"/>
        </w:rPr>
        <w:t>внутренних нормативных документов банка, правильности формирования фонда риска, обоснованности произвед</w:t>
      </w:r>
      <w:r>
        <w:rPr>
          <w:sz w:val="24"/>
          <w:szCs w:val="24"/>
        </w:rPr>
        <w:t>ё</w:t>
      </w:r>
      <w:r w:rsidRPr="00FA6300">
        <w:rPr>
          <w:sz w:val="24"/>
          <w:szCs w:val="24"/>
        </w:rPr>
        <w:t>нных затрат на строительство</w:t>
      </w:r>
      <w:r>
        <w:rPr>
          <w:sz w:val="24"/>
          <w:szCs w:val="24"/>
        </w:rPr>
        <w:t>;</w:t>
      </w:r>
    </w:p>
    <w:p w:rsidR="004E2069" w:rsidRDefault="004E2069" w:rsidP="00D80B9D">
      <w:pPr>
        <w:pStyle w:val="ListParagraph"/>
        <w:widowControl w:val="0"/>
        <w:numPr>
          <w:ilvl w:val="0"/>
          <w:numId w:val="22"/>
        </w:numPr>
        <w:ind w:left="1276" w:hanging="283"/>
        <w:contextualSpacing/>
        <w:jc w:val="both"/>
        <w:rPr>
          <w:sz w:val="24"/>
          <w:szCs w:val="24"/>
        </w:rPr>
      </w:pPr>
      <w:r w:rsidRPr="009A645A">
        <w:rPr>
          <w:color w:val="000000"/>
          <w:sz w:val="24"/>
          <w:szCs w:val="24"/>
        </w:rPr>
        <w:t>2 проверки</w:t>
      </w:r>
      <w:r>
        <w:rPr>
          <w:sz w:val="24"/>
          <w:szCs w:val="24"/>
        </w:rPr>
        <w:t xml:space="preserve"> </w:t>
      </w:r>
      <w:r w:rsidRPr="00FA6300">
        <w:rPr>
          <w:sz w:val="24"/>
          <w:szCs w:val="24"/>
        </w:rPr>
        <w:t>качества активов банка</w:t>
      </w:r>
      <w:r>
        <w:rPr>
          <w:sz w:val="24"/>
          <w:szCs w:val="24"/>
        </w:rPr>
        <w:t xml:space="preserve">, а также </w:t>
      </w:r>
      <w:r w:rsidRPr="00FA6300">
        <w:rPr>
          <w:sz w:val="24"/>
          <w:szCs w:val="24"/>
        </w:rPr>
        <w:t>оценки кредитных и прочих рисков</w:t>
      </w:r>
      <w:r>
        <w:rPr>
          <w:sz w:val="24"/>
          <w:szCs w:val="24"/>
        </w:rPr>
        <w:t>;</w:t>
      </w:r>
    </w:p>
    <w:p w:rsidR="004E2069" w:rsidRPr="00396524" w:rsidRDefault="004E2069" w:rsidP="00D80B9D">
      <w:pPr>
        <w:pStyle w:val="ListParagraph"/>
        <w:widowControl w:val="0"/>
        <w:numPr>
          <w:ilvl w:val="0"/>
          <w:numId w:val="22"/>
        </w:numPr>
        <w:ind w:left="1276" w:hanging="283"/>
        <w:contextualSpacing/>
        <w:jc w:val="both"/>
        <w:rPr>
          <w:sz w:val="24"/>
          <w:szCs w:val="24"/>
        </w:rPr>
      </w:pPr>
      <w:r>
        <w:rPr>
          <w:sz w:val="24"/>
          <w:szCs w:val="24"/>
        </w:rPr>
        <w:t xml:space="preserve">1 </w:t>
      </w:r>
      <w:r w:rsidRPr="00FA6300">
        <w:rPr>
          <w:sz w:val="24"/>
          <w:szCs w:val="24"/>
        </w:rPr>
        <w:t>проверка промежуточного ликвидационного баланса</w:t>
      </w:r>
      <w:r>
        <w:rPr>
          <w:sz w:val="24"/>
          <w:szCs w:val="24"/>
        </w:rPr>
        <w:t xml:space="preserve"> кредитной организации.</w:t>
      </w:r>
    </w:p>
    <w:p w:rsidR="004E2069" w:rsidRPr="00016082" w:rsidRDefault="004E2069" w:rsidP="00D80B9D">
      <w:pPr>
        <w:widowControl w:val="0"/>
        <w:ind w:firstLine="425"/>
        <w:jc w:val="both"/>
        <w:rPr>
          <w:sz w:val="24"/>
          <w:szCs w:val="24"/>
        </w:rPr>
      </w:pPr>
      <w:r w:rsidRPr="00130E05">
        <w:rPr>
          <w:sz w:val="24"/>
          <w:szCs w:val="24"/>
        </w:rPr>
        <w:t xml:space="preserve">Кроме того, в IV квартале </w:t>
      </w:r>
      <w:r>
        <w:rPr>
          <w:sz w:val="24"/>
          <w:szCs w:val="24"/>
        </w:rPr>
        <w:t xml:space="preserve">2017 года </w:t>
      </w:r>
      <w:r w:rsidRPr="00130E05">
        <w:rPr>
          <w:sz w:val="24"/>
          <w:szCs w:val="24"/>
        </w:rPr>
        <w:t>начаты внеплановые проверки двух кредитных организаций</w:t>
      </w:r>
      <w:r>
        <w:rPr>
          <w:sz w:val="24"/>
          <w:szCs w:val="24"/>
        </w:rPr>
        <w:t xml:space="preserve"> </w:t>
      </w:r>
      <w:r w:rsidRPr="00130E05">
        <w:rPr>
          <w:sz w:val="24"/>
          <w:szCs w:val="24"/>
        </w:rPr>
        <w:t>первой и третьей категории</w:t>
      </w:r>
      <w:r>
        <w:rPr>
          <w:sz w:val="24"/>
          <w:szCs w:val="24"/>
        </w:rPr>
        <w:t>, в</w:t>
      </w:r>
      <w:r w:rsidRPr="00016082">
        <w:rPr>
          <w:sz w:val="24"/>
          <w:szCs w:val="24"/>
        </w:rPr>
        <w:t xml:space="preserve"> отношении которых было принято решение о приостановлении действия лицензии сроком на 6 месяцев.</w:t>
      </w:r>
    </w:p>
    <w:p w:rsidR="004E2069" w:rsidRDefault="004E2069" w:rsidP="00D80B9D">
      <w:pPr>
        <w:pStyle w:val="Closing"/>
        <w:widowControl w:val="0"/>
        <w:spacing w:line="240" w:lineRule="auto"/>
        <w:ind w:left="0" w:right="0" w:firstLine="425"/>
        <w:jc w:val="both"/>
        <w:rPr>
          <w:sz w:val="24"/>
          <w:szCs w:val="24"/>
        </w:rPr>
      </w:pPr>
      <w:r>
        <w:rPr>
          <w:sz w:val="24"/>
          <w:szCs w:val="24"/>
        </w:rPr>
        <w:t>В целом, п</w:t>
      </w:r>
      <w:r w:rsidRPr="003D73E2">
        <w:rPr>
          <w:sz w:val="24"/>
          <w:szCs w:val="24"/>
        </w:rPr>
        <w:t xml:space="preserve">о результатам проведённых проверок в адрес банков и небанковских кредитных организаций ПМР направлялись акты и предписания с требованием об устранении выявленных нарушений. </w:t>
      </w:r>
    </w:p>
    <w:p w:rsidR="004E2069" w:rsidRPr="00FA6300" w:rsidRDefault="004E2069" w:rsidP="004B0376">
      <w:pPr>
        <w:widowControl w:val="0"/>
        <w:spacing w:before="120" w:after="120"/>
        <w:ind w:firstLine="426"/>
        <w:jc w:val="both"/>
        <w:rPr>
          <w:i/>
          <w:iCs/>
          <w:sz w:val="24"/>
          <w:szCs w:val="24"/>
        </w:rPr>
      </w:pPr>
      <w:r w:rsidRPr="00FA6300">
        <w:rPr>
          <w:i/>
          <w:iCs/>
          <w:sz w:val="24"/>
          <w:szCs w:val="24"/>
        </w:rPr>
        <w:t>Регулирование в сфере страхового дела</w:t>
      </w:r>
    </w:p>
    <w:p w:rsidR="004E2069" w:rsidRDefault="004E2069" w:rsidP="00D80B9D">
      <w:pPr>
        <w:ind w:firstLine="425"/>
        <w:jc w:val="both"/>
        <w:rPr>
          <w:sz w:val="24"/>
          <w:szCs w:val="24"/>
        </w:rPr>
      </w:pPr>
      <w:r>
        <w:rPr>
          <w:sz w:val="24"/>
          <w:szCs w:val="24"/>
        </w:rPr>
        <w:t xml:space="preserve">В 2017 году в </w:t>
      </w:r>
      <w:r w:rsidRPr="00FA6300">
        <w:rPr>
          <w:sz w:val="24"/>
          <w:szCs w:val="24"/>
        </w:rPr>
        <w:t xml:space="preserve">соответствии с </w:t>
      </w:r>
      <w:r>
        <w:rPr>
          <w:sz w:val="24"/>
          <w:szCs w:val="24"/>
        </w:rPr>
        <w:t>положениями Закона</w:t>
      </w:r>
      <w:r w:rsidRPr="00FA6300">
        <w:rPr>
          <w:sz w:val="24"/>
          <w:szCs w:val="24"/>
        </w:rPr>
        <w:t xml:space="preserve"> ПМР от 26 июля 2017 г</w:t>
      </w:r>
      <w:r>
        <w:rPr>
          <w:sz w:val="24"/>
          <w:szCs w:val="24"/>
        </w:rPr>
        <w:t>ода</w:t>
      </w:r>
      <w:r w:rsidRPr="00FA6300">
        <w:rPr>
          <w:sz w:val="24"/>
          <w:szCs w:val="24"/>
        </w:rPr>
        <w:t xml:space="preserve"> </w:t>
      </w:r>
      <w:r>
        <w:rPr>
          <w:sz w:val="24"/>
          <w:szCs w:val="24"/>
        </w:rPr>
        <w:br/>
      </w:r>
      <w:r w:rsidRPr="00FA6300">
        <w:rPr>
          <w:sz w:val="24"/>
          <w:szCs w:val="24"/>
        </w:rPr>
        <w:t xml:space="preserve">№ 241-ЗИД-VI «О внесении изменений и дополнений в некоторые законодательные акты ПМР» </w:t>
      </w:r>
      <w:r>
        <w:rPr>
          <w:sz w:val="24"/>
          <w:szCs w:val="24"/>
        </w:rPr>
        <w:t xml:space="preserve">центральный банк был наделён полномочиями </w:t>
      </w:r>
      <w:r w:rsidRPr="00FA6300">
        <w:rPr>
          <w:sz w:val="24"/>
          <w:szCs w:val="24"/>
        </w:rPr>
        <w:t>регулирования</w:t>
      </w:r>
      <w:r>
        <w:rPr>
          <w:sz w:val="24"/>
          <w:szCs w:val="24"/>
        </w:rPr>
        <w:t xml:space="preserve"> и </w:t>
      </w:r>
      <w:r w:rsidRPr="00FA6300">
        <w:rPr>
          <w:sz w:val="24"/>
          <w:szCs w:val="24"/>
        </w:rPr>
        <w:t>контроля (надзора</w:t>
      </w:r>
      <w:r>
        <w:rPr>
          <w:sz w:val="24"/>
          <w:szCs w:val="24"/>
        </w:rPr>
        <w:t xml:space="preserve">) в сфере страховой деятельности. </w:t>
      </w:r>
    </w:p>
    <w:p w:rsidR="004E2069" w:rsidRPr="00EE7CA1" w:rsidRDefault="004E2069" w:rsidP="00D80B9D">
      <w:pPr>
        <w:ind w:firstLine="425"/>
        <w:jc w:val="both"/>
        <w:rPr>
          <w:sz w:val="24"/>
          <w:szCs w:val="24"/>
        </w:rPr>
      </w:pPr>
      <w:r w:rsidRPr="00EE7CA1">
        <w:rPr>
          <w:sz w:val="24"/>
          <w:szCs w:val="24"/>
        </w:rPr>
        <w:t>Согласно пункту 4 статьи 6 названного Закона все документы, материалы к ним, находящиеся в Министерстве финансов ПМР, включая документы по результатам проверок субъектов страхового дела, были переданы в центральный банк.</w:t>
      </w:r>
    </w:p>
    <w:p w:rsidR="004E2069" w:rsidRPr="00FA6300" w:rsidRDefault="004E2069" w:rsidP="00D80B9D">
      <w:pPr>
        <w:ind w:firstLine="425"/>
        <w:jc w:val="both"/>
        <w:rPr>
          <w:sz w:val="24"/>
          <w:szCs w:val="24"/>
        </w:rPr>
      </w:pPr>
      <w:r w:rsidRPr="00EE7CA1">
        <w:rPr>
          <w:sz w:val="24"/>
          <w:szCs w:val="24"/>
        </w:rPr>
        <w:t xml:space="preserve">Соответственно начаты мероприятия по разработке и внедрению нормативной базы, в том числе мероприятия по адаптации законодательных и нормативных актов, касающихся страховой деятельности, к локальным потребностям и существующим условиям. Разработка </w:t>
      </w:r>
      <w:r>
        <w:rPr>
          <w:sz w:val="24"/>
          <w:szCs w:val="24"/>
        </w:rPr>
        <w:t>проводилась</w:t>
      </w:r>
      <w:r w:rsidRPr="00FA6300">
        <w:rPr>
          <w:sz w:val="24"/>
          <w:szCs w:val="24"/>
        </w:rPr>
        <w:t xml:space="preserve"> с уч</w:t>
      </w:r>
      <w:r>
        <w:rPr>
          <w:sz w:val="24"/>
          <w:szCs w:val="24"/>
        </w:rPr>
        <w:t>ё</w:t>
      </w:r>
      <w:r w:rsidRPr="00FA6300">
        <w:rPr>
          <w:sz w:val="24"/>
          <w:szCs w:val="24"/>
        </w:rPr>
        <w:t>том опыта</w:t>
      </w:r>
      <w:r w:rsidRPr="001F5154">
        <w:rPr>
          <w:sz w:val="24"/>
          <w:szCs w:val="24"/>
        </w:rPr>
        <w:t xml:space="preserve"> </w:t>
      </w:r>
      <w:r w:rsidRPr="00E60D65">
        <w:rPr>
          <w:sz w:val="24"/>
          <w:szCs w:val="24"/>
        </w:rPr>
        <w:t>Российской Федерации</w:t>
      </w:r>
      <w:r w:rsidRPr="00FA6300">
        <w:rPr>
          <w:sz w:val="24"/>
          <w:szCs w:val="24"/>
        </w:rPr>
        <w:t xml:space="preserve">. </w:t>
      </w:r>
    </w:p>
    <w:p w:rsidR="004E2069" w:rsidRPr="00FA6300" w:rsidRDefault="004E2069" w:rsidP="00D80B9D">
      <w:pPr>
        <w:ind w:firstLine="425"/>
        <w:jc w:val="both"/>
        <w:rPr>
          <w:sz w:val="24"/>
          <w:szCs w:val="24"/>
        </w:rPr>
      </w:pPr>
      <w:r>
        <w:rPr>
          <w:sz w:val="24"/>
          <w:szCs w:val="24"/>
        </w:rPr>
        <w:t xml:space="preserve">Также </w:t>
      </w:r>
      <w:r w:rsidRPr="00FA6300">
        <w:rPr>
          <w:sz w:val="24"/>
          <w:szCs w:val="24"/>
        </w:rPr>
        <w:t xml:space="preserve">проводилась работа по контролю (надзору) за деятельностью субъектов </w:t>
      </w:r>
      <w:r w:rsidRPr="009F18A1">
        <w:rPr>
          <w:sz w:val="24"/>
          <w:szCs w:val="24"/>
        </w:rPr>
        <w:t xml:space="preserve">страхового дела. По результатам проверки в адрес ЗАО «Стандарт Страхования» направлено предписание с требованием устранения выявленного нарушения. В IV квартале 2017 года в отношении данного субъекта было принято решение о приостановлении действия лицензии на осуществление страховой деятельности на срок 6 месяцев (на период с 11 октября </w:t>
      </w:r>
      <w:r>
        <w:rPr>
          <w:sz w:val="24"/>
          <w:szCs w:val="24"/>
        </w:rPr>
        <w:br/>
      </w:r>
      <w:r w:rsidRPr="009F18A1">
        <w:rPr>
          <w:sz w:val="24"/>
          <w:szCs w:val="24"/>
        </w:rPr>
        <w:t>2017 года по 11 апреля 2018 года включительно). Таким образом, по состоянию на 1 января 2018 года действующими были три страховые организации (четыре на начало 2017 года): ЗАО «СК «Арион», ЗАО «ПСК «Страховой Дом», ЗАО «СБ-Универсальные системы страхования».</w:t>
      </w:r>
    </w:p>
    <w:p w:rsidR="004E2069" w:rsidRPr="00FA6300" w:rsidRDefault="004E2069" w:rsidP="00D80B9D">
      <w:pPr>
        <w:ind w:firstLine="425"/>
        <w:jc w:val="both"/>
        <w:rPr>
          <w:sz w:val="24"/>
          <w:szCs w:val="24"/>
        </w:rPr>
      </w:pPr>
      <w:r w:rsidRPr="00FA6300">
        <w:rPr>
          <w:sz w:val="24"/>
          <w:szCs w:val="24"/>
        </w:rPr>
        <w:t xml:space="preserve">Наряду с осуществлением полномочий по регулированию, контролю (надзору) в сфере страховой деятельности </w:t>
      </w:r>
      <w:r>
        <w:rPr>
          <w:sz w:val="24"/>
          <w:szCs w:val="24"/>
        </w:rPr>
        <w:t>производилось переоформление</w:t>
      </w:r>
      <w:r w:rsidRPr="00FA6300">
        <w:rPr>
          <w:sz w:val="24"/>
          <w:szCs w:val="24"/>
        </w:rPr>
        <w:t xml:space="preserve"> лицензий субъектов страхового дела. </w:t>
      </w:r>
    </w:p>
    <w:p w:rsidR="004E2069" w:rsidRPr="00E85DD7" w:rsidRDefault="004E2069" w:rsidP="00D80B9D">
      <w:pPr>
        <w:widowControl w:val="0"/>
        <w:ind w:firstLine="425"/>
        <w:jc w:val="both"/>
        <w:rPr>
          <w:sz w:val="24"/>
          <w:szCs w:val="24"/>
        </w:rPr>
      </w:pPr>
    </w:p>
    <w:p w:rsidR="004E2069" w:rsidRPr="00E85DD7" w:rsidRDefault="004E2069" w:rsidP="00D80B9D">
      <w:pPr>
        <w:widowControl w:val="0"/>
        <w:numPr>
          <w:ilvl w:val="1"/>
          <w:numId w:val="2"/>
        </w:numPr>
        <w:spacing w:after="120"/>
        <w:ind w:left="357" w:hanging="357"/>
        <w:jc w:val="both"/>
        <w:rPr>
          <w:b/>
          <w:bCs/>
          <w:noProof/>
          <w:sz w:val="24"/>
          <w:szCs w:val="24"/>
        </w:rPr>
      </w:pPr>
      <w:r w:rsidRPr="00E85DD7">
        <w:rPr>
          <w:b/>
          <w:bCs/>
          <w:noProof/>
          <w:sz w:val="24"/>
          <w:szCs w:val="24"/>
        </w:rPr>
        <w:t xml:space="preserve"> ВАЛЮТНОЕ РЕГУЛИРОВАНИЕ И ВАЛЮТНЫЙ КОНТРОЛЬ</w:t>
      </w:r>
    </w:p>
    <w:p w:rsidR="004E2069" w:rsidRPr="00F87109" w:rsidRDefault="004E2069" w:rsidP="00151E78">
      <w:pPr>
        <w:pStyle w:val="NormalWeb"/>
        <w:spacing w:before="0" w:beforeAutospacing="0" w:after="0" w:afterAutospacing="0"/>
        <w:ind w:firstLine="426"/>
        <w:jc w:val="both"/>
      </w:pPr>
      <w:r w:rsidRPr="00F87109">
        <w:t>Мероприятия в сфере валютного регулирования в 2017 году были направлены на нормализацию функционирования валютного рынка республики.</w:t>
      </w:r>
      <w:r>
        <w:t xml:space="preserve"> </w:t>
      </w:r>
      <w:r w:rsidRPr="00F87109">
        <w:t xml:space="preserve">С целью стабилизации безналичного сегмента валютного рынка </w:t>
      </w:r>
      <w:r>
        <w:t>ц</w:t>
      </w:r>
      <w:r w:rsidRPr="00F87109">
        <w:t>ентральным банком был принят ряд решений в части изменения порядка проведения валютных интервенций, введения валютных ограничений при их проведении, ужесточения требований к открытым валютным позициям коммерческих банков, установления норм обязательной продажи части валютной выручки.</w:t>
      </w:r>
    </w:p>
    <w:p w:rsidR="004E2069" w:rsidRPr="00F87109" w:rsidRDefault="004E2069" w:rsidP="00151E78">
      <w:pPr>
        <w:pStyle w:val="NormalWeb"/>
        <w:spacing w:before="0" w:beforeAutospacing="0" w:after="0" w:afterAutospacing="0"/>
        <w:ind w:firstLine="426"/>
        <w:jc w:val="both"/>
      </w:pPr>
      <w:r w:rsidRPr="00F87109">
        <w:t>С 29 декабря 2016 года размер обязательной продажи части валютной выручки регулировался Указом Президента ПМР № 43 от 27.12.2016 «О внесении изменения в Указ Президента Приднестровской Молдавской Республики от 19 ноября 2010 года № 954 «Об обязательной продаже части валютной выручки».</w:t>
      </w:r>
    </w:p>
    <w:p w:rsidR="004E2069" w:rsidRPr="003070AF" w:rsidRDefault="004E2069" w:rsidP="00151E78">
      <w:pPr>
        <w:pStyle w:val="NormalWeb"/>
        <w:spacing w:before="0" w:beforeAutospacing="0" w:after="0" w:afterAutospacing="0"/>
        <w:ind w:firstLine="426"/>
        <w:jc w:val="both"/>
      </w:pPr>
      <w:r w:rsidRPr="00F87109">
        <w:t xml:space="preserve">С 1 августа 2017 года в соответствии с изменениями, внесёнными в Закон Приднестровской Молдавской Республики «О валютном регулировании и валютном контроле», полномочия по установлению размера и порядка обязательной продажи части </w:t>
      </w:r>
      <w:r w:rsidRPr="00F87109">
        <w:rPr>
          <w:rStyle w:val="margin"/>
        </w:rPr>
        <w:t xml:space="preserve">валютной выручки </w:t>
      </w:r>
      <w:r w:rsidRPr="00F87109">
        <w:t>резидентов в валютный резерв Приднестровской Молдавской Республики возложены на центральный банк. При этом размер обязательной продажи валютной выручки сохранился на прежнем уровне</w:t>
      </w:r>
      <w:r>
        <w:t xml:space="preserve"> – </w:t>
      </w:r>
      <w:r w:rsidRPr="003070AF">
        <w:t xml:space="preserve">25%, за исключением: </w:t>
      </w:r>
    </w:p>
    <w:p w:rsidR="004E2069" w:rsidRPr="003070AF" w:rsidRDefault="004E2069" w:rsidP="00D80B9D">
      <w:pPr>
        <w:pStyle w:val="Default"/>
        <w:ind w:firstLine="425"/>
        <w:jc w:val="both"/>
      </w:pPr>
      <w:r w:rsidRPr="003070AF">
        <w:t xml:space="preserve">- </w:t>
      </w:r>
      <w:r w:rsidRPr="00D4371C">
        <w:t xml:space="preserve">сумм, получаемых </w:t>
      </w:r>
      <w:r w:rsidRPr="003070AF">
        <w:t>от реализации товаров, работ, услуг на территории Приднестровской Молдавской Республики за наличную иностранную валюту на основании лицензий, выданных Приднестровским республиканским банком</w:t>
      </w:r>
      <w:r>
        <w:t>,</w:t>
      </w:r>
      <w:r w:rsidRPr="001C433D">
        <w:t xml:space="preserve"> </w:t>
      </w:r>
      <w:r w:rsidRPr="00D4371C">
        <w:t>по которым норма составляет 10%;</w:t>
      </w:r>
    </w:p>
    <w:p w:rsidR="004E2069" w:rsidRDefault="004E2069" w:rsidP="00D80B9D">
      <w:pPr>
        <w:pStyle w:val="Default"/>
        <w:ind w:firstLine="425"/>
        <w:jc w:val="both"/>
      </w:pPr>
      <w:r w:rsidRPr="003070AF">
        <w:t>- денежных средств, полученных субъектом инновационной деятельности в результате реализации инновационного проекта в иностранной валюте, от реализации готовой продукции за пределы Приднестровской Молдавской Республики при осуществлении инновационного проекта</w:t>
      </w:r>
      <w:r>
        <w:t>, – норма 3%;</w:t>
      </w:r>
    </w:p>
    <w:p w:rsidR="004E2069" w:rsidRDefault="004E2069" w:rsidP="00D80B9D">
      <w:pPr>
        <w:pStyle w:val="Default"/>
        <w:ind w:firstLine="425"/>
        <w:jc w:val="both"/>
      </w:pPr>
      <w:r>
        <w:t xml:space="preserve">- </w:t>
      </w:r>
      <w:r w:rsidRPr="003070AF">
        <w:t>денежны</w:t>
      </w:r>
      <w:r>
        <w:t>х</w:t>
      </w:r>
      <w:r w:rsidRPr="003070AF">
        <w:t xml:space="preserve"> средств</w:t>
      </w:r>
      <w:r>
        <w:t>,</w:t>
      </w:r>
      <w:r w:rsidRPr="003070AF">
        <w:t xml:space="preserve"> полученны</w:t>
      </w:r>
      <w:r>
        <w:t>х</w:t>
      </w:r>
      <w:r w:rsidRPr="003070AF">
        <w:t xml:space="preserve"> резидентами и нерезидентами в иностранной валюте от экспорта электрической энергии из Приднестровской Молдавской Республики,</w:t>
      </w:r>
      <w:r>
        <w:t xml:space="preserve"> – 100%</w:t>
      </w:r>
      <w:r w:rsidRPr="003070AF">
        <w:t xml:space="preserve"> </w:t>
      </w:r>
      <w:r>
        <w:t>(в</w:t>
      </w:r>
      <w:r w:rsidRPr="003070AF">
        <w:t xml:space="preserve"> соответствии с пунктом 1 статьи 16 Закона Приднестровской Молдавской Республики от </w:t>
      </w:r>
      <w:r>
        <w:br/>
      </w:r>
      <w:r w:rsidRPr="003070AF">
        <w:t>6 июня 1995 года «О валютном регулировании и валютном контроле»</w:t>
      </w:r>
      <w:r>
        <w:t>).</w:t>
      </w:r>
      <w:r w:rsidRPr="003070AF">
        <w:t xml:space="preserve"> </w:t>
      </w:r>
    </w:p>
    <w:p w:rsidR="004E2069" w:rsidRPr="003070AF" w:rsidRDefault="004E2069" w:rsidP="00D80B9D">
      <w:pPr>
        <w:ind w:firstLine="425"/>
        <w:jc w:val="both"/>
        <w:rPr>
          <w:sz w:val="24"/>
          <w:szCs w:val="24"/>
        </w:rPr>
      </w:pPr>
      <w:r w:rsidRPr="003070AF">
        <w:rPr>
          <w:sz w:val="24"/>
          <w:szCs w:val="24"/>
        </w:rPr>
        <w:t xml:space="preserve">В рамках </w:t>
      </w:r>
      <w:r>
        <w:rPr>
          <w:sz w:val="24"/>
          <w:szCs w:val="24"/>
        </w:rPr>
        <w:t xml:space="preserve">реализации </w:t>
      </w:r>
      <w:r w:rsidRPr="003070AF">
        <w:rPr>
          <w:sz w:val="24"/>
          <w:szCs w:val="24"/>
        </w:rPr>
        <w:t>валютной политики центральный банк провёл работу по ужесточению ответственности при репатриации валютной выручки на территорию республики.</w:t>
      </w:r>
      <w:r>
        <w:rPr>
          <w:sz w:val="24"/>
          <w:szCs w:val="24"/>
        </w:rPr>
        <w:t xml:space="preserve"> </w:t>
      </w:r>
      <w:r w:rsidRPr="003070AF">
        <w:rPr>
          <w:sz w:val="24"/>
          <w:szCs w:val="24"/>
        </w:rPr>
        <w:t xml:space="preserve">Так, с 1 августа 2017 года вступили в силу изменения и дополнения в Закон Приднестровской Молдавской Республики «О валютном регулировании и валютном контроле», а также в Кодекс Приднестровской Молдавской Республики об административных правонарушениях. </w:t>
      </w:r>
    </w:p>
    <w:p w:rsidR="004E2069" w:rsidRDefault="004E2069" w:rsidP="00D80B9D">
      <w:pPr>
        <w:ind w:firstLine="425"/>
        <w:jc w:val="both"/>
        <w:rPr>
          <w:sz w:val="24"/>
          <w:szCs w:val="24"/>
        </w:rPr>
      </w:pPr>
      <w:r w:rsidRPr="003070AF">
        <w:rPr>
          <w:sz w:val="24"/>
          <w:szCs w:val="24"/>
        </w:rPr>
        <w:t xml:space="preserve">Нововведения направлены на оптимизацию валютного регулирования и контроля в Приднестровской Молдавской Республике и предусматривают изменение валютного и административного законодательства по ряду направлений. В частности, </w:t>
      </w:r>
      <w:r>
        <w:rPr>
          <w:sz w:val="24"/>
          <w:szCs w:val="24"/>
        </w:rPr>
        <w:t xml:space="preserve">кроме передачи </w:t>
      </w:r>
      <w:r w:rsidRPr="003070AF">
        <w:rPr>
          <w:sz w:val="24"/>
          <w:szCs w:val="24"/>
        </w:rPr>
        <w:t>полномочи</w:t>
      </w:r>
      <w:r>
        <w:rPr>
          <w:sz w:val="24"/>
          <w:szCs w:val="24"/>
        </w:rPr>
        <w:t>й</w:t>
      </w:r>
      <w:r w:rsidRPr="003070AF">
        <w:rPr>
          <w:sz w:val="24"/>
          <w:szCs w:val="24"/>
        </w:rPr>
        <w:t xml:space="preserve"> по установлению размера и порядка обязательной продажи части валютной выручки резидентов в валютный резерв Приднестровской Молдавской Республики от Президента Приднестровской Молдавской Республики центральному банку</w:t>
      </w:r>
      <w:r>
        <w:rPr>
          <w:sz w:val="24"/>
          <w:szCs w:val="24"/>
        </w:rPr>
        <w:t>,</w:t>
      </w:r>
      <w:r w:rsidRPr="003070AF">
        <w:rPr>
          <w:sz w:val="24"/>
          <w:szCs w:val="24"/>
        </w:rPr>
        <w:t xml:space="preserve"> </w:t>
      </w:r>
      <w:r>
        <w:rPr>
          <w:sz w:val="24"/>
          <w:szCs w:val="24"/>
        </w:rPr>
        <w:t>также ц</w:t>
      </w:r>
      <w:r w:rsidRPr="003070AF">
        <w:rPr>
          <w:sz w:val="24"/>
          <w:szCs w:val="24"/>
        </w:rPr>
        <w:t xml:space="preserve">ентральный банк </w:t>
      </w:r>
      <w:r>
        <w:rPr>
          <w:sz w:val="24"/>
          <w:szCs w:val="24"/>
        </w:rPr>
        <w:t xml:space="preserve">был </w:t>
      </w:r>
      <w:r w:rsidRPr="003070AF">
        <w:rPr>
          <w:sz w:val="24"/>
          <w:szCs w:val="24"/>
        </w:rPr>
        <w:t>надел</w:t>
      </w:r>
      <w:r>
        <w:rPr>
          <w:sz w:val="24"/>
          <w:szCs w:val="24"/>
        </w:rPr>
        <w:t>ён</w:t>
      </w:r>
      <w:r w:rsidRPr="003070AF">
        <w:rPr>
          <w:sz w:val="24"/>
          <w:szCs w:val="24"/>
        </w:rPr>
        <w:t xml:space="preserve"> полномочиями по продлению сроков репатриации и снятию с валютного контроля сумм безнадёжной задолженности, в случаях представления резидентом документального подтверждения фактов, свидетельствующих о невозможности взыскания или возврата причитающихся им сумм. </w:t>
      </w:r>
      <w:r>
        <w:rPr>
          <w:sz w:val="24"/>
          <w:szCs w:val="24"/>
        </w:rPr>
        <w:t xml:space="preserve">Такие подходы предоставили широкие полномочия и мобильность центральному банку, учитывая, что согласно действующему законодательству, именно ПРБ наделён функцией валютного контроля и регулирования. </w:t>
      </w:r>
    </w:p>
    <w:p w:rsidR="004E2069" w:rsidRDefault="004E2069" w:rsidP="00D80B9D">
      <w:pPr>
        <w:ind w:firstLine="425"/>
        <w:jc w:val="both"/>
        <w:rPr>
          <w:sz w:val="24"/>
          <w:szCs w:val="24"/>
        </w:rPr>
      </w:pPr>
      <w:r w:rsidRPr="003070AF">
        <w:rPr>
          <w:sz w:val="24"/>
          <w:szCs w:val="24"/>
        </w:rPr>
        <w:t>С 1 августа 2017 года невыполнение обязанности по получению в установленный срок экспортной валютной выручки, равно как и обязанности возврата авансовых платежей за неосуществлённый импорт или ввоза в установленный срок импортных товаров, выполнения работ, оказания услуг, влечёт наложение административного штрафа на индивидуальных предпринимателей, юридических лиц в размере одного размера суммы валютной выручки, не поступившей в установленный срок, или суммы авансовых платежей за неосуществл</w:t>
      </w:r>
      <w:r>
        <w:rPr>
          <w:sz w:val="24"/>
          <w:szCs w:val="24"/>
        </w:rPr>
        <w:t>ё</w:t>
      </w:r>
      <w:r w:rsidRPr="003070AF">
        <w:rPr>
          <w:sz w:val="24"/>
          <w:szCs w:val="24"/>
        </w:rPr>
        <w:t xml:space="preserve">нный импорт, не поступившей в установленный срок, или стоимости не ввезённых в установленный срок импортных товаров, невыполненных работ, неоказанных услуг. Полномочиями по рассмотрению административных дел данной категории наделяется центральный банк. </w:t>
      </w:r>
    </w:p>
    <w:p w:rsidR="004E2069" w:rsidRDefault="004E2069" w:rsidP="00D80B9D">
      <w:pPr>
        <w:ind w:firstLine="425"/>
        <w:jc w:val="both"/>
        <w:rPr>
          <w:sz w:val="24"/>
          <w:szCs w:val="24"/>
        </w:rPr>
      </w:pPr>
      <w:r w:rsidRPr="003070AF">
        <w:rPr>
          <w:sz w:val="24"/>
          <w:szCs w:val="24"/>
        </w:rPr>
        <w:t xml:space="preserve">Одновременно на территории Приднестровской Молдавской Республики проведена амнистия нарушений сроков репатриации, возникших до вступления в силу Закона </w:t>
      </w:r>
      <w:r>
        <w:rPr>
          <w:sz w:val="24"/>
          <w:szCs w:val="24"/>
        </w:rPr>
        <w:br/>
        <w:t>№</w:t>
      </w:r>
      <w:r w:rsidRPr="003070AF">
        <w:rPr>
          <w:sz w:val="24"/>
          <w:szCs w:val="24"/>
        </w:rPr>
        <w:t xml:space="preserve"> 214-ЗИ-VI «О внесении изменений в Закон Приднестровской Молдавской Республики «О валютном регулировании и валютном контроле». Амнистия проведена пут</w:t>
      </w:r>
      <w:r>
        <w:rPr>
          <w:sz w:val="24"/>
          <w:szCs w:val="24"/>
        </w:rPr>
        <w:t>ё</w:t>
      </w:r>
      <w:r w:rsidRPr="003070AF">
        <w:rPr>
          <w:sz w:val="24"/>
          <w:szCs w:val="24"/>
        </w:rPr>
        <w:t xml:space="preserve">м прекращения взыскания (освобождения от уплаты) штрафов за нарушение сроков репатриации, возникших до вступления в силу данного закона. Объектами амнистии стали все неоплаченные штрафы за нарушение сроков репатриации, возникшие до вступления в силу данного закона. </w:t>
      </w:r>
    </w:p>
    <w:p w:rsidR="004E2069" w:rsidRPr="00926325" w:rsidRDefault="004E2069" w:rsidP="00926325">
      <w:pPr>
        <w:ind w:firstLine="425"/>
        <w:jc w:val="both"/>
        <w:rPr>
          <w:sz w:val="24"/>
          <w:szCs w:val="24"/>
        </w:rPr>
      </w:pPr>
      <w:r w:rsidRPr="00D73101">
        <w:rPr>
          <w:sz w:val="24"/>
          <w:szCs w:val="24"/>
        </w:rPr>
        <w:t>Кроме того, в конце декабря 2017 года вступило в силу требование о репатриации валютных средств по внешнеэкономическим договорам (контрактам), предусматривающим экспорт из Приднестровской Молдавской Республики зерновых, масличных и технических культур, производимой в срок не более 90 (девяноста) календарных дней.</w:t>
      </w:r>
      <w:r w:rsidRPr="00926325">
        <w:rPr>
          <w:sz w:val="24"/>
          <w:szCs w:val="24"/>
        </w:rPr>
        <w:t xml:space="preserve"> </w:t>
      </w:r>
    </w:p>
    <w:p w:rsidR="004E2069" w:rsidRPr="003070AF" w:rsidRDefault="004E2069" w:rsidP="00D80B9D">
      <w:pPr>
        <w:ind w:firstLine="425"/>
        <w:jc w:val="both"/>
        <w:rPr>
          <w:sz w:val="24"/>
          <w:szCs w:val="24"/>
        </w:rPr>
      </w:pPr>
      <w:r w:rsidRPr="003070AF">
        <w:rPr>
          <w:sz w:val="24"/>
          <w:szCs w:val="24"/>
        </w:rPr>
        <w:t xml:space="preserve">В рамках валютного контроля осуществлялась проверка выполнения резидентами обязательств по репатриации валютной выручки на территорию </w:t>
      </w:r>
      <w:r>
        <w:rPr>
          <w:sz w:val="24"/>
          <w:szCs w:val="24"/>
        </w:rPr>
        <w:t>республ</w:t>
      </w:r>
      <w:r w:rsidRPr="003070AF">
        <w:rPr>
          <w:sz w:val="24"/>
          <w:szCs w:val="24"/>
        </w:rPr>
        <w:t>ики, а также обязательств по продаже е</w:t>
      </w:r>
      <w:r>
        <w:rPr>
          <w:sz w:val="24"/>
          <w:szCs w:val="24"/>
        </w:rPr>
        <w:t>ё</w:t>
      </w:r>
      <w:r w:rsidRPr="003070AF">
        <w:rPr>
          <w:sz w:val="24"/>
          <w:szCs w:val="24"/>
        </w:rPr>
        <w:t xml:space="preserve"> части на внутреннем валютном рынке, определялась обоснованность платежей в иностранной валюте, оценивалась полнота и объективность уч</w:t>
      </w:r>
      <w:r>
        <w:rPr>
          <w:sz w:val="24"/>
          <w:szCs w:val="24"/>
        </w:rPr>
        <w:t>ё</w:t>
      </w:r>
      <w:r w:rsidRPr="003070AF">
        <w:rPr>
          <w:sz w:val="24"/>
          <w:szCs w:val="24"/>
        </w:rPr>
        <w:t>та и отч</w:t>
      </w:r>
      <w:r>
        <w:rPr>
          <w:sz w:val="24"/>
          <w:szCs w:val="24"/>
        </w:rPr>
        <w:t>ё</w:t>
      </w:r>
      <w:r w:rsidRPr="003070AF">
        <w:rPr>
          <w:sz w:val="24"/>
          <w:szCs w:val="24"/>
        </w:rPr>
        <w:t>тности по валютным операциям, соответствие проводимых валютных операций действующему законодательству.</w:t>
      </w:r>
    </w:p>
    <w:p w:rsidR="004E2069" w:rsidRPr="000D2ECA" w:rsidRDefault="004E2069" w:rsidP="000D2ECA">
      <w:pPr>
        <w:ind w:firstLine="425"/>
        <w:jc w:val="both"/>
        <w:rPr>
          <w:sz w:val="24"/>
          <w:szCs w:val="24"/>
          <w:highlight w:val="yellow"/>
        </w:rPr>
      </w:pPr>
      <w:r w:rsidRPr="003070AF">
        <w:rPr>
          <w:sz w:val="24"/>
          <w:szCs w:val="24"/>
        </w:rPr>
        <w:t>Приднестровский республиканский банк совместно с таможенными органами проводил анализ соблюдения резидентами сроков репатриации валютной выручки и ввоза товаров по экспортно-импортным сделкам. Протоколами об административном правонарушении было зафиксировано 109 случаев нарушения сроков репатриации валютной выручки, возврата авансовых платежей по импортным операциям, не сопровождающихся поставками товаров (работ, услуг) и было вынесено 52 Постановления о назначен</w:t>
      </w:r>
      <w:r>
        <w:rPr>
          <w:sz w:val="24"/>
          <w:szCs w:val="24"/>
        </w:rPr>
        <w:t xml:space="preserve">ии административного наказания. </w:t>
      </w:r>
      <w:r w:rsidRPr="003070AF">
        <w:rPr>
          <w:sz w:val="24"/>
          <w:szCs w:val="24"/>
        </w:rPr>
        <w:t xml:space="preserve">Общая сумма наложенных административных штрафов составила в долларовом эквиваленте </w:t>
      </w:r>
      <w:r w:rsidRPr="00F44BD6">
        <w:rPr>
          <w:sz w:val="24"/>
          <w:szCs w:val="24"/>
        </w:rPr>
        <w:t xml:space="preserve">374,7 тыс. </w:t>
      </w:r>
    </w:p>
    <w:p w:rsidR="004E2069" w:rsidRDefault="004E2069" w:rsidP="00D80B9D">
      <w:pPr>
        <w:ind w:firstLine="425"/>
        <w:jc w:val="both"/>
        <w:rPr>
          <w:sz w:val="24"/>
          <w:szCs w:val="24"/>
        </w:rPr>
      </w:pPr>
      <w:r w:rsidRPr="00F44BD6">
        <w:rPr>
          <w:sz w:val="24"/>
          <w:szCs w:val="24"/>
        </w:rPr>
        <w:t>В 2017 году хозяйствующими субъектами уплачено штрафов в сумме 846,3 долл.</w:t>
      </w:r>
      <w:r w:rsidRPr="003070AF">
        <w:rPr>
          <w:sz w:val="24"/>
          <w:szCs w:val="24"/>
        </w:rPr>
        <w:t xml:space="preserve"> </w:t>
      </w:r>
      <w:r w:rsidRPr="00F44BD6">
        <w:rPr>
          <w:sz w:val="24"/>
          <w:szCs w:val="24"/>
        </w:rPr>
        <w:t>В соответствии с действующим законодательством часть административного штрафа в размере одной десятой должна быть уплачена в полном размере лицом, привлечённым к административной ответственности, не позднее 30 дней со дня вступления постановления о наложении административного штрафа в законную силу; и часть административного штрафа в размере девяти десятых должна быть уплачена в полном размере лицом, привлечённым к административной ответственности, не позднее 30 месяцев со дня вступления постановления о наложении административного штрафа в законную силу, ежемесячными равными платежами в размере трёх сотых, начиная с первого месяца со дня вступления постановления о наложении административного штрафа в законную силу. В случае непредставления лицом, привлечённым к административной ответственности, документа, свидетельствующего об уплате административного штрафа, по истечении срока, установленного для уплаты соответствующей части штрафа, копия постановления о наложении административного штрафа направляется судебному исполнителю в установленном порядке.</w:t>
      </w:r>
      <w:r w:rsidRPr="003070AF">
        <w:rPr>
          <w:sz w:val="24"/>
          <w:szCs w:val="24"/>
        </w:rPr>
        <w:t xml:space="preserve"> </w:t>
      </w:r>
    </w:p>
    <w:p w:rsidR="004E2069" w:rsidRPr="003070AF" w:rsidRDefault="004E2069" w:rsidP="00D80B9D">
      <w:pPr>
        <w:ind w:firstLine="425"/>
        <w:jc w:val="both"/>
        <w:rPr>
          <w:sz w:val="24"/>
          <w:szCs w:val="24"/>
        </w:rPr>
      </w:pPr>
      <w:r w:rsidRPr="00E95790">
        <w:rPr>
          <w:sz w:val="24"/>
          <w:szCs w:val="24"/>
        </w:rPr>
        <w:t>Усиление мер ответственности привело к повышению уровня дисциплины хозяйствующих субъектов в отношении нормативных требований валютного законодательства.</w:t>
      </w:r>
    </w:p>
    <w:p w:rsidR="004E2069" w:rsidRPr="003070AF" w:rsidRDefault="004E2069" w:rsidP="00D80B9D">
      <w:pPr>
        <w:ind w:firstLine="425"/>
        <w:jc w:val="both"/>
        <w:rPr>
          <w:sz w:val="24"/>
          <w:szCs w:val="24"/>
        </w:rPr>
      </w:pPr>
      <w:r w:rsidRPr="003070AF">
        <w:rPr>
          <w:sz w:val="24"/>
          <w:szCs w:val="24"/>
        </w:rPr>
        <w:t>В отч</w:t>
      </w:r>
      <w:r>
        <w:rPr>
          <w:sz w:val="24"/>
          <w:szCs w:val="24"/>
        </w:rPr>
        <w:t>ё</w:t>
      </w:r>
      <w:r w:rsidRPr="003070AF">
        <w:rPr>
          <w:sz w:val="24"/>
          <w:szCs w:val="24"/>
        </w:rPr>
        <w:t xml:space="preserve">тном </w:t>
      </w:r>
      <w:r>
        <w:rPr>
          <w:sz w:val="24"/>
          <w:szCs w:val="24"/>
        </w:rPr>
        <w:t>году</w:t>
      </w:r>
      <w:r w:rsidRPr="003070AF">
        <w:rPr>
          <w:sz w:val="24"/>
          <w:szCs w:val="24"/>
        </w:rPr>
        <w:t xml:space="preserve"> было принято положительное решение о выдаче юридическим лицам - резидентам Приднестровской Молдавской Республики разрешений на осуществление валютных операций, связанных с движением капитала по операциям, связанным с использованием юридическими лицами</w:t>
      </w:r>
      <w:r>
        <w:rPr>
          <w:sz w:val="24"/>
          <w:szCs w:val="24"/>
        </w:rPr>
        <w:t>-</w:t>
      </w:r>
      <w:r w:rsidRPr="003070AF">
        <w:rPr>
          <w:sz w:val="24"/>
          <w:szCs w:val="24"/>
        </w:rPr>
        <w:t>резидентами вексельной формы расч</w:t>
      </w:r>
      <w:r>
        <w:rPr>
          <w:sz w:val="24"/>
          <w:szCs w:val="24"/>
        </w:rPr>
        <w:t>ё</w:t>
      </w:r>
      <w:r w:rsidRPr="003070AF">
        <w:rPr>
          <w:sz w:val="24"/>
          <w:szCs w:val="24"/>
        </w:rPr>
        <w:t>тов с нерезидентами (принятие векселей в качестве оплаты по д</w:t>
      </w:r>
      <w:r>
        <w:rPr>
          <w:sz w:val="24"/>
          <w:szCs w:val="24"/>
        </w:rPr>
        <w:t>оговорам), на сумму</w:t>
      </w:r>
      <w:r w:rsidRPr="003070AF">
        <w:rPr>
          <w:sz w:val="24"/>
          <w:szCs w:val="24"/>
        </w:rPr>
        <w:t xml:space="preserve"> 48,</w:t>
      </w:r>
      <w:r>
        <w:rPr>
          <w:sz w:val="24"/>
          <w:szCs w:val="24"/>
        </w:rPr>
        <w:t>1 млн</w:t>
      </w:r>
      <w:r w:rsidRPr="003070AF">
        <w:rPr>
          <w:sz w:val="24"/>
          <w:szCs w:val="24"/>
        </w:rPr>
        <w:t xml:space="preserve"> долл.</w:t>
      </w:r>
    </w:p>
    <w:p w:rsidR="004E2069" w:rsidRPr="003070AF" w:rsidRDefault="004E2069" w:rsidP="00D80B9D">
      <w:pPr>
        <w:ind w:firstLine="425"/>
        <w:jc w:val="both"/>
        <w:rPr>
          <w:sz w:val="24"/>
          <w:szCs w:val="24"/>
        </w:rPr>
      </w:pPr>
      <w:r w:rsidRPr="003070AF">
        <w:rPr>
          <w:sz w:val="24"/>
          <w:szCs w:val="24"/>
        </w:rPr>
        <w:t xml:space="preserve">По выданным Приднестровским республиканским банком лицензиям на право реализации товаров, работ, услуг на территории Приднестровской Молдавской Республики за наличную иностранную валюту </w:t>
      </w:r>
      <w:r w:rsidRPr="00F47CF6">
        <w:rPr>
          <w:sz w:val="24"/>
          <w:szCs w:val="24"/>
        </w:rPr>
        <w:t>работало</w:t>
      </w:r>
      <w:r w:rsidRPr="003070AF">
        <w:rPr>
          <w:sz w:val="24"/>
          <w:szCs w:val="24"/>
        </w:rPr>
        <w:t xml:space="preserve"> 21 юридическое лицо. </w:t>
      </w:r>
    </w:p>
    <w:p w:rsidR="004E2069" w:rsidRDefault="004E2069" w:rsidP="00D80B9D">
      <w:pPr>
        <w:ind w:firstLine="425"/>
        <w:jc w:val="both"/>
        <w:rPr>
          <w:sz w:val="24"/>
          <w:szCs w:val="24"/>
        </w:rPr>
      </w:pPr>
      <w:r w:rsidRPr="003070AF">
        <w:rPr>
          <w:sz w:val="24"/>
          <w:szCs w:val="24"/>
        </w:rPr>
        <w:t>На основании соответствующих разрешений Приднестровского республиканского банка</w:t>
      </w:r>
      <w:r>
        <w:rPr>
          <w:sz w:val="24"/>
          <w:szCs w:val="24"/>
        </w:rPr>
        <w:t xml:space="preserve"> в течение отчётного года 22</w:t>
      </w:r>
      <w:r w:rsidRPr="003070AF">
        <w:rPr>
          <w:sz w:val="24"/>
          <w:szCs w:val="24"/>
        </w:rPr>
        <w:t xml:space="preserve"> </w:t>
      </w:r>
      <w:r>
        <w:rPr>
          <w:sz w:val="24"/>
          <w:szCs w:val="24"/>
        </w:rPr>
        <w:t>предприятия</w:t>
      </w:r>
      <w:r w:rsidRPr="003070AF">
        <w:rPr>
          <w:sz w:val="24"/>
          <w:szCs w:val="24"/>
        </w:rPr>
        <w:t>-резидент</w:t>
      </w:r>
      <w:r>
        <w:rPr>
          <w:sz w:val="24"/>
          <w:szCs w:val="24"/>
        </w:rPr>
        <w:t>а</w:t>
      </w:r>
      <w:r w:rsidRPr="003070AF">
        <w:rPr>
          <w:sz w:val="24"/>
          <w:szCs w:val="24"/>
        </w:rPr>
        <w:t xml:space="preserve"> Придне</w:t>
      </w:r>
      <w:r>
        <w:rPr>
          <w:sz w:val="24"/>
          <w:szCs w:val="24"/>
        </w:rPr>
        <w:t>стровской Молдавской Республики проводили операции через открытые ими счета в банках за пределами республики.</w:t>
      </w:r>
    </w:p>
    <w:p w:rsidR="004E2069" w:rsidRDefault="004E2069" w:rsidP="00D80B9D">
      <w:pPr>
        <w:ind w:firstLine="425"/>
        <w:jc w:val="both"/>
        <w:rPr>
          <w:sz w:val="24"/>
          <w:szCs w:val="24"/>
        </w:rPr>
      </w:pPr>
    </w:p>
    <w:p w:rsidR="004E2069" w:rsidRPr="00E85DD7" w:rsidRDefault="004E2069" w:rsidP="00E90743">
      <w:pPr>
        <w:widowControl w:val="0"/>
        <w:numPr>
          <w:ilvl w:val="1"/>
          <w:numId w:val="2"/>
        </w:numPr>
        <w:tabs>
          <w:tab w:val="clear" w:pos="360"/>
          <w:tab w:val="num" w:pos="0"/>
        </w:tabs>
        <w:ind w:left="0" w:firstLine="0"/>
        <w:jc w:val="both"/>
        <w:rPr>
          <w:b/>
          <w:bCs/>
          <w:noProof/>
          <w:sz w:val="24"/>
          <w:szCs w:val="24"/>
        </w:rPr>
      </w:pPr>
      <w:r w:rsidRPr="00E85DD7">
        <w:rPr>
          <w:b/>
          <w:bCs/>
          <w:noProof/>
          <w:sz w:val="24"/>
          <w:szCs w:val="24"/>
        </w:rPr>
        <w:t xml:space="preserve">ДЕЯТЕЛЬНОСТЬ ПРИДНЕСТРОВСКОГО РЕСПУБЛИКАНСКОГО БАНКА В ОБЛАСТИ ПРОТИВОДЕЙСТВИЯ ЛЕГАЛИЗАЦИИ (ОТМЫВАНИЮ) ДОХОДОВ, ПОЛУЧЕННЫХ ПРЕСТУПНЫМ ПУТЁМ, И ФИНАНСИРОВАНИЮ ТЕРРОРИЗМА </w:t>
      </w:r>
    </w:p>
    <w:p w:rsidR="004E2069" w:rsidRPr="00C0580B" w:rsidRDefault="004E2069" w:rsidP="00C0580B">
      <w:pPr>
        <w:spacing w:before="120"/>
        <w:ind w:firstLine="425"/>
        <w:jc w:val="both"/>
        <w:rPr>
          <w:sz w:val="24"/>
          <w:szCs w:val="24"/>
        </w:rPr>
      </w:pPr>
      <w:r w:rsidRPr="00C0580B">
        <w:rPr>
          <w:sz w:val="24"/>
          <w:szCs w:val="24"/>
        </w:rPr>
        <w:t>В 2017 году Приднестровским республиканским банком была продолжена работа по развитию системы противодействия легализации (отмыванию) доходов, полученных преступным путём, и финансированию терроризма (далее – ПОД/ФТ).</w:t>
      </w:r>
    </w:p>
    <w:p w:rsidR="004E2069" w:rsidRPr="00C0580B" w:rsidRDefault="004E2069" w:rsidP="00C0580B">
      <w:pPr>
        <w:ind w:firstLine="425"/>
        <w:jc w:val="both"/>
        <w:rPr>
          <w:snapToGrid w:val="0"/>
          <w:sz w:val="24"/>
          <w:szCs w:val="24"/>
        </w:rPr>
      </w:pPr>
      <w:r>
        <w:rPr>
          <w:sz w:val="24"/>
          <w:szCs w:val="24"/>
        </w:rPr>
        <w:t>Р</w:t>
      </w:r>
      <w:r w:rsidRPr="00C0580B">
        <w:rPr>
          <w:sz w:val="24"/>
          <w:szCs w:val="24"/>
        </w:rPr>
        <w:t>еализация функций, предусмотренных статьёй 12 Закона Приднестровской Молдавской Республики от 6 апреля 2009 года № 704-З-IV «О противодействии легализации (отмыванию) доходов, полученных преступным путём, и финансированию терроризма» (далее – Закон) Приднестровским республиканским банком как уполномоченным</w:t>
      </w:r>
      <w:r w:rsidRPr="00C0580B">
        <w:rPr>
          <w:snapToGrid w:val="0"/>
          <w:sz w:val="24"/>
          <w:szCs w:val="24"/>
        </w:rPr>
        <w:t xml:space="preserve"> органом в сфере ПОД/ФТ осуществлялась по следующим направлениям</w:t>
      </w:r>
      <w:r>
        <w:rPr>
          <w:snapToGrid w:val="0"/>
          <w:sz w:val="24"/>
          <w:szCs w:val="24"/>
        </w:rPr>
        <w:t>:</w:t>
      </w:r>
    </w:p>
    <w:p w:rsidR="004E2069" w:rsidRPr="00C0580B" w:rsidRDefault="004E2069" w:rsidP="00E90743">
      <w:pPr>
        <w:numPr>
          <w:ilvl w:val="0"/>
          <w:numId w:val="4"/>
        </w:numPr>
        <w:tabs>
          <w:tab w:val="left" w:pos="720"/>
        </w:tabs>
        <w:ind w:left="0" w:firstLine="425"/>
        <w:jc w:val="both"/>
        <w:rPr>
          <w:sz w:val="24"/>
          <w:szCs w:val="24"/>
        </w:rPr>
      </w:pPr>
      <w:r w:rsidRPr="00C0580B">
        <w:rPr>
          <w:sz w:val="24"/>
          <w:szCs w:val="24"/>
        </w:rPr>
        <w:t>Поставлено на уч</w:t>
      </w:r>
      <w:r>
        <w:rPr>
          <w:sz w:val="24"/>
          <w:szCs w:val="24"/>
        </w:rPr>
        <w:t>ё</w:t>
      </w:r>
      <w:r w:rsidRPr="00C0580B">
        <w:rPr>
          <w:sz w:val="24"/>
          <w:szCs w:val="24"/>
        </w:rPr>
        <w:t xml:space="preserve">т </w:t>
      </w:r>
      <w:r w:rsidRPr="000902DC">
        <w:rPr>
          <w:sz w:val="24"/>
          <w:szCs w:val="24"/>
        </w:rPr>
        <w:t>6 с</w:t>
      </w:r>
      <w:r w:rsidRPr="00C0580B">
        <w:rPr>
          <w:sz w:val="24"/>
          <w:szCs w:val="24"/>
        </w:rPr>
        <w:t xml:space="preserve">убъектов финансового мониторинга: </w:t>
      </w:r>
    </w:p>
    <w:p w:rsidR="004E2069" w:rsidRPr="00C0580B" w:rsidRDefault="004E2069" w:rsidP="00C0580B">
      <w:pPr>
        <w:tabs>
          <w:tab w:val="left" w:pos="720"/>
        </w:tabs>
        <w:ind w:firstLine="425"/>
        <w:jc w:val="both"/>
        <w:rPr>
          <w:sz w:val="24"/>
          <w:szCs w:val="24"/>
        </w:rPr>
      </w:pPr>
      <w:r>
        <w:rPr>
          <w:sz w:val="24"/>
          <w:szCs w:val="24"/>
        </w:rPr>
        <w:t>-</w:t>
      </w:r>
      <w:r w:rsidRPr="00C0580B">
        <w:rPr>
          <w:sz w:val="24"/>
          <w:szCs w:val="24"/>
        </w:rPr>
        <w:t xml:space="preserve"> </w:t>
      </w:r>
      <w:r>
        <w:rPr>
          <w:sz w:val="24"/>
          <w:szCs w:val="24"/>
        </w:rPr>
        <w:t>три</w:t>
      </w:r>
      <w:r w:rsidRPr="00C0580B">
        <w:rPr>
          <w:sz w:val="24"/>
          <w:szCs w:val="24"/>
        </w:rPr>
        <w:t xml:space="preserve"> организации, оказывающие посреднические услуги при осуществлении сделок с недвижимым имуществом;</w:t>
      </w:r>
    </w:p>
    <w:p w:rsidR="004E2069" w:rsidRDefault="004E2069" w:rsidP="00C0580B">
      <w:pPr>
        <w:tabs>
          <w:tab w:val="left" w:pos="720"/>
        </w:tabs>
        <w:ind w:firstLine="425"/>
        <w:jc w:val="both"/>
        <w:rPr>
          <w:sz w:val="24"/>
          <w:szCs w:val="24"/>
        </w:rPr>
      </w:pPr>
      <w:r>
        <w:rPr>
          <w:sz w:val="24"/>
          <w:szCs w:val="24"/>
        </w:rPr>
        <w:t>-</w:t>
      </w:r>
      <w:r w:rsidRPr="00C0580B">
        <w:rPr>
          <w:sz w:val="24"/>
          <w:szCs w:val="24"/>
        </w:rPr>
        <w:t xml:space="preserve"> </w:t>
      </w:r>
      <w:r>
        <w:rPr>
          <w:sz w:val="24"/>
          <w:szCs w:val="24"/>
        </w:rPr>
        <w:t>две</w:t>
      </w:r>
      <w:r w:rsidRPr="00C0580B">
        <w:rPr>
          <w:sz w:val="24"/>
          <w:szCs w:val="24"/>
        </w:rPr>
        <w:t xml:space="preserve"> организации, осуществляющие куплю-продажу драгоценных металлов и драгоценных камней, ювелирных изде</w:t>
      </w:r>
      <w:r>
        <w:rPr>
          <w:sz w:val="24"/>
          <w:szCs w:val="24"/>
        </w:rPr>
        <w:t>лий из них и лома таких изделий;</w:t>
      </w:r>
    </w:p>
    <w:p w:rsidR="004E2069" w:rsidRPr="00C0580B" w:rsidRDefault="004E2069" w:rsidP="00C0580B">
      <w:pPr>
        <w:tabs>
          <w:tab w:val="left" w:pos="720"/>
        </w:tabs>
        <w:ind w:firstLine="425"/>
        <w:jc w:val="both"/>
        <w:rPr>
          <w:sz w:val="24"/>
          <w:szCs w:val="24"/>
        </w:rPr>
      </w:pPr>
      <w:r>
        <w:rPr>
          <w:sz w:val="24"/>
          <w:szCs w:val="24"/>
        </w:rPr>
        <w:t>-</w:t>
      </w:r>
      <w:r w:rsidRPr="00C0580B">
        <w:rPr>
          <w:sz w:val="24"/>
          <w:szCs w:val="24"/>
        </w:rPr>
        <w:t xml:space="preserve"> одна организация, осуществляющая деятельность в качестве ломбарда.</w:t>
      </w:r>
    </w:p>
    <w:p w:rsidR="004E2069" w:rsidRPr="00C0580B" w:rsidRDefault="004E2069" w:rsidP="00CE2B06">
      <w:pPr>
        <w:tabs>
          <w:tab w:val="left" w:pos="720"/>
        </w:tabs>
        <w:ind w:firstLine="425"/>
        <w:jc w:val="both"/>
        <w:rPr>
          <w:b/>
          <w:sz w:val="24"/>
          <w:szCs w:val="24"/>
        </w:rPr>
      </w:pPr>
      <w:r>
        <w:rPr>
          <w:sz w:val="24"/>
          <w:szCs w:val="24"/>
        </w:rPr>
        <w:t>В результате п</w:t>
      </w:r>
      <w:r w:rsidRPr="00C0580B">
        <w:rPr>
          <w:sz w:val="24"/>
          <w:szCs w:val="24"/>
        </w:rPr>
        <w:t>о состоянию на 31 декабря 2017 года на уч</w:t>
      </w:r>
      <w:r>
        <w:rPr>
          <w:sz w:val="24"/>
          <w:szCs w:val="24"/>
        </w:rPr>
        <w:t>ё</w:t>
      </w:r>
      <w:r w:rsidRPr="00C0580B">
        <w:rPr>
          <w:sz w:val="24"/>
          <w:szCs w:val="24"/>
        </w:rPr>
        <w:t xml:space="preserve">те в Приднестровском республиканском банке состоит </w:t>
      </w:r>
      <w:r w:rsidRPr="00CE2B06">
        <w:rPr>
          <w:sz w:val="24"/>
          <w:szCs w:val="24"/>
        </w:rPr>
        <w:t xml:space="preserve">181 </w:t>
      </w:r>
      <w:r w:rsidRPr="00C0580B">
        <w:rPr>
          <w:sz w:val="24"/>
          <w:szCs w:val="24"/>
        </w:rPr>
        <w:t>организаци</w:t>
      </w:r>
      <w:r>
        <w:rPr>
          <w:sz w:val="24"/>
          <w:szCs w:val="24"/>
        </w:rPr>
        <w:t>я</w:t>
      </w:r>
      <w:r w:rsidRPr="00C0580B">
        <w:rPr>
          <w:sz w:val="24"/>
          <w:szCs w:val="24"/>
        </w:rPr>
        <w:t>, осуществляющ</w:t>
      </w:r>
      <w:r>
        <w:rPr>
          <w:sz w:val="24"/>
          <w:szCs w:val="24"/>
        </w:rPr>
        <w:t>ая</w:t>
      </w:r>
      <w:r w:rsidRPr="00C0580B">
        <w:rPr>
          <w:sz w:val="24"/>
          <w:szCs w:val="24"/>
        </w:rPr>
        <w:t xml:space="preserve"> операции (сделки) с денежными средствами или иным имуществом</w:t>
      </w:r>
      <w:r>
        <w:rPr>
          <w:sz w:val="24"/>
          <w:szCs w:val="24"/>
        </w:rPr>
        <w:t>,</w:t>
      </w:r>
      <w:r w:rsidRPr="00C0580B">
        <w:rPr>
          <w:sz w:val="24"/>
          <w:szCs w:val="24"/>
        </w:rPr>
        <w:t xml:space="preserve"> и иных лиц</w:t>
      </w:r>
      <w:r w:rsidRPr="00C0580B">
        <w:rPr>
          <w:b/>
          <w:sz w:val="24"/>
          <w:szCs w:val="24"/>
        </w:rPr>
        <w:t>.</w:t>
      </w:r>
    </w:p>
    <w:p w:rsidR="004E2069" w:rsidRPr="00C0580B" w:rsidRDefault="004E2069" w:rsidP="00E90743">
      <w:pPr>
        <w:numPr>
          <w:ilvl w:val="0"/>
          <w:numId w:val="4"/>
        </w:numPr>
        <w:tabs>
          <w:tab w:val="left" w:pos="720"/>
        </w:tabs>
        <w:ind w:left="0" w:firstLine="425"/>
        <w:jc w:val="both"/>
        <w:rPr>
          <w:sz w:val="24"/>
          <w:szCs w:val="24"/>
        </w:rPr>
      </w:pPr>
      <w:r w:rsidRPr="00C0580B">
        <w:rPr>
          <w:sz w:val="24"/>
          <w:szCs w:val="24"/>
        </w:rPr>
        <w:t>Рассмотрены и согласованы Правила внутренн</w:t>
      </w:r>
      <w:r>
        <w:rPr>
          <w:sz w:val="24"/>
          <w:szCs w:val="24"/>
        </w:rPr>
        <w:t>его контроля (изменения и/</w:t>
      </w:r>
      <w:r w:rsidRPr="00C0580B">
        <w:rPr>
          <w:sz w:val="24"/>
          <w:szCs w:val="24"/>
        </w:rPr>
        <w:t xml:space="preserve">или дополнения), представленные на согласование </w:t>
      </w:r>
      <w:r w:rsidRPr="00CE2B06">
        <w:rPr>
          <w:sz w:val="24"/>
          <w:szCs w:val="24"/>
        </w:rPr>
        <w:t>13</w:t>
      </w:r>
      <w:r w:rsidRPr="00C0580B">
        <w:rPr>
          <w:sz w:val="24"/>
          <w:szCs w:val="24"/>
        </w:rPr>
        <w:t xml:space="preserve"> организациями, осуществляющими операции (сделки) с денежными средствами или иным имуществом.</w:t>
      </w:r>
    </w:p>
    <w:p w:rsidR="004E2069" w:rsidRPr="00C0580B" w:rsidRDefault="004E2069" w:rsidP="00C0580B">
      <w:pPr>
        <w:tabs>
          <w:tab w:val="left" w:pos="284"/>
          <w:tab w:val="left" w:pos="1080"/>
        </w:tabs>
        <w:ind w:firstLine="425"/>
        <w:jc w:val="both"/>
        <w:rPr>
          <w:sz w:val="24"/>
          <w:szCs w:val="24"/>
        </w:rPr>
      </w:pPr>
      <w:r w:rsidRPr="00CE2B06">
        <w:rPr>
          <w:sz w:val="24"/>
          <w:szCs w:val="24"/>
        </w:rPr>
        <w:t>3</w:t>
      </w:r>
      <w:r w:rsidRPr="00C0580B">
        <w:rPr>
          <w:sz w:val="24"/>
          <w:szCs w:val="24"/>
        </w:rPr>
        <w:t xml:space="preserve">. Посредством единой информационной системы в сфере ПОД/ФТ, функционирующей в Приднестровском республиканском банке, приняты и проанализированы </w:t>
      </w:r>
      <w:r w:rsidRPr="00CE2B06">
        <w:rPr>
          <w:sz w:val="24"/>
          <w:szCs w:val="24"/>
        </w:rPr>
        <w:t>3 212</w:t>
      </w:r>
      <w:r w:rsidRPr="00C0580B">
        <w:rPr>
          <w:sz w:val="24"/>
          <w:szCs w:val="24"/>
        </w:rPr>
        <w:t xml:space="preserve"> сообщений от организаций, осуществляющих операции (сделки) с денежными средствами или иным имуществом, в том числе: </w:t>
      </w:r>
    </w:p>
    <w:p w:rsidR="004E2069" w:rsidRPr="00C0580B" w:rsidRDefault="004E2069" w:rsidP="00CE2B06">
      <w:pPr>
        <w:tabs>
          <w:tab w:val="left" w:pos="1080"/>
          <w:tab w:val="num" w:pos="1620"/>
        </w:tabs>
        <w:ind w:left="425"/>
        <w:jc w:val="both"/>
        <w:rPr>
          <w:sz w:val="24"/>
          <w:szCs w:val="24"/>
        </w:rPr>
      </w:pPr>
      <w:r>
        <w:rPr>
          <w:sz w:val="24"/>
          <w:szCs w:val="24"/>
        </w:rPr>
        <w:t xml:space="preserve">- </w:t>
      </w:r>
      <w:r w:rsidRPr="00C0580B">
        <w:rPr>
          <w:sz w:val="24"/>
          <w:szCs w:val="24"/>
        </w:rPr>
        <w:t>489 сообщений по операциям (сделкам), подлежащим государственному контролю;</w:t>
      </w:r>
    </w:p>
    <w:p w:rsidR="004E2069" w:rsidRPr="00C0580B" w:rsidRDefault="004E2069" w:rsidP="00CE2B06">
      <w:pPr>
        <w:tabs>
          <w:tab w:val="left" w:pos="720"/>
          <w:tab w:val="left" w:pos="900"/>
          <w:tab w:val="num" w:pos="1080"/>
        </w:tabs>
        <w:ind w:firstLine="426"/>
        <w:jc w:val="both"/>
        <w:rPr>
          <w:snapToGrid w:val="0"/>
          <w:sz w:val="24"/>
          <w:szCs w:val="24"/>
        </w:rPr>
      </w:pPr>
      <w:r>
        <w:rPr>
          <w:sz w:val="24"/>
          <w:szCs w:val="24"/>
        </w:rPr>
        <w:t xml:space="preserve">- </w:t>
      </w:r>
      <w:r w:rsidRPr="00C0580B">
        <w:rPr>
          <w:sz w:val="24"/>
          <w:szCs w:val="24"/>
        </w:rPr>
        <w:t xml:space="preserve">2 723 сообщения по операциям (сделкам), в отношении которых возникли подозрения, что они связаны с легализацией (отмыванием) доходов, полученных преступным путём, и финансированием терроризма. </w:t>
      </w:r>
    </w:p>
    <w:p w:rsidR="004E2069" w:rsidRPr="00C0580B" w:rsidRDefault="004E2069" w:rsidP="00C0580B">
      <w:pPr>
        <w:tabs>
          <w:tab w:val="left" w:pos="720"/>
          <w:tab w:val="left" w:pos="900"/>
        </w:tabs>
        <w:ind w:firstLine="425"/>
        <w:jc w:val="both"/>
        <w:rPr>
          <w:sz w:val="24"/>
          <w:szCs w:val="24"/>
        </w:rPr>
      </w:pPr>
      <w:r w:rsidRPr="00C0580B">
        <w:rPr>
          <w:sz w:val="24"/>
          <w:szCs w:val="24"/>
        </w:rPr>
        <w:t xml:space="preserve">По итогам анализа полученных сообщений, а также иной информации, имеющейся в распоряжении Приднестровского республиканского банка, в правоохранительные органы направлено </w:t>
      </w:r>
      <w:r w:rsidRPr="00CE2B06">
        <w:rPr>
          <w:sz w:val="24"/>
          <w:szCs w:val="24"/>
        </w:rPr>
        <w:t>7</w:t>
      </w:r>
      <w:r w:rsidRPr="00C0580B">
        <w:rPr>
          <w:sz w:val="24"/>
          <w:szCs w:val="24"/>
        </w:rPr>
        <w:t xml:space="preserve"> сообщений с информацией об операциях с денежными средствами, в отношении которых имелись основания полагать, что они связаны с легализацией (отмыванием) доходов, полученных преступным путём, и финансированию терроризма.</w:t>
      </w:r>
    </w:p>
    <w:p w:rsidR="004E2069" w:rsidRPr="00C0580B" w:rsidRDefault="004E2069" w:rsidP="00C0580B">
      <w:pPr>
        <w:ind w:firstLine="425"/>
        <w:jc w:val="both"/>
        <w:rPr>
          <w:sz w:val="24"/>
          <w:szCs w:val="24"/>
        </w:rPr>
      </w:pPr>
      <w:r w:rsidRPr="00C0580B">
        <w:rPr>
          <w:sz w:val="24"/>
          <w:szCs w:val="24"/>
        </w:rPr>
        <w:t>По результатам расс</w:t>
      </w:r>
      <w:r>
        <w:rPr>
          <w:sz w:val="24"/>
          <w:szCs w:val="24"/>
        </w:rPr>
        <w:t>мотрения направленных сообщений в двух случаях</w:t>
      </w:r>
      <w:r w:rsidRPr="00C0580B">
        <w:rPr>
          <w:sz w:val="24"/>
          <w:szCs w:val="24"/>
        </w:rPr>
        <w:t xml:space="preserve"> возбуждены уголовные дела</w:t>
      </w:r>
      <w:r>
        <w:rPr>
          <w:sz w:val="24"/>
          <w:szCs w:val="24"/>
        </w:rPr>
        <w:t>, в ч</w:t>
      </w:r>
      <w:r w:rsidRPr="00C0580B">
        <w:rPr>
          <w:sz w:val="24"/>
          <w:szCs w:val="24"/>
        </w:rPr>
        <w:t>етыр</w:t>
      </w:r>
      <w:r>
        <w:rPr>
          <w:sz w:val="24"/>
          <w:szCs w:val="24"/>
        </w:rPr>
        <w:t>ёх –</w:t>
      </w:r>
      <w:r w:rsidRPr="00C0580B">
        <w:rPr>
          <w:sz w:val="24"/>
          <w:szCs w:val="24"/>
        </w:rPr>
        <w:t xml:space="preserve"> не установлены признаки состава преступления, проверка прекращена.</w:t>
      </w:r>
    </w:p>
    <w:p w:rsidR="004E2069" w:rsidRPr="00CE2B06" w:rsidRDefault="004E2069" w:rsidP="001D6B48">
      <w:pPr>
        <w:tabs>
          <w:tab w:val="left" w:pos="720"/>
          <w:tab w:val="left" w:pos="1080"/>
        </w:tabs>
        <w:ind w:firstLine="425"/>
        <w:jc w:val="both"/>
        <w:rPr>
          <w:sz w:val="24"/>
          <w:szCs w:val="24"/>
        </w:rPr>
      </w:pPr>
      <w:r w:rsidRPr="00CE2B06">
        <w:rPr>
          <w:sz w:val="24"/>
          <w:szCs w:val="24"/>
        </w:rPr>
        <w:t xml:space="preserve">4. В рамках контроля за выполнением физическими и юридическими лицами законодательства Приднестровской Молдавской Республики в сфере ПОД/ФТ составлено </w:t>
      </w:r>
      <w:r>
        <w:rPr>
          <w:sz w:val="24"/>
          <w:szCs w:val="24"/>
        </w:rPr>
        <w:br/>
      </w:r>
      <w:r w:rsidRPr="00CE2B06">
        <w:rPr>
          <w:sz w:val="24"/>
          <w:szCs w:val="24"/>
        </w:rPr>
        <w:t xml:space="preserve">14 протоколов об административных правонарушениях в отношении юридических лиц и их должностных лиц. По </w:t>
      </w:r>
      <w:r w:rsidRPr="001D6B48">
        <w:rPr>
          <w:sz w:val="24"/>
          <w:szCs w:val="24"/>
        </w:rPr>
        <w:t>6 протоколам</w:t>
      </w:r>
      <w:r w:rsidRPr="00CE2B06">
        <w:rPr>
          <w:sz w:val="24"/>
          <w:szCs w:val="24"/>
        </w:rPr>
        <w:t xml:space="preserve"> материалы были направлены в Арбитражный суд Приднестровской Мол</w:t>
      </w:r>
      <w:r>
        <w:rPr>
          <w:sz w:val="24"/>
          <w:szCs w:val="24"/>
        </w:rPr>
        <w:t xml:space="preserve">давской Республики. </w:t>
      </w:r>
      <w:r w:rsidRPr="00CE2B06">
        <w:rPr>
          <w:sz w:val="24"/>
          <w:szCs w:val="24"/>
        </w:rPr>
        <w:t xml:space="preserve">По </w:t>
      </w:r>
      <w:r w:rsidRPr="001D6B48">
        <w:rPr>
          <w:sz w:val="24"/>
          <w:szCs w:val="24"/>
        </w:rPr>
        <w:t>8 протоколам</w:t>
      </w:r>
      <w:r w:rsidRPr="00CE2B06">
        <w:rPr>
          <w:sz w:val="24"/>
          <w:szCs w:val="24"/>
        </w:rPr>
        <w:t>, в соответствии с внес</w:t>
      </w:r>
      <w:r>
        <w:rPr>
          <w:sz w:val="24"/>
          <w:szCs w:val="24"/>
        </w:rPr>
        <w:t>ё</w:t>
      </w:r>
      <w:r w:rsidRPr="00CE2B06">
        <w:rPr>
          <w:sz w:val="24"/>
          <w:szCs w:val="24"/>
        </w:rPr>
        <w:t>нными изменениями и дополнениями от 18 июля 2017 года №215-ЗИД-VI в Кодекс Приднестровской Молдавской Республики об административных правонарушениях, рассмотрение проводилось должностным лицом Приднестровского республиканского банка</w:t>
      </w:r>
      <w:r>
        <w:rPr>
          <w:sz w:val="24"/>
          <w:szCs w:val="24"/>
        </w:rPr>
        <w:t>.</w:t>
      </w:r>
    </w:p>
    <w:p w:rsidR="004E2069" w:rsidRDefault="004E2069" w:rsidP="008512DA">
      <w:pPr>
        <w:widowControl w:val="0"/>
        <w:tabs>
          <w:tab w:val="left" w:pos="1080"/>
        </w:tabs>
        <w:ind w:firstLine="426"/>
        <w:jc w:val="both"/>
        <w:rPr>
          <w:sz w:val="24"/>
          <w:szCs w:val="24"/>
        </w:rPr>
      </w:pPr>
      <w:r>
        <w:rPr>
          <w:sz w:val="24"/>
          <w:szCs w:val="24"/>
        </w:rPr>
        <w:t xml:space="preserve">5. </w:t>
      </w:r>
      <w:r w:rsidRPr="00C61168">
        <w:rPr>
          <w:sz w:val="24"/>
          <w:szCs w:val="24"/>
        </w:rPr>
        <w:t>В рамках корреспондентских отношений с банками подготовлены и направлены документы,</w:t>
      </w:r>
      <w:r>
        <w:rPr>
          <w:sz w:val="24"/>
          <w:szCs w:val="24"/>
        </w:rPr>
        <w:t xml:space="preserve"> затрагивающие вопросы ПОД/ФТ.</w:t>
      </w:r>
    </w:p>
    <w:p w:rsidR="004E2069" w:rsidRPr="00E85DD7" w:rsidRDefault="004E2069" w:rsidP="008512DA">
      <w:pPr>
        <w:widowControl w:val="0"/>
        <w:tabs>
          <w:tab w:val="left" w:pos="1080"/>
        </w:tabs>
        <w:ind w:firstLine="426"/>
        <w:jc w:val="both"/>
        <w:rPr>
          <w:sz w:val="24"/>
          <w:szCs w:val="24"/>
        </w:rPr>
      </w:pPr>
    </w:p>
    <w:p w:rsidR="004E2069" w:rsidRPr="00E85DD7" w:rsidRDefault="004E2069" w:rsidP="008512DA">
      <w:pPr>
        <w:widowControl w:val="0"/>
        <w:jc w:val="both"/>
        <w:rPr>
          <w:b/>
          <w:bCs/>
          <w:noProof/>
          <w:sz w:val="24"/>
          <w:szCs w:val="24"/>
        </w:rPr>
      </w:pPr>
      <w:r w:rsidRPr="00E85DD7">
        <w:rPr>
          <w:b/>
          <w:bCs/>
          <w:noProof/>
          <w:sz w:val="24"/>
          <w:szCs w:val="24"/>
        </w:rPr>
        <w:t>2.6. ФУНКЦИОНИРОВАНИЕ ПЛАТЁЖНОЙ СИСТЕМЫ ПРИДНЕСТРОВСКОГО РЕСПУБЛИКАНСКОГО БАНКА</w:t>
      </w:r>
    </w:p>
    <w:p w:rsidR="004E2069" w:rsidRDefault="004E2069" w:rsidP="00771178">
      <w:pPr>
        <w:widowControl w:val="0"/>
        <w:spacing w:before="120"/>
        <w:ind w:firstLine="425"/>
        <w:jc w:val="both"/>
        <w:rPr>
          <w:sz w:val="24"/>
          <w:szCs w:val="24"/>
        </w:rPr>
      </w:pPr>
      <w:r>
        <w:rPr>
          <w:sz w:val="24"/>
          <w:szCs w:val="24"/>
        </w:rPr>
        <w:t>В отчётном году в процессе осуществления Приднестровским республиканским банком функции расчётно-кассового центра было проведено 1 646,3 тыс. транзакций, что на 2,4% меньше уровня 2016 года. При этом в суммарном выражении величина переведённых средств на 13,0% превысила показатель 2016 года и достигла 167 738,8 млн руб. В среднем каждый день через Приднестровский республиканский банк проходило 4 510,3 платежей на сумму 462,3 млн руб.</w:t>
      </w:r>
    </w:p>
    <w:p w:rsidR="004E2069" w:rsidRPr="003D73E2" w:rsidRDefault="004E2069" w:rsidP="00C570B1">
      <w:pPr>
        <w:pStyle w:val="HTMLPreformatted"/>
        <w:widowControl w:val="0"/>
        <w:ind w:firstLine="425"/>
        <w:jc w:val="both"/>
        <w:rPr>
          <w:rFonts w:ascii="Times New Roman" w:hAnsi="Times New Roman" w:cs="Times New Roman"/>
          <w:sz w:val="24"/>
          <w:szCs w:val="24"/>
        </w:rPr>
      </w:pPr>
      <w:r w:rsidRPr="003D73E2">
        <w:rPr>
          <w:rFonts w:ascii="Times New Roman" w:hAnsi="Times New Roman" w:cs="Times New Roman"/>
          <w:sz w:val="24"/>
          <w:szCs w:val="24"/>
        </w:rPr>
        <w:t>В структуре операций, осуществлённых через расчётно-кассовый центр центрального банка, большая часть пришлась на транзакции кредитных организаций: 96,</w:t>
      </w:r>
      <w:r>
        <w:rPr>
          <w:rFonts w:ascii="Times New Roman" w:hAnsi="Times New Roman" w:cs="Times New Roman"/>
          <w:sz w:val="24"/>
          <w:szCs w:val="24"/>
        </w:rPr>
        <w:t>2</w:t>
      </w:r>
      <w:r w:rsidRPr="003D73E2">
        <w:rPr>
          <w:rFonts w:ascii="Times New Roman" w:hAnsi="Times New Roman" w:cs="Times New Roman"/>
          <w:sz w:val="24"/>
          <w:szCs w:val="24"/>
        </w:rPr>
        <w:t>% (</w:t>
      </w:r>
      <w:r>
        <w:rPr>
          <w:rFonts w:ascii="Times New Roman" w:hAnsi="Times New Roman" w:cs="Times New Roman"/>
          <w:sz w:val="24"/>
          <w:szCs w:val="24"/>
        </w:rPr>
        <w:t xml:space="preserve">-0,1 </w:t>
      </w:r>
      <w:r w:rsidRPr="003D73E2">
        <w:rPr>
          <w:rFonts w:ascii="Times New Roman" w:hAnsi="Times New Roman" w:cs="Times New Roman"/>
          <w:sz w:val="24"/>
          <w:szCs w:val="24"/>
        </w:rPr>
        <w:t>п.п. к уровню прошлого года) по количеству операций и 53,5</w:t>
      </w:r>
      <w:r>
        <w:rPr>
          <w:rFonts w:ascii="Times New Roman" w:hAnsi="Times New Roman" w:cs="Times New Roman"/>
          <w:sz w:val="24"/>
          <w:szCs w:val="24"/>
        </w:rPr>
        <w:t xml:space="preserve">% (-0,5 </w:t>
      </w:r>
      <w:r w:rsidRPr="003D73E2">
        <w:rPr>
          <w:rFonts w:ascii="Times New Roman" w:hAnsi="Times New Roman" w:cs="Times New Roman"/>
          <w:sz w:val="24"/>
          <w:szCs w:val="24"/>
        </w:rPr>
        <w:t xml:space="preserve">п.п. соответственно) – по </w:t>
      </w:r>
      <w:r>
        <w:rPr>
          <w:rFonts w:ascii="Times New Roman" w:hAnsi="Times New Roman" w:cs="Times New Roman"/>
          <w:sz w:val="24"/>
          <w:szCs w:val="24"/>
        </w:rPr>
        <w:t>сумме</w:t>
      </w:r>
      <w:r w:rsidRPr="003D73E2">
        <w:rPr>
          <w:rFonts w:ascii="Times New Roman" w:hAnsi="Times New Roman" w:cs="Times New Roman"/>
          <w:sz w:val="24"/>
          <w:szCs w:val="24"/>
        </w:rPr>
        <w:t xml:space="preserve">. По собственным операциям Приднестровского республиканского банка, включая выполнение обязательств клиентов, в отчётном периоде фиксировалось </w:t>
      </w:r>
      <w:r>
        <w:rPr>
          <w:rFonts w:ascii="Times New Roman" w:hAnsi="Times New Roman" w:cs="Times New Roman"/>
          <w:sz w:val="24"/>
          <w:szCs w:val="24"/>
        </w:rPr>
        <w:t xml:space="preserve">незначительное </w:t>
      </w:r>
      <w:r w:rsidRPr="003D73E2">
        <w:rPr>
          <w:rFonts w:ascii="Times New Roman" w:hAnsi="Times New Roman" w:cs="Times New Roman"/>
          <w:sz w:val="24"/>
          <w:szCs w:val="24"/>
        </w:rPr>
        <w:t>сокращение числ</w:t>
      </w:r>
      <w:r>
        <w:rPr>
          <w:rFonts w:ascii="Times New Roman" w:hAnsi="Times New Roman" w:cs="Times New Roman"/>
          <w:sz w:val="24"/>
          <w:szCs w:val="24"/>
        </w:rPr>
        <w:t>а</w:t>
      </w:r>
      <w:r w:rsidRPr="003D73E2">
        <w:rPr>
          <w:rFonts w:ascii="Times New Roman" w:hAnsi="Times New Roman" w:cs="Times New Roman"/>
          <w:sz w:val="24"/>
          <w:szCs w:val="24"/>
        </w:rPr>
        <w:t xml:space="preserve"> осуществлённых транзакц</w:t>
      </w:r>
      <w:r>
        <w:rPr>
          <w:rFonts w:ascii="Times New Roman" w:hAnsi="Times New Roman" w:cs="Times New Roman"/>
          <w:sz w:val="24"/>
          <w:szCs w:val="24"/>
        </w:rPr>
        <w:t>ий (н</w:t>
      </w:r>
      <w:r w:rsidRPr="003D73E2">
        <w:rPr>
          <w:rFonts w:ascii="Times New Roman" w:hAnsi="Times New Roman" w:cs="Times New Roman"/>
          <w:sz w:val="24"/>
          <w:szCs w:val="24"/>
        </w:rPr>
        <w:t xml:space="preserve">а </w:t>
      </w:r>
      <w:r>
        <w:rPr>
          <w:rFonts w:ascii="Times New Roman" w:hAnsi="Times New Roman" w:cs="Times New Roman"/>
          <w:sz w:val="24"/>
          <w:szCs w:val="24"/>
        </w:rPr>
        <w:t>43</w:t>
      </w:r>
      <w:r w:rsidRPr="003D73E2">
        <w:rPr>
          <w:rFonts w:ascii="Times New Roman" w:hAnsi="Times New Roman" w:cs="Times New Roman"/>
          <w:sz w:val="24"/>
          <w:szCs w:val="24"/>
        </w:rPr>
        <w:t xml:space="preserve"> единиц</w:t>
      </w:r>
      <w:r>
        <w:rPr>
          <w:rFonts w:ascii="Times New Roman" w:hAnsi="Times New Roman" w:cs="Times New Roman"/>
          <w:sz w:val="24"/>
          <w:szCs w:val="24"/>
        </w:rPr>
        <w:t>ы)</w:t>
      </w:r>
      <w:r w:rsidRPr="003D73E2">
        <w:rPr>
          <w:rFonts w:ascii="Times New Roman" w:hAnsi="Times New Roman" w:cs="Times New Roman"/>
          <w:sz w:val="24"/>
          <w:szCs w:val="24"/>
        </w:rPr>
        <w:t xml:space="preserve"> на фоне расширения их </w:t>
      </w:r>
      <w:r>
        <w:rPr>
          <w:rFonts w:ascii="Times New Roman" w:hAnsi="Times New Roman" w:cs="Times New Roman"/>
          <w:sz w:val="24"/>
          <w:szCs w:val="24"/>
        </w:rPr>
        <w:t>общей суммы на 14,5%, до 79 380,7</w:t>
      </w:r>
      <w:r w:rsidRPr="003D73E2">
        <w:rPr>
          <w:rFonts w:ascii="Times New Roman" w:hAnsi="Times New Roman" w:cs="Times New Roman"/>
          <w:sz w:val="24"/>
          <w:szCs w:val="24"/>
        </w:rPr>
        <w:t xml:space="preserve"> млн руб.</w:t>
      </w:r>
    </w:p>
    <w:p w:rsidR="004E2069" w:rsidRDefault="004E2069" w:rsidP="00231007">
      <w:pPr>
        <w:widowControl w:val="0"/>
        <w:ind w:firstLine="425"/>
        <w:jc w:val="both"/>
        <w:rPr>
          <w:sz w:val="24"/>
          <w:szCs w:val="24"/>
        </w:rPr>
      </w:pPr>
      <w:r w:rsidRPr="003D73E2">
        <w:rPr>
          <w:sz w:val="24"/>
          <w:szCs w:val="24"/>
        </w:rPr>
        <w:t xml:space="preserve">На конец отчётного года у центрального банка были установлены договорные отношения с </w:t>
      </w:r>
      <w:r>
        <w:rPr>
          <w:sz w:val="24"/>
          <w:szCs w:val="24"/>
        </w:rPr>
        <w:t>7</w:t>
      </w:r>
      <w:r w:rsidRPr="003D73E2">
        <w:rPr>
          <w:sz w:val="24"/>
          <w:szCs w:val="24"/>
        </w:rPr>
        <w:t xml:space="preserve"> зарубеж</w:t>
      </w:r>
      <w:r>
        <w:rPr>
          <w:sz w:val="24"/>
          <w:szCs w:val="24"/>
        </w:rPr>
        <w:t>ными банками-корреспондентами</w:t>
      </w:r>
      <w:r w:rsidRPr="003D73E2">
        <w:rPr>
          <w:sz w:val="24"/>
          <w:szCs w:val="24"/>
        </w:rPr>
        <w:t xml:space="preserve">. При проведении расчётных операций с ними в первую очередь учитывается кредитный рейтинг банка, а также условия ведения счёта, стоимость и скорость проведения операций, обеспечение наиболее оптимального пути прохождения клиентских платежей. Банки-корреспонденты обслуживают </w:t>
      </w:r>
      <w:r>
        <w:rPr>
          <w:sz w:val="24"/>
          <w:szCs w:val="24"/>
        </w:rPr>
        <w:t>25</w:t>
      </w:r>
      <w:r w:rsidRPr="003D73E2">
        <w:rPr>
          <w:sz w:val="24"/>
          <w:szCs w:val="24"/>
        </w:rPr>
        <w:t xml:space="preserve"> корреспондентски</w:t>
      </w:r>
      <w:r>
        <w:rPr>
          <w:sz w:val="24"/>
          <w:szCs w:val="24"/>
        </w:rPr>
        <w:t>х</w:t>
      </w:r>
      <w:r w:rsidRPr="003D73E2">
        <w:rPr>
          <w:sz w:val="24"/>
          <w:szCs w:val="24"/>
        </w:rPr>
        <w:t xml:space="preserve"> счёт</w:t>
      </w:r>
      <w:r>
        <w:rPr>
          <w:sz w:val="24"/>
          <w:szCs w:val="24"/>
        </w:rPr>
        <w:t>ов</w:t>
      </w:r>
      <w:r w:rsidRPr="003D73E2">
        <w:rPr>
          <w:sz w:val="24"/>
          <w:szCs w:val="24"/>
        </w:rPr>
        <w:t xml:space="preserve"> Приднестровского республиканского банка. </w:t>
      </w:r>
    </w:p>
    <w:p w:rsidR="004E2069" w:rsidRDefault="004E2069" w:rsidP="008704E2">
      <w:pPr>
        <w:pStyle w:val="HTMLPreformatted"/>
        <w:widowControl w:val="0"/>
        <w:ind w:firstLine="425"/>
        <w:jc w:val="both"/>
        <w:rPr>
          <w:rFonts w:ascii="Times New Roman" w:hAnsi="Times New Roman" w:cs="Times New Roman"/>
          <w:sz w:val="24"/>
          <w:szCs w:val="24"/>
        </w:rPr>
      </w:pPr>
      <w:r w:rsidRPr="00E85DD7">
        <w:rPr>
          <w:rFonts w:ascii="Times New Roman" w:hAnsi="Times New Roman" w:cs="Times New Roman"/>
          <w:sz w:val="24"/>
          <w:szCs w:val="24"/>
        </w:rPr>
        <w:t xml:space="preserve">Международные расчётные операции с банками-корреспондентами осуществляются по системам ТЕЛЕКС, АСМП Национального банка Молдовы. </w:t>
      </w:r>
    </w:p>
    <w:p w:rsidR="004E2069" w:rsidRPr="00E85DD7" w:rsidRDefault="004E2069" w:rsidP="008512DA">
      <w:pPr>
        <w:widowControl w:val="0"/>
        <w:ind w:firstLine="425"/>
        <w:jc w:val="both"/>
        <w:rPr>
          <w:sz w:val="24"/>
          <w:szCs w:val="24"/>
        </w:rPr>
      </w:pPr>
    </w:p>
    <w:p w:rsidR="004E2069" w:rsidRPr="00E85DD7" w:rsidRDefault="004E2069" w:rsidP="00E90743">
      <w:pPr>
        <w:widowControl w:val="0"/>
        <w:numPr>
          <w:ilvl w:val="1"/>
          <w:numId w:val="3"/>
        </w:numPr>
        <w:spacing w:after="120"/>
        <w:ind w:left="357" w:hanging="357"/>
        <w:jc w:val="both"/>
        <w:rPr>
          <w:b/>
          <w:bCs/>
          <w:noProof/>
          <w:sz w:val="24"/>
          <w:szCs w:val="24"/>
        </w:rPr>
      </w:pPr>
      <w:r w:rsidRPr="00E85DD7">
        <w:rPr>
          <w:b/>
          <w:bCs/>
          <w:noProof/>
          <w:sz w:val="24"/>
          <w:szCs w:val="24"/>
        </w:rPr>
        <w:t xml:space="preserve"> ОРГАНИЗАЦИЯ НАЛИЧНОГО ДЕНЕЖНОГО ОБРАЩЕНИЯ</w:t>
      </w:r>
    </w:p>
    <w:p w:rsidR="004E2069" w:rsidRPr="003D73E2" w:rsidRDefault="004E2069" w:rsidP="009309D8">
      <w:pPr>
        <w:widowControl w:val="0"/>
        <w:autoSpaceDE w:val="0"/>
        <w:autoSpaceDN w:val="0"/>
        <w:adjustRightInd w:val="0"/>
        <w:ind w:firstLine="425"/>
        <w:jc w:val="both"/>
        <w:rPr>
          <w:sz w:val="24"/>
          <w:szCs w:val="24"/>
        </w:rPr>
      </w:pPr>
      <w:r w:rsidRPr="003D73E2">
        <w:rPr>
          <w:sz w:val="24"/>
          <w:szCs w:val="24"/>
        </w:rPr>
        <w:t xml:space="preserve">Одной из важнейших задач Приднестровского республиканского банка является бесперебойное обеспечение платёжного оборота банкнотами и монетой различных номиналов, минимизация рисков при обработке, хранении и транспортировке денежной наличности, а также </w:t>
      </w:r>
      <w:r>
        <w:rPr>
          <w:sz w:val="24"/>
          <w:szCs w:val="24"/>
        </w:rPr>
        <w:t>поддержание качества наличного денежного обращения</w:t>
      </w:r>
      <w:r w:rsidRPr="003D73E2">
        <w:rPr>
          <w:sz w:val="24"/>
          <w:szCs w:val="24"/>
        </w:rPr>
        <w:t xml:space="preserve">. </w:t>
      </w:r>
    </w:p>
    <w:p w:rsidR="004E2069" w:rsidRDefault="004E2069" w:rsidP="009309D8">
      <w:pPr>
        <w:ind w:firstLine="425"/>
        <w:jc w:val="both"/>
        <w:rPr>
          <w:sz w:val="24"/>
          <w:szCs w:val="24"/>
        </w:rPr>
      </w:pPr>
      <w:r w:rsidRPr="00E0713B">
        <w:rPr>
          <w:sz w:val="24"/>
          <w:szCs w:val="24"/>
        </w:rPr>
        <w:t xml:space="preserve">Приднестровским республиканским банком осуществлялись мониторинг состояния наличного денежного оборота </w:t>
      </w:r>
      <w:r>
        <w:rPr>
          <w:sz w:val="24"/>
          <w:szCs w:val="24"/>
        </w:rPr>
        <w:t xml:space="preserve">и </w:t>
      </w:r>
      <w:r w:rsidRPr="00E0713B">
        <w:rPr>
          <w:sz w:val="24"/>
          <w:szCs w:val="24"/>
        </w:rPr>
        <w:t xml:space="preserve">его структуры, анализ купюрного состава наличной денежной массы, находящейся в обращении и в </w:t>
      </w:r>
      <w:r w:rsidRPr="00E0713B">
        <w:rPr>
          <w:color w:val="000000"/>
          <w:sz w:val="24"/>
          <w:szCs w:val="24"/>
        </w:rPr>
        <w:t xml:space="preserve">резервных фондах, его соответствия </w:t>
      </w:r>
      <w:r w:rsidRPr="009309D8">
        <w:rPr>
          <w:sz w:val="24"/>
          <w:szCs w:val="24"/>
        </w:rPr>
        <w:t xml:space="preserve">потребностям платёжного оборота. </w:t>
      </w:r>
    </w:p>
    <w:p w:rsidR="004E2069" w:rsidRPr="009E7D57" w:rsidRDefault="004E2069" w:rsidP="009309D8">
      <w:pPr>
        <w:ind w:firstLine="425"/>
        <w:jc w:val="both"/>
        <w:rPr>
          <w:color w:val="000000"/>
          <w:sz w:val="24"/>
          <w:szCs w:val="24"/>
        </w:rPr>
      </w:pPr>
      <w:r w:rsidRPr="009309D8">
        <w:rPr>
          <w:sz w:val="24"/>
          <w:szCs w:val="24"/>
        </w:rPr>
        <w:t xml:space="preserve">Согласно данным денежной статистики, наличный </w:t>
      </w:r>
      <w:r w:rsidRPr="009E7D57">
        <w:rPr>
          <w:color w:val="000000"/>
          <w:sz w:val="24"/>
          <w:szCs w:val="24"/>
        </w:rPr>
        <w:t>денежный оборот за 2017 год составил 92 465,2 млн руб., увеличившись на 3,2%, при</w:t>
      </w:r>
      <w:r>
        <w:rPr>
          <w:color w:val="000000"/>
          <w:sz w:val="24"/>
          <w:szCs w:val="24"/>
        </w:rPr>
        <w:t xml:space="preserve"> </w:t>
      </w:r>
      <w:r w:rsidRPr="009E7D57">
        <w:rPr>
          <w:color w:val="000000"/>
          <w:sz w:val="24"/>
          <w:szCs w:val="24"/>
        </w:rPr>
        <w:t>том что совокупный объём наличных денег в обращении сократился на 10,2%. Совокупная величина поступлений денежной наличности в банковскую систему возросла по отношению к базисному показателю на 13,4% (+1 345,1 млн руб.) до 11 355,3 млн руб. В значительной степени данная динамика стала результатом применения центральным банком мер регулирования денежного и валютного рынка, что позволило устранить дисбаланс между спросом и предложением иностранной валюты и обеспечить возврат валютно-обменных операций в официальное поле. Следствием этого стал существенный рост суммы</w:t>
      </w:r>
      <w:r>
        <w:rPr>
          <w:color w:val="000000"/>
          <w:sz w:val="24"/>
          <w:szCs w:val="24"/>
        </w:rPr>
        <w:t xml:space="preserve"> приднестровских</w:t>
      </w:r>
      <w:r w:rsidRPr="009E7D57">
        <w:rPr>
          <w:color w:val="000000"/>
          <w:sz w:val="24"/>
          <w:szCs w:val="24"/>
        </w:rPr>
        <w:t xml:space="preserve"> рублей, поступивших </w:t>
      </w:r>
      <w:r>
        <w:rPr>
          <w:color w:val="000000"/>
          <w:sz w:val="24"/>
          <w:szCs w:val="24"/>
        </w:rPr>
        <w:t xml:space="preserve">в кассы кредитных организаций </w:t>
      </w:r>
      <w:r w:rsidRPr="009E7D57">
        <w:rPr>
          <w:color w:val="000000"/>
          <w:sz w:val="24"/>
          <w:szCs w:val="24"/>
        </w:rPr>
        <w:t>от продажи наличной иностранной валюты, с 1 315,</w:t>
      </w:r>
      <w:r>
        <w:rPr>
          <w:color w:val="000000"/>
          <w:sz w:val="24"/>
          <w:szCs w:val="24"/>
        </w:rPr>
        <w:t xml:space="preserve">2 млн руб. до 2 163,9 млн руб. </w:t>
      </w:r>
      <w:r w:rsidRPr="009E7D57">
        <w:rPr>
          <w:color w:val="000000"/>
          <w:sz w:val="24"/>
          <w:szCs w:val="24"/>
        </w:rPr>
        <w:t xml:space="preserve">В то же время торговая выручка, являющаяся основным каналом возврата наличности в </w:t>
      </w:r>
      <w:r>
        <w:rPr>
          <w:color w:val="000000"/>
          <w:sz w:val="24"/>
          <w:szCs w:val="24"/>
        </w:rPr>
        <w:t>банковскую систему</w:t>
      </w:r>
      <w:r w:rsidRPr="009E7D57">
        <w:rPr>
          <w:color w:val="000000"/>
          <w:sz w:val="24"/>
          <w:szCs w:val="24"/>
        </w:rPr>
        <w:t>, возросла на 17,3%</w:t>
      </w:r>
      <w:r>
        <w:rPr>
          <w:color w:val="000000"/>
          <w:sz w:val="24"/>
          <w:szCs w:val="24"/>
        </w:rPr>
        <w:t xml:space="preserve"> </w:t>
      </w:r>
      <w:r w:rsidRPr="009E7D57">
        <w:rPr>
          <w:color w:val="000000"/>
          <w:sz w:val="24"/>
          <w:szCs w:val="24"/>
        </w:rPr>
        <w:t>(+769,5 млн руб.)</w:t>
      </w:r>
      <w:r>
        <w:rPr>
          <w:color w:val="000000"/>
          <w:sz w:val="24"/>
          <w:szCs w:val="24"/>
        </w:rPr>
        <w:t>,</w:t>
      </w:r>
      <w:r w:rsidRPr="009E7D57">
        <w:rPr>
          <w:color w:val="000000"/>
          <w:sz w:val="24"/>
          <w:szCs w:val="24"/>
        </w:rPr>
        <w:t xml:space="preserve"> до 5 239,7 млн руб. </w:t>
      </w:r>
    </w:p>
    <w:p w:rsidR="004E2069" w:rsidRPr="009E7D57" w:rsidRDefault="004E2069" w:rsidP="009E7D57">
      <w:pPr>
        <w:ind w:firstLine="425"/>
        <w:jc w:val="both"/>
        <w:rPr>
          <w:color w:val="000000"/>
          <w:sz w:val="24"/>
          <w:szCs w:val="24"/>
        </w:rPr>
      </w:pPr>
      <w:r w:rsidRPr="009E7D57">
        <w:rPr>
          <w:color w:val="000000"/>
          <w:sz w:val="24"/>
          <w:szCs w:val="24"/>
        </w:rPr>
        <w:t xml:space="preserve">Совокупный расход наличных денег за отчётный год увеличился на 10,9%, или на </w:t>
      </w:r>
      <w:r w:rsidRPr="009E7D57">
        <w:rPr>
          <w:color w:val="000000"/>
          <w:sz w:val="24"/>
          <w:szCs w:val="24"/>
        </w:rPr>
        <w:br/>
        <w:t xml:space="preserve">1 102,4 млн руб., до 11 257,9 млн руб. Как и в отношении приходных статей, </w:t>
      </w:r>
      <w:r>
        <w:rPr>
          <w:color w:val="000000"/>
          <w:sz w:val="24"/>
          <w:szCs w:val="24"/>
        </w:rPr>
        <w:t>ключевым</w:t>
      </w:r>
      <w:r w:rsidRPr="009E7D57">
        <w:rPr>
          <w:color w:val="000000"/>
          <w:sz w:val="24"/>
          <w:szCs w:val="24"/>
        </w:rPr>
        <w:t xml:space="preserve"> фактором, определившим данную динамику</w:t>
      </w:r>
      <w:r>
        <w:rPr>
          <w:color w:val="000000"/>
          <w:sz w:val="24"/>
          <w:szCs w:val="24"/>
        </w:rPr>
        <w:t>,</w:t>
      </w:r>
      <w:r w:rsidRPr="009E7D57">
        <w:rPr>
          <w:color w:val="000000"/>
          <w:sz w:val="24"/>
          <w:szCs w:val="24"/>
        </w:rPr>
        <w:t xml:space="preserve"> стало существенное расширение объёма средств, израсходованных кредитными организациями республики на покупку иностранной валюты у населения, – в 2,1 раза (+1 218,1 млн руб.), до 2 260,5 млн руб. Также отмечен прирост выдач со счетов физических лиц – +13,6% (+627,0 млн руб.), до 5 266,8 млн руб. Вместе с тем выдачи на оплату труда сократились на 30,3% (-442,5 млн руб.), до </w:t>
      </w:r>
      <w:r>
        <w:rPr>
          <w:color w:val="000000"/>
          <w:sz w:val="24"/>
          <w:szCs w:val="24"/>
        </w:rPr>
        <w:br/>
      </w:r>
      <w:r w:rsidRPr="009E7D57">
        <w:rPr>
          <w:color w:val="000000"/>
          <w:sz w:val="24"/>
          <w:szCs w:val="24"/>
        </w:rPr>
        <w:t>1 017,8 млн руб., пенсий и пособий – на 7,3%, (-167,2 млн руб.), до 2 105,0 млн руб.</w:t>
      </w:r>
      <w:r>
        <w:rPr>
          <w:color w:val="000000"/>
          <w:sz w:val="24"/>
          <w:szCs w:val="24"/>
        </w:rPr>
        <w:t>,</w:t>
      </w:r>
      <w:r w:rsidRPr="009E7D57">
        <w:rPr>
          <w:color w:val="000000"/>
          <w:sz w:val="24"/>
          <w:szCs w:val="24"/>
        </w:rPr>
        <w:t xml:space="preserve"> </w:t>
      </w:r>
      <w:r>
        <w:rPr>
          <w:color w:val="000000"/>
          <w:sz w:val="24"/>
          <w:szCs w:val="24"/>
        </w:rPr>
        <w:t>в связи с расширением безналичных расчётов в республике.</w:t>
      </w:r>
    </w:p>
    <w:p w:rsidR="004E2069" w:rsidRPr="009309D8" w:rsidRDefault="004E2069" w:rsidP="009309D8">
      <w:pPr>
        <w:pStyle w:val="BodyText"/>
        <w:widowControl w:val="0"/>
        <w:spacing w:before="0" w:after="0"/>
        <w:ind w:firstLine="425"/>
        <w:rPr>
          <w:rFonts w:ascii="Times New Roman" w:hAnsi="Times New Roman" w:cs="Times New Roman"/>
          <w:color w:val="000000"/>
          <w:sz w:val="24"/>
          <w:szCs w:val="24"/>
        </w:rPr>
      </w:pPr>
      <w:r w:rsidRPr="009309D8">
        <w:rPr>
          <w:rFonts w:ascii="Times New Roman" w:hAnsi="Times New Roman" w:cs="Times New Roman"/>
          <w:color w:val="000000"/>
          <w:sz w:val="24"/>
          <w:szCs w:val="24"/>
        </w:rPr>
        <w:t xml:space="preserve">Денежный оборот своевременно и в полном объёме пополнялся всеми видами денежных знаков, являющихся законным средством обращения и платежа на территории республики (банкнотами, разменной монетой, монетами из композитных материалов, памятными монетами из недрагоценных металлов). Кроме того, в отчётном году </w:t>
      </w:r>
      <w:r w:rsidRPr="003624CB">
        <w:rPr>
          <w:rFonts w:ascii="Times New Roman" w:hAnsi="Times New Roman" w:cs="Times New Roman"/>
          <w:color w:val="000000"/>
          <w:sz w:val="24"/>
          <w:szCs w:val="24"/>
        </w:rPr>
        <w:t>в обращение было выпущено 13 видов памятных монет из драгоценных металлов и 17 видов памятных монет из недрагоценных металлов различных серий.</w:t>
      </w:r>
      <w:r w:rsidRPr="009309D8">
        <w:rPr>
          <w:rFonts w:ascii="Times New Roman" w:hAnsi="Times New Roman" w:cs="Times New Roman"/>
          <w:color w:val="000000"/>
          <w:sz w:val="24"/>
          <w:szCs w:val="24"/>
        </w:rPr>
        <w:t xml:space="preserve"> </w:t>
      </w:r>
    </w:p>
    <w:p w:rsidR="004E2069" w:rsidRPr="009309D8" w:rsidRDefault="004E2069" w:rsidP="009309D8">
      <w:pPr>
        <w:pStyle w:val="BodyText"/>
        <w:widowControl w:val="0"/>
        <w:spacing w:before="0" w:after="0"/>
        <w:ind w:firstLine="425"/>
        <w:rPr>
          <w:rFonts w:ascii="Times New Roman" w:hAnsi="Times New Roman" w:cs="Times New Roman"/>
          <w:color w:val="000000"/>
          <w:sz w:val="24"/>
          <w:szCs w:val="24"/>
        </w:rPr>
      </w:pPr>
      <w:r w:rsidRPr="009309D8">
        <w:rPr>
          <w:rFonts w:ascii="Times New Roman" w:hAnsi="Times New Roman" w:cs="Times New Roman"/>
          <w:color w:val="000000"/>
          <w:sz w:val="24"/>
          <w:szCs w:val="24"/>
        </w:rPr>
        <w:t xml:space="preserve">По данным эмиссионного баланса, за 2017 год совокупный выпуск в платёжный оборот наличных денежных средств составил 235,8 млн руб., изъятие из обращения – 391,2 млн руб. В объёме изъятых из обращения сумма ветхих банкнот составила 116,3 млн руб. </w:t>
      </w:r>
      <w:r>
        <w:rPr>
          <w:rFonts w:ascii="Times New Roman" w:hAnsi="Times New Roman" w:cs="Times New Roman"/>
          <w:color w:val="000000"/>
          <w:sz w:val="24"/>
          <w:szCs w:val="24"/>
        </w:rPr>
        <w:br/>
      </w:r>
      <w:r w:rsidRPr="009309D8">
        <w:rPr>
          <w:rFonts w:ascii="Times New Roman" w:hAnsi="Times New Roman" w:cs="Times New Roman"/>
          <w:color w:val="000000"/>
          <w:sz w:val="24"/>
          <w:szCs w:val="24"/>
        </w:rPr>
        <w:t>(3,4 млн штук) против 125,0 млн руб. (3,7 млн штук) – в 2016 году.</w:t>
      </w:r>
      <w:r>
        <w:rPr>
          <w:rFonts w:ascii="Times New Roman" w:hAnsi="Times New Roman" w:cs="Times New Roman"/>
          <w:color w:val="000000"/>
          <w:sz w:val="24"/>
          <w:szCs w:val="24"/>
        </w:rPr>
        <w:t xml:space="preserve"> </w:t>
      </w:r>
      <w:r w:rsidRPr="009309D8">
        <w:rPr>
          <w:rFonts w:ascii="Times New Roman" w:hAnsi="Times New Roman" w:cs="Times New Roman"/>
          <w:color w:val="000000"/>
          <w:sz w:val="24"/>
          <w:szCs w:val="24"/>
        </w:rPr>
        <w:t>В результате объём изъятых из обращения денежных знаков превысил величину выпущенных на 155,</w:t>
      </w:r>
      <w:r>
        <w:rPr>
          <w:rFonts w:ascii="Times New Roman" w:hAnsi="Times New Roman" w:cs="Times New Roman"/>
          <w:color w:val="000000"/>
          <w:sz w:val="24"/>
          <w:szCs w:val="24"/>
        </w:rPr>
        <w:t>4</w:t>
      </w:r>
      <w:r w:rsidRPr="009309D8">
        <w:rPr>
          <w:rFonts w:ascii="Times New Roman" w:hAnsi="Times New Roman" w:cs="Times New Roman"/>
          <w:color w:val="000000"/>
          <w:sz w:val="24"/>
          <w:szCs w:val="24"/>
        </w:rPr>
        <w:t xml:space="preserve"> млн руб., по причине </w:t>
      </w:r>
      <w:r>
        <w:rPr>
          <w:rFonts w:ascii="Times New Roman" w:hAnsi="Times New Roman" w:cs="Times New Roman"/>
          <w:color w:val="000000"/>
          <w:sz w:val="24"/>
          <w:szCs w:val="24"/>
        </w:rPr>
        <w:t xml:space="preserve">абсорбирования из оборота </w:t>
      </w:r>
      <w:r w:rsidRPr="009309D8">
        <w:rPr>
          <w:rFonts w:ascii="Times New Roman" w:hAnsi="Times New Roman" w:cs="Times New Roman"/>
          <w:color w:val="000000"/>
          <w:sz w:val="24"/>
          <w:szCs w:val="24"/>
        </w:rPr>
        <w:t>денежной наличности</w:t>
      </w:r>
      <w:r>
        <w:rPr>
          <w:rFonts w:ascii="Times New Roman" w:hAnsi="Times New Roman" w:cs="Times New Roman"/>
          <w:color w:val="000000"/>
          <w:sz w:val="24"/>
          <w:szCs w:val="24"/>
        </w:rPr>
        <w:t>, не соответствующей реальным потребностям экономики</w:t>
      </w:r>
      <w:r w:rsidRPr="009309D8">
        <w:rPr>
          <w:rFonts w:ascii="Times New Roman" w:hAnsi="Times New Roman" w:cs="Times New Roman"/>
          <w:color w:val="000000"/>
          <w:sz w:val="24"/>
          <w:szCs w:val="24"/>
        </w:rPr>
        <w:t xml:space="preserve">. </w:t>
      </w:r>
    </w:p>
    <w:p w:rsidR="004E2069" w:rsidRPr="009309D8" w:rsidRDefault="004E2069" w:rsidP="009309D8">
      <w:pPr>
        <w:pStyle w:val="BodyText3"/>
        <w:widowControl w:val="0"/>
        <w:spacing w:after="0"/>
        <w:ind w:firstLine="425"/>
        <w:jc w:val="both"/>
        <w:rPr>
          <w:color w:val="000000"/>
          <w:sz w:val="24"/>
          <w:szCs w:val="24"/>
        </w:rPr>
      </w:pPr>
      <w:r w:rsidRPr="009309D8">
        <w:rPr>
          <w:color w:val="000000"/>
          <w:sz w:val="24"/>
          <w:szCs w:val="24"/>
        </w:rPr>
        <w:t xml:space="preserve">Таким образом, по состоянию на 1 января 2018 года в обращении, включая остатки в кассах банков, находилось денежных знаков Приднестровского республиканского банка на сумму 1 245,9 млн руб., в том числе банкнот – 1 208,9 млн руб. (21,3 млн штук), разменной монеты – 18,8 млн руб. (117,3 млн штук), юбилейных, памятных монет и банкнот – </w:t>
      </w:r>
      <w:r>
        <w:rPr>
          <w:color w:val="000000"/>
          <w:sz w:val="24"/>
          <w:szCs w:val="24"/>
        </w:rPr>
        <w:br/>
      </w:r>
      <w:r w:rsidRPr="009309D8">
        <w:rPr>
          <w:color w:val="000000"/>
          <w:sz w:val="24"/>
          <w:szCs w:val="24"/>
        </w:rPr>
        <w:t xml:space="preserve">10,0 млн руб. (3,0 млн штук), монет из композитных материалов – 8,2 млн руб. </w:t>
      </w:r>
      <w:r>
        <w:rPr>
          <w:color w:val="000000"/>
          <w:sz w:val="24"/>
          <w:szCs w:val="24"/>
        </w:rPr>
        <w:br/>
      </w:r>
      <w:r w:rsidRPr="009309D8">
        <w:rPr>
          <w:color w:val="000000"/>
          <w:sz w:val="24"/>
          <w:szCs w:val="24"/>
        </w:rPr>
        <w:t>(2,0 млн штук).</w:t>
      </w:r>
    </w:p>
    <w:p w:rsidR="004E2069" w:rsidRPr="009309D8" w:rsidRDefault="004E2069" w:rsidP="009309D8">
      <w:pPr>
        <w:pStyle w:val="BodyText3"/>
        <w:widowControl w:val="0"/>
        <w:spacing w:after="0"/>
        <w:ind w:firstLine="425"/>
        <w:jc w:val="both"/>
        <w:rPr>
          <w:color w:val="000000"/>
          <w:sz w:val="24"/>
          <w:szCs w:val="24"/>
        </w:rPr>
      </w:pPr>
      <w:r w:rsidRPr="009309D8">
        <w:rPr>
          <w:color w:val="000000"/>
          <w:sz w:val="24"/>
          <w:szCs w:val="24"/>
        </w:rPr>
        <w:t>В общей сумме наличных денег банкноты составляли 97,0%, разменная монета – 1,5%, юбилейные, памятные монеты и банкноты – 0,8%, монеты из композитных материалов – 0,7%. В совокупном количестве денежных знаков на банкноты пришлось 14,8%, разменную монету – 81,7%, юбилейные, памятные монеты и банкноты – 2,1%, монеты из композитных материалов – 1,4%.</w:t>
      </w:r>
    </w:p>
    <w:p w:rsidR="004E2069" w:rsidRDefault="004E2069" w:rsidP="009309D8">
      <w:pPr>
        <w:ind w:left="360"/>
      </w:pPr>
    </w:p>
    <w:p w:rsidR="004E2069" w:rsidRPr="00E85DD7" w:rsidRDefault="004E2069" w:rsidP="002C0A81">
      <w:pPr>
        <w:widowControl w:val="0"/>
        <w:numPr>
          <w:ilvl w:val="1"/>
          <w:numId w:val="3"/>
        </w:numPr>
        <w:tabs>
          <w:tab w:val="clear" w:pos="360"/>
          <w:tab w:val="num" w:pos="0"/>
          <w:tab w:val="left" w:pos="567"/>
        </w:tabs>
        <w:spacing w:after="120"/>
        <w:ind w:left="0" w:firstLine="0"/>
        <w:jc w:val="both"/>
        <w:rPr>
          <w:b/>
          <w:bCs/>
          <w:noProof/>
          <w:sz w:val="24"/>
          <w:szCs w:val="24"/>
        </w:rPr>
      </w:pPr>
      <w:r w:rsidRPr="00C156AA">
        <w:rPr>
          <w:b/>
          <w:bCs/>
          <w:noProof/>
          <w:sz w:val="24"/>
          <w:szCs w:val="24"/>
        </w:rPr>
        <w:t>ВЗАИМОДЕЙСТВИЕ ПРИДНЕСТРОВСКОГО</w:t>
      </w:r>
      <w:r w:rsidRPr="00E85DD7">
        <w:rPr>
          <w:b/>
          <w:bCs/>
          <w:noProof/>
          <w:sz w:val="24"/>
          <w:szCs w:val="24"/>
        </w:rPr>
        <w:t xml:space="preserve"> РЕСПУБЛИКАНСКОГО БАНКА </w:t>
      </w:r>
      <w:r w:rsidRPr="00F44BD6">
        <w:rPr>
          <w:b/>
          <w:bCs/>
          <w:noProof/>
          <w:sz w:val="24"/>
          <w:szCs w:val="24"/>
        </w:rPr>
        <w:t>С ОРГАНАМИ</w:t>
      </w:r>
      <w:r w:rsidRPr="00E85DD7">
        <w:rPr>
          <w:b/>
          <w:bCs/>
          <w:noProof/>
          <w:sz w:val="24"/>
          <w:szCs w:val="24"/>
        </w:rPr>
        <w:t xml:space="preserve"> ГОСУДАРСТВЕННОЙ ВЛАСТИ</w:t>
      </w:r>
    </w:p>
    <w:p w:rsidR="004E2069" w:rsidRDefault="004E2069" w:rsidP="00FC53FA">
      <w:pPr>
        <w:widowControl w:val="0"/>
        <w:tabs>
          <w:tab w:val="left" w:pos="1080"/>
        </w:tabs>
        <w:ind w:firstLine="425"/>
        <w:jc w:val="both"/>
        <w:rPr>
          <w:sz w:val="24"/>
          <w:szCs w:val="24"/>
        </w:rPr>
      </w:pPr>
      <w:r w:rsidRPr="003D73E2">
        <w:rPr>
          <w:sz w:val="24"/>
          <w:szCs w:val="24"/>
        </w:rPr>
        <w:t>В отчётном году Приднестровский республиканский банк взаимодейств</w:t>
      </w:r>
      <w:r>
        <w:rPr>
          <w:sz w:val="24"/>
          <w:szCs w:val="24"/>
        </w:rPr>
        <w:t>овал</w:t>
      </w:r>
      <w:r w:rsidRPr="003D73E2">
        <w:rPr>
          <w:sz w:val="24"/>
          <w:szCs w:val="24"/>
        </w:rPr>
        <w:t xml:space="preserve"> с органами государственной власти и управления по различным направлениям.</w:t>
      </w:r>
      <w:r w:rsidRPr="00FC53FA">
        <w:rPr>
          <w:sz w:val="24"/>
          <w:szCs w:val="24"/>
        </w:rPr>
        <w:t xml:space="preserve"> </w:t>
      </w:r>
    </w:p>
    <w:p w:rsidR="004E2069" w:rsidRPr="00F44BD6" w:rsidRDefault="004E2069" w:rsidP="00DC0A29">
      <w:pPr>
        <w:widowControl w:val="0"/>
        <w:ind w:firstLine="425"/>
        <w:jc w:val="both"/>
        <w:rPr>
          <w:sz w:val="24"/>
          <w:szCs w:val="24"/>
        </w:rPr>
      </w:pPr>
      <w:r>
        <w:rPr>
          <w:sz w:val="24"/>
          <w:szCs w:val="24"/>
        </w:rPr>
        <w:t>В рамках текущей работы п</w:t>
      </w:r>
      <w:r w:rsidRPr="003D73E2">
        <w:rPr>
          <w:sz w:val="24"/>
          <w:szCs w:val="24"/>
        </w:rPr>
        <w:t xml:space="preserve">роводились регулярные совместные совещания с уполномоченными органами государственной власти и управления, </w:t>
      </w:r>
      <w:r>
        <w:rPr>
          <w:sz w:val="24"/>
          <w:szCs w:val="24"/>
        </w:rPr>
        <w:t>специалисты</w:t>
      </w:r>
      <w:r w:rsidRPr="003D73E2">
        <w:rPr>
          <w:sz w:val="24"/>
          <w:szCs w:val="24"/>
        </w:rPr>
        <w:t xml:space="preserve"> центрального банка принимали участие в работе </w:t>
      </w:r>
      <w:r>
        <w:rPr>
          <w:sz w:val="24"/>
          <w:szCs w:val="24"/>
        </w:rPr>
        <w:t>м</w:t>
      </w:r>
      <w:r w:rsidRPr="003D73E2">
        <w:rPr>
          <w:sz w:val="24"/>
          <w:szCs w:val="24"/>
        </w:rPr>
        <w:t>ежведомственных групп</w:t>
      </w:r>
      <w:r>
        <w:rPr>
          <w:sz w:val="24"/>
          <w:szCs w:val="24"/>
        </w:rPr>
        <w:t xml:space="preserve"> по различным направлениям, в том числе по совершенствованию методологии расчёта, сбора и анализа экономической информации, </w:t>
      </w:r>
      <w:r w:rsidRPr="00F44BD6">
        <w:rPr>
          <w:sz w:val="24"/>
          <w:szCs w:val="24"/>
        </w:rPr>
        <w:t xml:space="preserve">а также по </w:t>
      </w:r>
      <w:r w:rsidRPr="00F44BD6">
        <w:rPr>
          <w:bCs/>
          <w:sz w:val="24"/>
          <w:szCs w:val="24"/>
        </w:rPr>
        <w:t xml:space="preserve">разработке и согласованию Распоряжений Президента и Постановлений Правительства </w:t>
      </w:r>
      <w:r w:rsidRPr="00F44BD6">
        <w:rPr>
          <w:sz w:val="24"/>
          <w:szCs w:val="24"/>
        </w:rPr>
        <w:t>Приднестровской Молдавской Республики</w:t>
      </w:r>
      <w:r w:rsidRPr="00F44BD6">
        <w:rPr>
          <w:bCs/>
          <w:sz w:val="24"/>
          <w:szCs w:val="24"/>
        </w:rPr>
        <w:t>, отдельных нормативных актов исполнительных органов государственной власти.</w:t>
      </w:r>
    </w:p>
    <w:p w:rsidR="004E2069" w:rsidRPr="00F44BD6" w:rsidRDefault="004E2069" w:rsidP="00566600">
      <w:pPr>
        <w:ind w:firstLine="425"/>
        <w:jc w:val="both"/>
        <w:rPr>
          <w:sz w:val="24"/>
          <w:szCs w:val="24"/>
        </w:rPr>
      </w:pPr>
      <w:r w:rsidRPr="00F44BD6">
        <w:rPr>
          <w:sz w:val="24"/>
          <w:szCs w:val="24"/>
        </w:rPr>
        <w:t>В соответствии с законодательством Приднестровский республиканский банк совместно с Министерством юстиции ПМР осуществлял взаимодействие в части государственной регистрации и внесения сведений в Государственный реестр юридических лиц, а также</w:t>
      </w:r>
      <w:r>
        <w:rPr>
          <w:sz w:val="24"/>
          <w:szCs w:val="24"/>
        </w:rPr>
        <w:t xml:space="preserve"> </w:t>
      </w:r>
      <w:r w:rsidRPr="00F44BD6">
        <w:rPr>
          <w:sz w:val="24"/>
          <w:szCs w:val="24"/>
        </w:rPr>
        <w:t>выдачи лицензий.</w:t>
      </w:r>
    </w:p>
    <w:p w:rsidR="004E2069" w:rsidRPr="00F44BD6" w:rsidRDefault="004E2069" w:rsidP="00566600">
      <w:pPr>
        <w:ind w:firstLine="425"/>
        <w:jc w:val="both"/>
        <w:rPr>
          <w:sz w:val="24"/>
          <w:szCs w:val="24"/>
        </w:rPr>
      </w:pPr>
      <w:r w:rsidRPr="00F44BD6">
        <w:rPr>
          <w:sz w:val="24"/>
          <w:szCs w:val="24"/>
        </w:rPr>
        <w:t xml:space="preserve">В отчётном году Приднестровский республиканский банк принимал участие в заседаниях ликвидационных комиссий, созданных при государственных администрациях </w:t>
      </w:r>
      <w:r w:rsidRPr="00F44BD6">
        <w:rPr>
          <w:sz w:val="24"/>
          <w:szCs w:val="24"/>
        </w:rPr>
        <w:br/>
        <w:t>г. Бендеры, г. Тирасполь и г. Днестровск, по вопросам ликвидации ОАО «Бендерысоцбанк» и СЗАО «Банк Ламинат», оказывал услуги консультационного характера при составлении промежуточных ликвидационных балансов.</w:t>
      </w:r>
      <w:r w:rsidRPr="00151E78">
        <w:rPr>
          <w:sz w:val="24"/>
          <w:szCs w:val="24"/>
        </w:rPr>
        <w:t xml:space="preserve"> </w:t>
      </w:r>
      <w:r w:rsidRPr="00F44BD6">
        <w:rPr>
          <w:sz w:val="24"/>
          <w:szCs w:val="24"/>
        </w:rPr>
        <w:t>Осуществлялось сотрудничество с Министерством</w:t>
      </w:r>
      <w:r w:rsidRPr="00566600">
        <w:rPr>
          <w:sz w:val="24"/>
          <w:szCs w:val="24"/>
        </w:rPr>
        <w:t xml:space="preserve"> внутренних дел ПМР </w:t>
      </w:r>
      <w:r>
        <w:rPr>
          <w:sz w:val="24"/>
          <w:szCs w:val="24"/>
        </w:rPr>
        <w:t>в части</w:t>
      </w:r>
      <w:r w:rsidRPr="00566600">
        <w:rPr>
          <w:sz w:val="24"/>
          <w:szCs w:val="24"/>
        </w:rPr>
        <w:t xml:space="preserve"> осуществления расч</w:t>
      </w:r>
      <w:r>
        <w:rPr>
          <w:sz w:val="24"/>
          <w:szCs w:val="24"/>
        </w:rPr>
        <w:t>ё</w:t>
      </w:r>
      <w:r w:rsidRPr="00566600">
        <w:rPr>
          <w:sz w:val="24"/>
          <w:szCs w:val="24"/>
        </w:rPr>
        <w:t xml:space="preserve">тов с кредиторами </w:t>
      </w:r>
      <w:r>
        <w:rPr>
          <w:sz w:val="24"/>
          <w:szCs w:val="24"/>
        </w:rPr>
        <w:br/>
      </w:r>
      <w:r w:rsidRPr="00566600">
        <w:rPr>
          <w:sz w:val="24"/>
          <w:szCs w:val="24"/>
        </w:rPr>
        <w:t>ОАО «Бендерысоцбанк» и завершения процедуры ликвидации в соответствии с действующим законодательством ПМР.</w:t>
      </w:r>
    </w:p>
    <w:p w:rsidR="004E2069" w:rsidRDefault="004E2069" w:rsidP="00DC0A29">
      <w:pPr>
        <w:ind w:firstLine="425"/>
        <w:jc w:val="both"/>
        <w:rPr>
          <w:sz w:val="24"/>
          <w:szCs w:val="24"/>
        </w:rPr>
      </w:pPr>
      <w:r w:rsidRPr="00F44BD6">
        <w:rPr>
          <w:sz w:val="24"/>
          <w:szCs w:val="24"/>
        </w:rPr>
        <w:t xml:space="preserve">По запросам Министерства финансов ПМР и Следственного комитета ПМР предоставлялись разъяснения по вопросам, касающимся сферы финансов и банковской деятельности. </w:t>
      </w:r>
      <w:r w:rsidRPr="00566600">
        <w:rPr>
          <w:sz w:val="24"/>
          <w:szCs w:val="24"/>
        </w:rPr>
        <w:t xml:space="preserve">В соответствии с запросами Правительства ПМР </w:t>
      </w:r>
      <w:r>
        <w:rPr>
          <w:sz w:val="24"/>
          <w:szCs w:val="24"/>
        </w:rPr>
        <w:t>ц</w:t>
      </w:r>
      <w:r w:rsidRPr="00566600">
        <w:rPr>
          <w:sz w:val="24"/>
          <w:szCs w:val="24"/>
        </w:rPr>
        <w:t>ентральным банком направлялась информация</w:t>
      </w:r>
      <w:r>
        <w:rPr>
          <w:sz w:val="24"/>
          <w:szCs w:val="24"/>
        </w:rPr>
        <w:t>, касающаяся</w:t>
      </w:r>
      <w:r w:rsidRPr="00566600">
        <w:rPr>
          <w:sz w:val="24"/>
          <w:szCs w:val="24"/>
        </w:rPr>
        <w:t xml:space="preserve"> мониторинга деятельности кредитных организаций республики, а также порядк</w:t>
      </w:r>
      <w:r>
        <w:rPr>
          <w:sz w:val="24"/>
          <w:szCs w:val="24"/>
        </w:rPr>
        <w:t>а</w:t>
      </w:r>
      <w:r w:rsidRPr="00566600">
        <w:rPr>
          <w:sz w:val="24"/>
          <w:szCs w:val="24"/>
        </w:rPr>
        <w:t xml:space="preserve"> проведения и документального оформления валютно</w:t>
      </w:r>
      <w:r>
        <w:rPr>
          <w:sz w:val="24"/>
          <w:szCs w:val="24"/>
        </w:rPr>
        <w:t>-</w:t>
      </w:r>
      <w:r w:rsidRPr="00566600">
        <w:rPr>
          <w:sz w:val="24"/>
          <w:szCs w:val="24"/>
        </w:rPr>
        <w:t>обменных операций в них.</w:t>
      </w:r>
    </w:p>
    <w:p w:rsidR="004E2069" w:rsidRDefault="004E2069" w:rsidP="00566600">
      <w:pPr>
        <w:ind w:firstLine="425"/>
        <w:jc w:val="both"/>
        <w:rPr>
          <w:sz w:val="24"/>
          <w:szCs w:val="24"/>
        </w:rPr>
      </w:pPr>
      <w:r w:rsidRPr="00566600">
        <w:rPr>
          <w:sz w:val="24"/>
          <w:szCs w:val="24"/>
        </w:rPr>
        <w:t xml:space="preserve">Наряду с этим, </w:t>
      </w:r>
      <w:r>
        <w:rPr>
          <w:sz w:val="24"/>
          <w:szCs w:val="24"/>
        </w:rPr>
        <w:t>Приднестровский республиканский банк</w:t>
      </w:r>
      <w:r w:rsidRPr="00566600">
        <w:rPr>
          <w:sz w:val="24"/>
          <w:szCs w:val="24"/>
        </w:rPr>
        <w:t xml:space="preserve"> осуществлял взаимодействие с Правительством ПМР, Министерством иностранных дел ПМР, Министерством внутренних дел ПМР по вопросу сотрудничества с Республикой Молдова в сфере ОСАГО с уч</w:t>
      </w:r>
      <w:r>
        <w:rPr>
          <w:sz w:val="24"/>
          <w:szCs w:val="24"/>
        </w:rPr>
        <w:t>ё</w:t>
      </w:r>
      <w:r w:rsidRPr="00566600">
        <w:rPr>
          <w:sz w:val="24"/>
          <w:szCs w:val="24"/>
        </w:rPr>
        <w:t xml:space="preserve">том переговорного процесса между двумя </w:t>
      </w:r>
      <w:r>
        <w:rPr>
          <w:sz w:val="24"/>
          <w:szCs w:val="24"/>
        </w:rPr>
        <w:t>странами</w:t>
      </w:r>
      <w:r w:rsidRPr="00566600">
        <w:rPr>
          <w:sz w:val="24"/>
          <w:szCs w:val="24"/>
        </w:rPr>
        <w:t xml:space="preserve">. </w:t>
      </w:r>
    </w:p>
    <w:p w:rsidR="004E2069" w:rsidRPr="00566600" w:rsidRDefault="004E2069" w:rsidP="00566600">
      <w:pPr>
        <w:ind w:firstLine="425"/>
        <w:jc w:val="both"/>
        <w:rPr>
          <w:sz w:val="24"/>
          <w:szCs w:val="24"/>
        </w:rPr>
      </w:pPr>
      <w:r w:rsidRPr="00566600">
        <w:rPr>
          <w:sz w:val="24"/>
          <w:szCs w:val="24"/>
        </w:rPr>
        <w:t xml:space="preserve">Кроме того, </w:t>
      </w:r>
      <w:r>
        <w:rPr>
          <w:sz w:val="24"/>
          <w:szCs w:val="24"/>
        </w:rPr>
        <w:t xml:space="preserve">по поручениям </w:t>
      </w:r>
      <w:r w:rsidRPr="00566600">
        <w:rPr>
          <w:sz w:val="24"/>
          <w:szCs w:val="24"/>
        </w:rPr>
        <w:t xml:space="preserve">Президента ПМР </w:t>
      </w:r>
      <w:r>
        <w:rPr>
          <w:sz w:val="24"/>
          <w:szCs w:val="24"/>
        </w:rPr>
        <w:t xml:space="preserve">проводилась работа с обращениями граждан. </w:t>
      </w:r>
    </w:p>
    <w:p w:rsidR="004E2069" w:rsidRPr="003D73E2" w:rsidRDefault="004E2069" w:rsidP="00151E78">
      <w:pPr>
        <w:widowControl w:val="0"/>
        <w:tabs>
          <w:tab w:val="left" w:pos="1080"/>
        </w:tabs>
        <w:ind w:firstLine="425"/>
        <w:jc w:val="both"/>
        <w:rPr>
          <w:sz w:val="24"/>
          <w:szCs w:val="24"/>
        </w:rPr>
      </w:pPr>
      <w:r w:rsidRPr="003D73E2">
        <w:rPr>
          <w:sz w:val="24"/>
          <w:szCs w:val="24"/>
        </w:rPr>
        <w:t>В сфере государственных финансов центральный банк осуществлял хранение средств и обслуживание счетов республиканского бюджета и государственных внебюджетных фондов, а также кассовое исполнение республиканского бюджета, предусмотренное действующим законодательством Приднестровской Молдавской Республики.</w:t>
      </w:r>
    </w:p>
    <w:p w:rsidR="004E2069" w:rsidRDefault="004E2069" w:rsidP="00151E78">
      <w:pPr>
        <w:widowControl w:val="0"/>
        <w:ind w:firstLine="425"/>
        <w:jc w:val="both"/>
        <w:rPr>
          <w:sz w:val="24"/>
          <w:szCs w:val="24"/>
        </w:rPr>
      </w:pPr>
      <w:r w:rsidRPr="00A96F72">
        <w:rPr>
          <w:sz w:val="24"/>
          <w:szCs w:val="24"/>
        </w:rPr>
        <w:t>Согласно данным о кассовом исполнении республиканского бюджета</w:t>
      </w:r>
      <w:r w:rsidRPr="003D73E2">
        <w:rPr>
          <w:sz w:val="24"/>
          <w:szCs w:val="24"/>
        </w:rPr>
        <w:t xml:space="preserve"> за 201</w:t>
      </w:r>
      <w:r>
        <w:rPr>
          <w:sz w:val="24"/>
          <w:szCs w:val="24"/>
        </w:rPr>
        <w:t>7</w:t>
      </w:r>
      <w:r w:rsidRPr="003D73E2">
        <w:rPr>
          <w:sz w:val="24"/>
          <w:szCs w:val="24"/>
        </w:rPr>
        <w:t xml:space="preserve"> год, фактическое поступление доходов составило </w:t>
      </w:r>
      <w:r>
        <w:rPr>
          <w:sz w:val="24"/>
          <w:szCs w:val="24"/>
        </w:rPr>
        <w:t>2 284,8</w:t>
      </w:r>
      <w:r w:rsidRPr="003D73E2">
        <w:rPr>
          <w:sz w:val="24"/>
          <w:szCs w:val="24"/>
        </w:rPr>
        <w:t xml:space="preserve"> млн руб.</w:t>
      </w:r>
      <w:r w:rsidRPr="003D73E2">
        <w:rPr>
          <w:rStyle w:val="FootnoteReference"/>
          <w:sz w:val="24"/>
          <w:szCs w:val="24"/>
        </w:rPr>
        <w:footnoteReference w:id="22"/>
      </w:r>
      <w:r w:rsidRPr="003D73E2">
        <w:rPr>
          <w:sz w:val="24"/>
          <w:szCs w:val="24"/>
        </w:rPr>
        <w:t>, что выше уровня 201</w:t>
      </w:r>
      <w:r>
        <w:rPr>
          <w:sz w:val="24"/>
          <w:szCs w:val="24"/>
        </w:rPr>
        <w:t>6</w:t>
      </w:r>
      <w:r w:rsidRPr="003D73E2">
        <w:rPr>
          <w:sz w:val="24"/>
          <w:szCs w:val="24"/>
        </w:rPr>
        <w:t xml:space="preserve"> года на </w:t>
      </w:r>
      <w:r>
        <w:rPr>
          <w:sz w:val="24"/>
          <w:szCs w:val="24"/>
        </w:rPr>
        <w:t>772,5</w:t>
      </w:r>
      <w:r w:rsidRPr="003D73E2">
        <w:rPr>
          <w:sz w:val="24"/>
          <w:szCs w:val="24"/>
        </w:rPr>
        <w:t xml:space="preserve"> млн руб., или </w:t>
      </w:r>
      <w:r>
        <w:rPr>
          <w:sz w:val="24"/>
          <w:szCs w:val="24"/>
        </w:rPr>
        <w:t>в 1,5 раза.</w:t>
      </w:r>
      <w:r w:rsidRPr="003D73E2">
        <w:rPr>
          <w:sz w:val="24"/>
          <w:szCs w:val="24"/>
        </w:rPr>
        <w:t xml:space="preserve"> При этом расходы республиканского бюджета возросли на </w:t>
      </w:r>
      <w:r>
        <w:rPr>
          <w:sz w:val="24"/>
          <w:szCs w:val="24"/>
        </w:rPr>
        <w:t>405,7</w:t>
      </w:r>
      <w:r w:rsidRPr="003D73E2">
        <w:rPr>
          <w:sz w:val="24"/>
          <w:szCs w:val="24"/>
        </w:rPr>
        <w:t xml:space="preserve"> млн руб., или на </w:t>
      </w:r>
      <w:r>
        <w:rPr>
          <w:sz w:val="24"/>
          <w:szCs w:val="24"/>
        </w:rPr>
        <w:t>14,6</w:t>
      </w:r>
      <w:r w:rsidRPr="003D73E2">
        <w:rPr>
          <w:sz w:val="24"/>
          <w:szCs w:val="24"/>
        </w:rPr>
        <w:t xml:space="preserve">%, до </w:t>
      </w:r>
      <w:r>
        <w:rPr>
          <w:sz w:val="24"/>
          <w:szCs w:val="24"/>
        </w:rPr>
        <w:t>3 183,6</w:t>
      </w:r>
      <w:r w:rsidRPr="003D73E2">
        <w:rPr>
          <w:sz w:val="24"/>
          <w:szCs w:val="24"/>
        </w:rPr>
        <w:t xml:space="preserve"> млн руб.</w:t>
      </w:r>
      <w:r w:rsidRPr="003D73E2">
        <w:rPr>
          <w:rStyle w:val="FootnoteReference"/>
          <w:sz w:val="24"/>
          <w:szCs w:val="24"/>
        </w:rPr>
        <w:footnoteReference w:id="23"/>
      </w:r>
      <w:r w:rsidRPr="003D73E2">
        <w:rPr>
          <w:sz w:val="24"/>
          <w:szCs w:val="24"/>
        </w:rPr>
        <w:t xml:space="preserve"> </w:t>
      </w:r>
    </w:p>
    <w:p w:rsidR="004E2069" w:rsidRPr="007E228A" w:rsidRDefault="004E2069" w:rsidP="00FC53FA">
      <w:pPr>
        <w:widowControl w:val="0"/>
        <w:ind w:firstLine="425"/>
        <w:jc w:val="both"/>
        <w:rPr>
          <w:sz w:val="24"/>
          <w:szCs w:val="24"/>
        </w:rPr>
      </w:pPr>
      <w:r>
        <w:rPr>
          <w:sz w:val="24"/>
          <w:szCs w:val="24"/>
        </w:rPr>
        <w:t>В рамках совершенствования обслуживания бюджетных и специальных бюджетных счетов, автоматизации электронного обмена информацией с государственными органами власти Приднестровским республиканским банком в 2017 году начаты мероприятия по установке и внедрению программного комплекса «Клиент-банк».</w:t>
      </w:r>
    </w:p>
    <w:p w:rsidR="004E2069" w:rsidRDefault="004E2069" w:rsidP="00E311EB">
      <w:pPr>
        <w:ind w:firstLine="425"/>
        <w:jc w:val="both"/>
        <w:rPr>
          <w:sz w:val="24"/>
          <w:szCs w:val="24"/>
        </w:rPr>
      </w:pPr>
      <w:r>
        <w:rPr>
          <w:sz w:val="24"/>
          <w:szCs w:val="24"/>
        </w:rPr>
        <w:t>В отчётном году был проведён ряд мероприятий в части, касающейся совершенствования информационного взаимодействия Приднестровского республиканского банка</w:t>
      </w:r>
      <w:r w:rsidRPr="00566600">
        <w:rPr>
          <w:sz w:val="24"/>
          <w:szCs w:val="24"/>
        </w:rPr>
        <w:t xml:space="preserve"> </w:t>
      </w:r>
      <w:r>
        <w:rPr>
          <w:sz w:val="24"/>
          <w:szCs w:val="24"/>
        </w:rPr>
        <w:t>с Государственным таможенным комитетом (подсистема «Экспорт»).</w:t>
      </w:r>
    </w:p>
    <w:p w:rsidR="004E2069" w:rsidRDefault="004E2069" w:rsidP="007A34F7">
      <w:pPr>
        <w:widowControl w:val="0"/>
        <w:ind w:left="11"/>
        <w:rPr>
          <w:b/>
          <w:bCs/>
          <w:noProof/>
          <w:sz w:val="24"/>
          <w:szCs w:val="24"/>
        </w:rPr>
      </w:pPr>
    </w:p>
    <w:p w:rsidR="004E2069" w:rsidRPr="00E85DD7" w:rsidRDefault="004E2069" w:rsidP="002C0A81">
      <w:pPr>
        <w:widowControl w:val="0"/>
        <w:numPr>
          <w:ilvl w:val="1"/>
          <w:numId w:val="3"/>
        </w:numPr>
        <w:tabs>
          <w:tab w:val="left" w:pos="426"/>
        </w:tabs>
        <w:spacing w:after="120"/>
        <w:ind w:left="0" w:firstLine="11"/>
        <w:jc w:val="both"/>
        <w:rPr>
          <w:b/>
          <w:bCs/>
          <w:noProof/>
          <w:sz w:val="24"/>
          <w:szCs w:val="24"/>
        </w:rPr>
      </w:pPr>
      <w:r w:rsidRPr="00E85DD7">
        <w:rPr>
          <w:b/>
          <w:bCs/>
          <w:noProof/>
          <w:sz w:val="24"/>
          <w:szCs w:val="24"/>
        </w:rPr>
        <w:t>ДЕЯТЕЛЬНОСТЬ ПРИДНЕСТРОВСКОГО РЕСПУБЛИКАНСКОГО БАНКА ПО СОВЕРШЕНСТВОВАНИЮ БУХГАЛТЕРСКОГО УЧЁТА И ОТЧЁТНОСТИ</w:t>
      </w:r>
    </w:p>
    <w:p w:rsidR="004E2069" w:rsidRPr="00980420" w:rsidRDefault="004E2069" w:rsidP="00980420">
      <w:pPr>
        <w:autoSpaceDE w:val="0"/>
        <w:autoSpaceDN w:val="0"/>
        <w:adjustRightInd w:val="0"/>
        <w:ind w:right="-2" w:firstLine="425"/>
        <w:jc w:val="both"/>
        <w:rPr>
          <w:sz w:val="24"/>
          <w:szCs w:val="24"/>
        </w:rPr>
      </w:pPr>
      <w:r w:rsidRPr="00980420">
        <w:rPr>
          <w:sz w:val="24"/>
          <w:szCs w:val="24"/>
        </w:rPr>
        <w:t>Основные направления совершенствования и развития бухгалтерского уч</w:t>
      </w:r>
      <w:r>
        <w:rPr>
          <w:sz w:val="24"/>
          <w:szCs w:val="24"/>
        </w:rPr>
        <w:t>ё</w:t>
      </w:r>
      <w:r w:rsidRPr="00980420">
        <w:rPr>
          <w:sz w:val="24"/>
          <w:szCs w:val="24"/>
        </w:rPr>
        <w:t>та и бухгалтерской (финансовой) отч</w:t>
      </w:r>
      <w:r>
        <w:rPr>
          <w:sz w:val="24"/>
          <w:szCs w:val="24"/>
        </w:rPr>
        <w:t>ё</w:t>
      </w:r>
      <w:r w:rsidRPr="00980420">
        <w:rPr>
          <w:sz w:val="24"/>
          <w:szCs w:val="24"/>
        </w:rPr>
        <w:t>тности в банковском секторе Приднестровской Молдавской Республики в 2017 году реализовывались посредством мероприятий по дальнейшему реформированию системы бухгалтерского уч</w:t>
      </w:r>
      <w:r>
        <w:rPr>
          <w:sz w:val="24"/>
          <w:szCs w:val="24"/>
        </w:rPr>
        <w:t>ё</w:t>
      </w:r>
      <w:r w:rsidRPr="00980420">
        <w:rPr>
          <w:sz w:val="24"/>
          <w:szCs w:val="24"/>
        </w:rPr>
        <w:t>та и приведению е</w:t>
      </w:r>
      <w:r>
        <w:rPr>
          <w:sz w:val="24"/>
          <w:szCs w:val="24"/>
        </w:rPr>
        <w:t>ё</w:t>
      </w:r>
      <w:r w:rsidRPr="00980420">
        <w:rPr>
          <w:sz w:val="24"/>
          <w:szCs w:val="24"/>
        </w:rPr>
        <w:t xml:space="preserve"> в соответствие с требованиями Международных стандартов финансовой отч</w:t>
      </w:r>
      <w:r>
        <w:rPr>
          <w:sz w:val="24"/>
          <w:szCs w:val="24"/>
        </w:rPr>
        <w:t>ё</w:t>
      </w:r>
      <w:r w:rsidRPr="00980420">
        <w:rPr>
          <w:sz w:val="24"/>
          <w:szCs w:val="24"/>
        </w:rPr>
        <w:t>тности, а также гармонизаци</w:t>
      </w:r>
      <w:r>
        <w:rPr>
          <w:sz w:val="24"/>
          <w:szCs w:val="24"/>
        </w:rPr>
        <w:t>и</w:t>
      </w:r>
      <w:r w:rsidRPr="00980420">
        <w:rPr>
          <w:sz w:val="24"/>
          <w:szCs w:val="24"/>
        </w:rPr>
        <w:t xml:space="preserve"> с законодательством Российской Федерации.</w:t>
      </w:r>
    </w:p>
    <w:p w:rsidR="004E2069" w:rsidRPr="00980420" w:rsidRDefault="004E2069" w:rsidP="00980420">
      <w:pPr>
        <w:autoSpaceDE w:val="0"/>
        <w:autoSpaceDN w:val="0"/>
        <w:adjustRightInd w:val="0"/>
        <w:ind w:right="-2" w:firstLine="425"/>
        <w:jc w:val="both"/>
        <w:rPr>
          <w:sz w:val="24"/>
          <w:szCs w:val="24"/>
        </w:rPr>
      </w:pPr>
      <w:r>
        <w:rPr>
          <w:sz w:val="24"/>
          <w:szCs w:val="24"/>
        </w:rPr>
        <w:t>П</w:t>
      </w:r>
      <w:r w:rsidRPr="00980420">
        <w:rPr>
          <w:sz w:val="24"/>
          <w:szCs w:val="24"/>
        </w:rPr>
        <w:t>ри рассмотрении вопрос</w:t>
      </w:r>
      <w:r>
        <w:rPr>
          <w:sz w:val="24"/>
          <w:szCs w:val="24"/>
        </w:rPr>
        <w:t>ов</w:t>
      </w:r>
      <w:r w:rsidRPr="00980420">
        <w:rPr>
          <w:sz w:val="24"/>
          <w:szCs w:val="24"/>
        </w:rPr>
        <w:t xml:space="preserve"> по внесению изменений в действующие нормативные акты в области бухгалтерского уч</w:t>
      </w:r>
      <w:r>
        <w:rPr>
          <w:sz w:val="24"/>
          <w:szCs w:val="24"/>
        </w:rPr>
        <w:t>ё</w:t>
      </w:r>
      <w:r w:rsidRPr="00980420">
        <w:rPr>
          <w:sz w:val="24"/>
          <w:szCs w:val="24"/>
        </w:rPr>
        <w:t xml:space="preserve">та </w:t>
      </w:r>
      <w:r>
        <w:rPr>
          <w:sz w:val="24"/>
          <w:szCs w:val="24"/>
        </w:rPr>
        <w:t xml:space="preserve">также </w:t>
      </w:r>
      <w:r w:rsidRPr="00980420">
        <w:rPr>
          <w:sz w:val="24"/>
          <w:szCs w:val="24"/>
        </w:rPr>
        <w:t>осуществл</w:t>
      </w:r>
      <w:r>
        <w:rPr>
          <w:sz w:val="24"/>
          <w:szCs w:val="24"/>
        </w:rPr>
        <w:t>ялся</w:t>
      </w:r>
      <w:r w:rsidRPr="00980420">
        <w:rPr>
          <w:sz w:val="24"/>
          <w:szCs w:val="24"/>
        </w:rPr>
        <w:t xml:space="preserve"> сбор предложений от кредитных организаций с уч</w:t>
      </w:r>
      <w:r>
        <w:rPr>
          <w:sz w:val="24"/>
          <w:szCs w:val="24"/>
        </w:rPr>
        <w:t>ё</w:t>
      </w:r>
      <w:r w:rsidRPr="00980420">
        <w:rPr>
          <w:sz w:val="24"/>
          <w:szCs w:val="24"/>
        </w:rPr>
        <w:t>том практического опыта их применения.</w:t>
      </w:r>
    </w:p>
    <w:p w:rsidR="004E2069" w:rsidRPr="00980420" w:rsidRDefault="004E2069" w:rsidP="00980420">
      <w:pPr>
        <w:autoSpaceDE w:val="0"/>
        <w:autoSpaceDN w:val="0"/>
        <w:adjustRightInd w:val="0"/>
        <w:ind w:right="-2" w:firstLine="425"/>
        <w:jc w:val="both"/>
        <w:rPr>
          <w:sz w:val="24"/>
          <w:szCs w:val="24"/>
        </w:rPr>
      </w:pPr>
      <w:r>
        <w:rPr>
          <w:sz w:val="24"/>
          <w:szCs w:val="24"/>
        </w:rPr>
        <w:t>Кроме того,</w:t>
      </w:r>
      <w:r w:rsidRPr="00980420">
        <w:rPr>
          <w:sz w:val="24"/>
          <w:szCs w:val="24"/>
        </w:rPr>
        <w:t xml:space="preserve"> проводилась работа по совершенствованию порядка ведения бухгалтерского уч</w:t>
      </w:r>
      <w:r>
        <w:rPr>
          <w:sz w:val="24"/>
          <w:szCs w:val="24"/>
        </w:rPr>
        <w:t>ё</w:t>
      </w:r>
      <w:r w:rsidRPr="00980420">
        <w:rPr>
          <w:sz w:val="24"/>
          <w:szCs w:val="24"/>
        </w:rPr>
        <w:t>та и бухгалтерской (финансовой) отч</w:t>
      </w:r>
      <w:r>
        <w:rPr>
          <w:sz w:val="24"/>
          <w:szCs w:val="24"/>
        </w:rPr>
        <w:t>ё</w:t>
      </w:r>
      <w:r w:rsidRPr="00980420">
        <w:rPr>
          <w:sz w:val="24"/>
          <w:szCs w:val="24"/>
        </w:rPr>
        <w:t>тности</w:t>
      </w:r>
      <w:r>
        <w:rPr>
          <w:sz w:val="24"/>
          <w:szCs w:val="24"/>
        </w:rPr>
        <w:t xml:space="preserve"> непосредственно</w:t>
      </w:r>
      <w:r w:rsidRPr="00980420">
        <w:rPr>
          <w:sz w:val="24"/>
          <w:szCs w:val="24"/>
        </w:rPr>
        <w:t xml:space="preserve"> в Приднестровском республиканском банке пут</w:t>
      </w:r>
      <w:r>
        <w:rPr>
          <w:sz w:val="24"/>
          <w:szCs w:val="24"/>
        </w:rPr>
        <w:t>ё</w:t>
      </w:r>
      <w:r w:rsidRPr="00980420">
        <w:rPr>
          <w:sz w:val="24"/>
          <w:szCs w:val="24"/>
        </w:rPr>
        <w:t>м внесения изменений и дополнений в части норм, регламентирующих:</w:t>
      </w:r>
    </w:p>
    <w:p w:rsidR="004E2069" w:rsidRPr="00980420" w:rsidRDefault="004E2069" w:rsidP="00E90743">
      <w:pPr>
        <w:numPr>
          <w:ilvl w:val="0"/>
          <w:numId w:val="19"/>
        </w:numPr>
        <w:tabs>
          <w:tab w:val="left" w:pos="709"/>
        </w:tabs>
        <w:autoSpaceDE w:val="0"/>
        <w:autoSpaceDN w:val="0"/>
        <w:adjustRightInd w:val="0"/>
        <w:ind w:left="0" w:right="-2" w:firstLine="425"/>
        <w:jc w:val="both"/>
        <w:rPr>
          <w:sz w:val="24"/>
          <w:szCs w:val="24"/>
        </w:rPr>
      </w:pPr>
      <w:r w:rsidRPr="00980420">
        <w:rPr>
          <w:sz w:val="24"/>
          <w:szCs w:val="24"/>
        </w:rPr>
        <w:t>отражение в бухгалтерском уч</w:t>
      </w:r>
      <w:r>
        <w:rPr>
          <w:sz w:val="24"/>
          <w:szCs w:val="24"/>
        </w:rPr>
        <w:t>ё</w:t>
      </w:r>
      <w:r w:rsidRPr="00980420">
        <w:rPr>
          <w:sz w:val="24"/>
          <w:szCs w:val="24"/>
        </w:rPr>
        <w:t>те операций выбытия (реализации) имущества;</w:t>
      </w:r>
    </w:p>
    <w:p w:rsidR="004E2069" w:rsidRPr="00980420" w:rsidRDefault="004E2069" w:rsidP="00E90743">
      <w:pPr>
        <w:numPr>
          <w:ilvl w:val="0"/>
          <w:numId w:val="19"/>
        </w:numPr>
        <w:tabs>
          <w:tab w:val="left" w:pos="709"/>
        </w:tabs>
        <w:ind w:left="0" w:right="-2" w:firstLine="425"/>
        <w:jc w:val="both"/>
        <w:rPr>
          <w:sz w:val="24"/>
          <w:szCs w:val="24"/>
        </w:rPr>
      </w:pPr>
      <w:r w:rsidRPr="00980420">
        <w:rPr>
          <w:sz w:val="24"/>
          <w:szCs w:val="24"/>
        </w:rPr>
        <w:t>бухгалтерский уч</w:t>
      </w:r>
      <w:r>
        <w:rPr>
          <w:sz w:val="24"/>
          <w:szCs w:val="24"/>
        </w:rPr>
        <w:t>ё</w:t>
      </w:r>
      <w:r w:rsidRPr="00980420">
        <w:rPr>
          <w:sz w:val="24"/>
          <w:szCs w:val="24"/>
        </w:rPr>
        <w:t>т операций покупки (продажи) иностранной валюты;</w:t>
      </w:r>
    </w:p>
    <w:p w:rsidR="004E2069" w:rsidRPr="00980420" w:rsidRDefault="004E2069" w:rsidP="00E90743">
      <w:pPr>
        <w:numPr>
          <w:ilvl w:val="0"/>
          <w:numId w:val="19"/>
        </w:numPr>
        <w:tabs>
          <w:tab w:val="left" w:pos="709"/>
        </w:tabs>
        <w:ind w:left="0" w:right="-2" w:firstLine="425"/>
        <w:jc w:val="both"/>
        <w:rPr>
          <w:sz w:val="24"/>
          <w:szCs w:val="24"/>
        </w:rPr>
      </w:pPr>
      <w:r w:rsidRPr="00980420">
        <w:rPr>
          <w:sz w:val="24"/>
          <w:szCs w:val="24"/>
        </w:rPr>
        <w:t>бухгалтерский уч</w:t>
      </w:r>
      <w:r>
        <w:rPr>
          <w:sz w:val="24"/>
          <w:szCs w:val="24"/>
        </w:rPr>
        <w:t>ё</w:t>
      </w:r>
      <w:r w:rsidRPr="00980420">
        <w:rPr>
          <w:sz w:val="24"/>
          <w:szCs w:val="24"/>
        </w:rPr>
        <w:t>т излишне уплаченных процентных доходов по размещ</w:t>
      </w:r>
      <w:r>
        <w:rPr>
          <w:sz w:val="24"/>
          <w:szCs w:val="24"/>
        </w:rPr>
        <w:t>ё</w:t>
      </w:r>
      <w:r w:rsidRPr="00980420">
        <w:rPr>
          <w:sz w:val="24"/>
          <w:szCs w:val="24"/>
        </w:rPr>
        <w:t>нным денежным средствам;</w:t>
      </w:r>
    </w:p>
    <w:p w:rsidR="004E2069" w:rsidRPr="00980420" w:rsidRDefault="004E2069" w:rsidP="00E90743">
      <w:pPr>
        <w:numPr>
          <w:ilvl w:val="0"/>
          <w:numId w:val="19"/>
        </w:numPr>
        <w:tabs>
          <w:tab w:val="left" w:pos="709"/>
        </w:tabs>
        <w:ind w:left="0" w:right="-2" w:firstLine="425"/>
        <w:jc w:val="both"/>
        <w:rPr>
          <w:sz w:val="24"/>
          <w:szCs w:val="24"/>
        </w:rPr>
      </w:pPr>
      <w:r w:rsidRPr="00980420">
        <w:rPr>
          <w:sz w:val="24"/>
          <w:szCs w:val="24"/>
        </w:rPr>
        <w:t>взаимодействие структурных подразделений банка при отражении операций в бухгалтерском уч</w:t>
      </w:r>
      <w:r>
        <w:rPr>
          <w:sz w:val="24"/>
          <w:szCs w:val="24"/>
        </w:rPr>
        <w:t>ё</w:t>
      </w:r>
      <w:r w:rsidRPr="00980420">
        <w:rPr>
          <w:sz w:val="24"/>
          <w:szCs w:val="24"/>
        </w:rPr>
        <w:t>те, составлении бухгалтерской (финансовой) отч</w:t>
      </w:r>
      <w:r>
        <w:rPr>
          <w:sz w:val="24"/>
          <w:szCs w:val="24"/>
        </w:rPr>
        <w:t>ё</w:t>
      </w:r>
      <w:r w:rsidRPr="00980420">
        <w:rPr>
          <w:sz w:val="24"/>
          <w:szCs w:val="24"/>
        </w:rPr>
        <w:t>тности в связи с изменением организационной структуры Приднестровского республиканского банка;</w:t>
      </w:r>
    </w:p>
    <w:p w:rsidR="004E2069" w:rsidRPr="00980420" w:rsidRDefault="004E2069" w:rsidP="00E90743">
      <w:pPr>
        <w:numPr>
          <w:ilvl w:val="0"/>
          <w:numId w:val="19"/>
        </w:numPr>
        <w:tabs>
          <w:tab w:val="left" w:pos="709"/>
        </w:tabs>
        <w:ind w:left="0" w:right="-2" w:firstLine="425"/>
        <w:jc w:val="both"/>
        <w:rPr>
          <w:sz w:val="24"/>
          <w:szCs w:val="24"/>
        </w:rPr>
      </w:pPr>
      <w:r w:rsidRPr="00980420">
        <w:rPr>
          <w:sz w:val="24"/>
          <w:szCs w:val="24"/>
        </w:rPr>
        <w:t>составление отдельных форм бухгалтерской (финансовой) отч</w:t>
      </w:r>
      <w:r>
        <w:rPr>
          <w:sz w:val="24"/>
          <w:szCs w:val="24"/>
        </w:rPr>
        <w:t>ё</w:t>
      </w:r>
      <w:r w:rsidRPr="00980420">
        <w:rPr>
          <w:sz w:val="24"/>
          <w:szCs w:val="24"/>
        </w:rPr>
        <w:t>тности банка.</w:t>
      </w:r>
    </w:p>
    <w:p w:rsidR="004E2069" w:rsidRPr="00980420" w:rsidRDefault="004E2069" w:rsidP="00980420">
      <w:pPr>
        <w:autoSpaceDE w:val="0"/>
        <w:autoSpaceDN w:val="0"/>
        <w:adjustRightInd w:val="0"/>
        <w:ind w:right="-2" w:firstLine="425"/>
        <w:jc w:val="both"/>
        <w:rPr>
          <w:sz w:val="24"/>
          <w:szCs w:val="24"/>
        </w:rPr>
      </w:pPr>
      <w:r w:rsidRPr="00980420">
        <w:rPr>
          <w:sz w:val="24"/>
          <w:szCs w:val="24"/>
        </w:rPr>
        <w:t>В отч</w:t>
      </w:r>
      <w:r>
        <w:rPr>
          <w:sz w:val="24"/>
          <w:szCs w:val="24"/>
        </w:rPr>
        <w:t>ё</w:t>
      </w:r>
      <w:r w:rsidRPr="00980420">
        <w:rPr>
          <w:sz w:val="24"/>
          <w:szCs w:val="24"/>
        </w:rPr>
        <w:t>тном году осуществлялась работа по совершенствованию порядка проведения Приднестровским республиканским банком кассовых операций в части изменения порядка при</w:t>
      </w:r>
      <w:r>
        <w:rPr>
          <w:sz w:val="24"/>
          <w:szCs w:val="24"/>
        </w:rPr>
        <w:t>ё</w:t>
      </w:r>
      <w:r w:rsidRPr="00980420">
        <w:rPr>
          <w:sz w:val="24"/>
          <w:szCs w:val="24"/>
        </w:rPr>
        <w:t>ма (выдачи) иностранной валюты, уточнения порядка документального оформления кассовых операций и подписания отдельных форм документов, а также упаковки денежных знаков.</w:t>
      </w:r>
    </w:p>
    <w:p w:rsidR="004E2069" w:rsidRPr="00E85DD7" w:rsidRDefault="004E2069" w:rsidP="009B51FB">
      <w:pPr>
        <w:widowControl w:val="0"/>
        <w:autoSpaceDE w:val="0"/>
        <w:autoSpaceDN w:val="0"/>
        <w:adjustRightInd w:val="0"/>
        <w:ind w:firstLine="425"/>
        <w:jc w:val="both"/>
        <w:rPr>
          <w:sz w:val="24"/>
          <w:szCs w:val="24"/>
        </w:rPr>
      </w:pPr>
    </w:p>
    <w:p w:rsidR="004E2069" w:rsidRPr="00E85DD7" w:rsidRDefault="004E2069" w:rsidP="009B51FB">
      <w:pPr>
        <w:widowControl w:val="0"/>
        <w:autoSpaceDE w:val="0"/>
        <w:autoSpaceDN w:val="0"/>
        <w:adjustRightInd w:val="0"/>
        <w:jc w:val="both"/>
        <w:rPr>
          <w:sz w:val="24"/>
          <w:szCs w:val="24"/>
        </w:rPr>
      </w:pPr>
      <w:r w:rsidRPr="00E85DD7">
        <w:rPr>
          <w:b/>
          <w:bCs/>
          <w:noProof/>
          <w:sz w:val="24"/>
          <w:szCs w:val="24"/>
        </w:rPr>
        <w:t>2.1</w:t>
      </w:r>
      <w:r>
        <w:rPr>
          <w:b/>
          <w:bCs/>
          <w:noProof/>
          <w:sz w:val="24"/>
          <w:szCs w:val="24"/>
        </w:rPr>
        <w:t>0</w:t>
      </w:r>
      <w:r w:rsidRPr="00E85DD7">
        <w:rPr>
          <w:b/>
          <w:bCs/>
          <w:noProof/>
          <w:sz w:val="24"/>
          <w:szCs w:val="24"/>
        </w:rPr>
        <w:t>. ОРГАНИЗАЦИЯ ВНУТРЕННЕЙ ДЕЯТЕЛЬНОСТИ ПРИДНЕСТРОВСКОГО РЕСПУБЛИКАНСКОГО БАНКА</w:t>
      </w:r>
    </w:p>
    <w:p w:rsidR="004E2069" w:rsidRPr="00790A29" w:rsidRDefault="004E2069" w:rsidP="0005320B">
      <w:pPr>
        <w:widowControl w:val="0"/>
        <w:spacing w:before="120" w:after="120"/>
        <w:ind w:firstLine="425"/>
        <w:jc w:val="both"/>
        <w:rPr>
          <w:i/>
          <w:iCs/>
          <w:sz w:val="24"/>
          <w:szCs w:val="24"/>
        </w:rPr>
      </w:pPr>
      <w:r w:rsidRPr="00790A29">
        <w:rPr>
          <w:i/>
          <w:iCs/>
          <w:sz w:val="24"/>
          <w:szCs w:val="24"/>
        </w:rPr>
        <w:t>Организационная структура, кадровое обеспечение и обучение персонала</w:t>
      </w:r>
    </w:p>
    <w:p w:rsidR="004E2069" w:rsidRPr="00790A29" w:rsidRDefault="004E2069" w:rsidP="0005320B">
      <w:pPr>
        <w:ind w:firstLine="425"/>
        <w:jc w:val="both"/>
        <w:rPr>
          <w:sz w:val="24"/>
          <w:szCs w:val="24"/>
        </w:rPr>
      </w:pPr>
      <w:r w:rsidRPr="00790A29">
        <w:rPr>
          <w:sz w:val="24"/>
          <w:szCs w:val="24"/>
        </w:rPr>
        <w:t xml:space="preserve">Основными задачами в области управления персоналом Приднестровского республиканского банка являются осуществление кадрового обеспечения деятельности банка, организация труда, контроль соблюдения правил внутреннего трудового распорядка, формирование профессионального кадрового состава. </w:t>
      </w:r>
    </w:p>
    <w:p w:rsidR="004E2069" w:rsidRPr="00790A29" w:rsidRDefault="004E2069" w:rsidP="0005320B">
      <w:pPr>
        <w:ind w:firstLine="425"/>
        <w:jc w:val="both"/>
        <w:rPr>
          <w:sz w:val="24"/>
          <w:szCs w:val="24"/>
        </w:rPr>
      </w:pPr>
      <w:r w:rsidRPr="00790A29">
        <w:rPr>
          <w:sz w:val="24"/>
          <w:szCs w:val="24"/>
        </w:rPr>
        <w:t>В течение 2017 года проводились мероприятия по укомплектованию штата квалифицированными кадрами, с целью более рационального выполнения задач и функций, возложенных на Приднестровский республиканский банк, продолжалась работа по совершенствованию организационной структуры банка, планомерному реформированию структурных подразделений. Таким образом, на 1 января 2018 года в организационную структуру банка входило 11 управлений и 4 отдела прямого подчинения:</w:t>
      </w:r>
    </w:p>
    <w:p w:rsidR="004E2069" w:rsidRPr="00790A29" w:rsidRDefault="004E2069" w:rsidP="00E90743">
      <w:pPr>
        <w:numPr>
          <w:ilvl w:val="0"/>
          <w:numId w:val="9"/>
        </w:numPr>
        <w:tabs>
          <w:tab w:val="clear" w:pos="1854"/>
        </w:tabs>
        <w:ind w:left="851" w:hanging="425"/>
        <w:jc w:val="both"/>
        <w:rPr>
          <w:sz w:val="24"/>
          <w:szCs w:val="24"/>
        </w:rPr>
      </w:pPr>
      <w:r w:rsidRPr="00790A29">
        <w:rPr>
          <w:sz w:val="24"/>
          <w:szCs w:val="24"/>
        </w:rPr>
        <w:t xml:space="preserve">Управление макроэкономического анализа и регулирования денежного обращения; </w:t>
      </w:r>
    </w:p>
    <w:p w:rsidR="004E2069" w:rsidRPr="00790A29" w:rsidRDefault="004E2069" w:rsidP="00E90743">
      <w:pPr>
        <w:numPr>
          <w:ilvl w:val="0"/>
          <w:numId w:val="9"/>
        </w:numPr>
        <w:tabs>
          <w:tab w:val="clear" w:pos="1854"/>
        </w:tabs>
        <w:ind w:left="851" w:hanging="425"/>
        <w:jc w:val="both"/>
        <w:rPr>
          <w:sz w:val="24"/>
          <w:szCs w:val="24"/>
        </w:rPr>
      </w:pPr>
      <w:r w:rsidRPr="00790A29">
        <w:rPr>
          <w:sz w:val="24"/>
          <w:szCs w:val="24"/>
        </w:rPr>
        <w:t xml:space="preserve">Управление банковского надзора и регламентирования; </w:t>
      </w:r>
    </w:p>
    <w:p w:rsidR="004E2069" w:rsidRPr="00790A29" w:rsidRDefault="004E2069" w:rsidP="00E90743">
      <w:pPr>
        <w:numPr>
          <w:ilvl w:val="0"/>
          <w:numId w:val="9"/>
        </w:numPr>
        <w:tabs>
          <w:tab w:val="clear" w:pos="1854"/>
        </w:tabs>
        <w:ind w:left="851" w:hanging="425"/>
        <w:jc w:val="both"/>
        <w:rPr>
          <w:sz w:val="24"/>
          <w:szCs w:val="24"/>
        </w:rPr>
      </w:pPr>
      <w:r w:rsidRPr="00790A29">
        <w:rPr>
          <w:sz w:val="24"/>
          <w:szCs w:val="24"/>
        </w:rPr>
        <w:t>Управление валютного регулирования и контроля;</w:t>
      </w:r>
    </w:p>
    <w:p w:rsidR="004E2069" w:rsidRPr="00790A29" w:rsidRDefault="004E2069" w:rsidP="00E90743">
      <w:pPr>
        <w:numPr>
          <w:ilvl w:val="0"/>
          <w:numId w:val="9"/>
        </w:numPr>
        <w:tabs>
          <w:tab w:val="clear" w:pos="1854"/>
        </w:tabs>
        <w:ind w:left="851" w:hanging="425"/>
        <w:jc w:val="both"/>
        <w:rPr>
          <w:sz w:val="24"/>
          <w:szCs w:val="24"/>
        </w:rPr>
      </w:pPr>
      <w:r w:rsidRPr="00790A29">
        <w:rPr>
          <w:sz w:val="24"/>
          <w:szCs w:val="24"/>
        </w:rPr>
        <w:t>Управление операций на финансовых рынках;</w:t>
      </w:r>
    </w:p>
    <w:p w:rsidR="004E2069" w:rsidRPr="00790A29" w:rsidRDefault="004E2069" w:rsidP="00E90743">
      <w:pPr>
        <w:numPr>
          <w:ilvl w:val="0"/>
          <w:numId w:val="9"/>
        </w:numPr>
        <w:tabs>
          <w:tab w:val="clear" w:pos="1854"/>
        </w:tabs>
        <w:ind w:left="851" w:hanging="425"/>
        <w:jc w:val="both"/>
        <w:rPr>
          <w:sz w:val="24"/>
          <w:szCs w:val="24"/>
        </w:rPr>
      </w:pPr>
      <w:r w:rsidRPr="00790A29">
        <w:rPr>
          <w:sz w:val="24"/>
          <w:szCs w:val="24"/>
        </w:rPr>
        <w:t>Управление информационных технологий;</w:t>
      </w:r>
    </w:p>
    <w:p w:rsidR="004E2069" w:rsidRPr="00790A29" w:rsidRDefault="004E2069" w:rsidP="00E90743">
      <w:pPr>
        <w:numPr>
          <w:ilvl w:val="0"/>
          <w:numId w:val="9"/>
        </w:numPr>
        <w:tabs>
          <w:tab w:val="clear" w:pos="1854"/>
        </w:tabs>
        <w:ind w:left="851" w:hanging="425"/>
        <w:jc w:val="both"/>
        <w:rPr>
          <w:sz w:val="24"/>
          <w:szCs w:val="24"/>
        </w:rPr>
      </w:pPr>
      <w:r w:rsidRPr="00790A29">
        <w:rPr>
          <w:sz w:val="24"/>
          <w:szCs w:val="24"/>
        </w:rPr>
        <w:t>Правовое управление;</w:t>
      </w:r>
    </w:p>
    <w:p w:rsidR="004E2069" w:rsidRPr="00790A29" w:rsidRDefault="004E2069" w:rsidP="00E90743">
      <w:pPr>
        <w:numPr>
          <w:ilvl w:val="0"/>
          <w:numId w:val="9"/>
        </w:numPr>
        <w:tabs>
          <w:tab w:val="clear" w:pos="1854"/>
        </w:tabs>
        <w:ind w:left="851" w:hanging="425"/>
        <w:jc w:val="both"/>
        <w:rPr>
          <w:sz w:val="24"/>
          <w:szCs w:val="24"/>
        </w:rPr>
      </w:pPr>
      <w:r w:rsidRPr="00790A29">
        <w:rPr>
          <w:sz w:val="24"/>
          <w:szCs w:val="24"/>
        </w:rPr>
        <w:t>Управление бухгалтерского учёта;</w:t>
      </w:r>
    </w:p>
    <w:p w:rsidR="004E2069" w:rsidRPr="00790A29" w:rsidRDefault="004E2069" w:rsidP="00E90743">
      <w:pPr>
        <w:numPr>
          <w:ilvl w:val="0"/>
          <w:numId w:val="9"/>
        </w:numPr>
        <w:tabs>
          <w:tab w:val="clear" w:pos="1854"/>
        </w:tabs>
        <w:ind w:left="851" w:hanging="425"/>
        <w:jc w:val="both"/>
        <w:rPr>
          <w:sz w:val="24"/>
          <w:szCs w:val="24"/>
        </w:rPr>
      </w:pPr>
      <w:r w:rsidRPr="00790A29">
        <w:rPr>
          <w:sz w:val="24"/>
          <w:szCs w:val="24"/>
        </w:rPr>
        <w:t>Операционное управление;</w:t>
      </w:r>
    </w:p>
    <w:p w:rsidR="004E2069" w:rsidRPr="00790A29" w:rsidRDefault="004E2069" w:rsidP="00E90743">
      <w:pPr>
        <w:numPr>
          <w:ilvl w:val="0"/>
          <w:numId w:val="9"/>
        </w:numPr>
        <w:tabs>
          <w:tab w:val="clear" w:pos="1854"/>
        </w:tabs>
        <w:ind w:left="851" w:hanging="425"/>
        <w:jc w:val="both"/>
        <w:rPr>
          <w:sz w:val="24"/>
          <w:szCs w:val="24"/>
        </w:rPr>
      </w:pPr>
      <w:r w:rsidRPr="00291A75">
        <w:rPr>
          <w:sz w:val="24"/>
          <w:szCs w:val="24"/>
        </w:rPr>
        <w:t>Управление к</w:t>
      </w:r>
      <w:r w:rsidRPr="00790A29">
        <w:rPr>
          <w:sz w:val="24"/>
          <w:szCs w:val="24"/>
        </w:rPr>
        <w:t>онтроля и внутрибанковского аудита;</w:t>
      </w:r>
    </w:p>
    <w:p w:rsidR="004E2069" w:rsidRPr="00790A29" w:rsidRDefault="004E2069" w:rsidP="00E90743">
      <w:pPr>
        <w:numPr>
          <w:ilvl w:val="0"/>
          <w:numId w:val="9"/>
        </w:numPr>
        <w:tabs>
          <w:tab w:val="clear" w:pos="1854"/>
        </w:tabs>
        <w:ind w:left="851" w:hanging="425"/>
        <w:jc w:val="both"/>
        <w:rPr>
          <w:sz w:val="24"/>
          <w:szCs w:val="24"/>
        </w:rPr>
      </w:pPr>
      <w:r w:rsidRPr="00790A29">
        <w:rPr>
          <w:sz w:val="24"/>
          <w:szCs w:val="24"/>
        </w:rPr>
        <w:t>Управление безопасности;</w:t>
      </w:r>
    </w:p>
    <w:p w:rsidR="004E2069" w:rsidRPr="00790A29" w:rsidRDefault="004E2069" w:rsidP="00E90743">
      <w:pPr>
        <w:numPr>
          <w:ilvl w:val="0"/>
          <w:numId w:val="9"/>
        </w:numPr>
        <w:tabs>
          <w:tab w:val="clear" w:pos="1854"/>
        </w:tabs>
        <w:ind w:left="851" w:hanging="425"/>
        <w:jc w:val="both"/>
        <w:rPr>
          <w:sz w:val="24"/>
          <w:szCs w:val="24"/>
        </w:rPr>
      </w:pPr>
      <w:r w:rsidRPr="00790A29">
        <w:rPr>
          <w:sz w:val="24"/>
          <w:szCs w:val="24"/>
        </w:rPr>
        <w:t>Управление методологии бухгалтерского уч</w:t>
      </w:r>
      <w:r>
        <w:rPr>
          <w:sz w:val="24"/>
          <w:szCs w:val="24"/>
        </w:rPr>
        <w:t>ё</w:t>
      </w:r>
      <w:r w:rsidRPr="00790A29">
        <w:rPr>
          <w:sz w:val="24"/>
          <w:szCs w:val="24"/>
        </w:rPr>
        <w:t>та</w:t>
      </w:r>
      <w:r>
        <w:rPr>
          <w:sz w:val="24"/>
          <w:szCs w:val="24"/>
        </w:rPr>
        <w:t>,</w:t>
      </w:r>
      <w:r w:rsidRPr="00790A29">
        <w:rPr>
          <w:sz w:val="24"/>
          <w:szCs w:val="24"/>
        </w:rPr>
        <w:t xml:space="preserve"> контроля и отч</w:t>
      </w:r>
      <w:r>
        <w:rPr>
          <w:sz w:val="24"/>
          <w:szCs w:val="24"/>
        </w:rPr>
        <w:t>ё</w:t>
      </w:r>
      <w:r w:rsidRPr="00790A29">
        <w:rPr>
          <w:sz w:val="24"/>
          <w:szCs w:val="24"/>
        </w:rPr>
        <w:t xml:space="preserve">тности; </w:t>
      </w:r>
    </w:p>
    <w:p w:rsidR="004E2069" w:rsidRPr="00790A29" w:rsidRDefault="004E2069" w:rsidP="00E90743">
      <w:pPr>
        <w:numPr>
          <w:ilvl w:val="0"/>
          <w:numId w:val="9"/>
        </w:numPr>
        <w:tabs>
          <w:tab w:val="clear" w:pos="1854"/>
        </w:tabs>
        <w:ind w:left="851" w:hanging="425"/>
        <w:jc w:val="both"/>
        <w:rPr>
          <w:sz w:val="24"/>
          <w:szCs w:val="24"/>
        </w:rPr>
      </w:pPr>
      <w:r w:rsidRPr="00790A29">
        <w:rPr>
          <w:sz w:val="24"/>
          <w:szCs w:val="24"/>
        </w:rPr>
        <w:t>Отдел оценки рисков;</w:t>
      </w:r>
    </w:p>
    <w:p w:rsidR="004E2069" w:rsidRPr="00790A29" w:rsidRDefault="004E2069" w:rsidP="00E90743">
      <w:pPr>
        <w:numPr>
          <w:ilvl w:val="0"/>
          <w:numId w:val="9"/>
        </w:numPr>
        <w:tabs>
          <w:tab w:val="clear" w:pos="1854"/>
        </w:tabs>
        <w:ind w:left="851" w:hanging="425"/>
        <w:jc w:val="both"/>
        <w:rPr>
          <w:sz w:val="24"/>
          <w:szCs w:val="24"/>
        </w:rPr>
      </w:pPr>
      <w:r w:rsidRPr="00790A29">
        <w:rPr>
          <w:sz w:val="24"/>
          <w:szCs w:val="24"/>
        </w:rPr>
        <w:t>Отдел финансового мониторинга;</w:t>
      </w:r>
    </w:p>
    <w:p w:rsidR="004E2069" w:rsidRPr="00790A29" w:rsidRDefault="004E2069" w:rsidP="00E90743">
      <w:pPr>
        <w:numPr>
          <w:ilvl w:val="0"/>
          <w:numId w:val="9"/>
        </w:numPr>
        <w:tabs>
          <w:tab w:val="clear" w:pos="1854"/>
        </w:tabs>
        <w:ind w:left="851" w:hanging="425"/>
        <w:jc w:val="both"/>
        <w:rPr>
          <w:sz w:val="24"/>
          <w:szCs w:val="24"/>
        </w:rPr>
      </w:pPr>
      <w:r w:rsidRPr="00790A29">
        <w:rPr>
          <w:sz w:val="24"/>
          <w:szCs w:val="24"/>
        </w:rPr>
        <w:t>Отдел управления персоналом и документационного обеспечения;</w:t>
      </w:r>
    </w:p>
    <w:p w:rsidR="004E2069" w:rsidRPr="00790A29" w:rsidRDefault="004E2069" w:rsidP="00E90743">
      <w:pPr>
        <w:numPr>
          <w:ilvl w:val="0"/>
          <w:numId w:val="9"/>
        </w:numPr>
        <w:tabs>
          <w:tab w:val="clear" w:pos="1854"/>
        </w:tabs>
        <w:ind w:left="851" w:hanging="425"/>
        <w:jc w:val="both"/>
        <w:rPr>
          <w:sz w:val="24"/>
          <w:szCs w:val="24"/>
        </w:rPr>
      </w:pPr>
      <w:r w:rsidRPr="00790A29">
        <w:rPr>
          <w:sz w:val="24"/>
          <w:szCs w:val="24"/>
        </w:rPr>
        <w:t>Отдел обеспечения производства денежных знаков.</w:t>
      </w:r>
    </w:p>
    <w:p w:rsidR="004E2069" w:rsidRPr="00141375" w:rsidRDefault="004E2069" w:rsidP="00141375">
      <w:pPr>
        <w:ind w:firstLine="425"/>
        <w:jc w:val="both"/>
        <w:rPr>
          <w:sz w:val="24"/>
          <w:szCs w:val="24"/>
        </w:rPr>
      </w:pPr>
      <w:r w:rsidRPr="00141375">
        <w:rPr>
          <w:color w:val="000000"/>
          <w:sz w:val="24"/>
          <w:szCs w:val="24"/>
        </w:rPr>
        <w:t xml:space="preserve">Общая численность </w:t>
      </w:r>
      <w:r>
        <w:rPr>
          <w:color w:val="000000"/>
          <w:sz w:val="24"/>
          <w:szCs w:val="24"/>
        </w:rPr>
        <w:t>занятых</w:t>
      </w:r>
      <w:r w:rsidRPr="00141375">
        <w:rPr>
          <w:color w:val="000000"/>
          <w:sz w:val="24"/>
          <w:szCs w:val="24"/>
        </w:rPr>
        <w:t xml:space="preserve"> в банке на 1 января 2018 года </w:t>
      </w:r>
      <w:r>
        <w:rPr>
          <w:color w:val="000000"/>
          <w:sz w:val="24"/>
          <w:szCs w:val="24"/>
        </w:rPr>
        <w:t>составила</w:t>
      </w:r>
      <w:r w:rsidRPr="00141375">
        <w:rPr>
          <w:color w:val="000000"/>
          <w:sz w:val="24"/>
          <w:szCs w:val="24"/>
        </w:rPr>
        <w:t xml:space="preserve"> 202 человека </w:t>
      </w:r>
      <w:r>
        <w:rPr>
          <w:color w:val="000000"/>
          <w:sz w:val="24"/>
          <w:szCs w:val="24"/>
        </w:rPr>
        <w:t xml:space="preserve">против </w:t>
      </w:r>
      <w:r w:rsidRPr="00141375">
        <w:rPr>
          <w:color w:val="000000"/>
          <w:sz w:val="24"/>
          <w:szCs w:val="24"/>
        </w:rPr>
        <w:t>236 человек на 1 января 2017 года. При этом у 17,3% сотрудников стаж работы в банке составляет более 20 лет, у 12,7% – от 15 до 20 лет, у 15,6% – от 10 до 15 лет, у 27,7% –</w:t>
      </w:r>
      <w:r>
        <w:rPr>
          <w:color w:val="000000"/>
          <w:sz w:val="24"/>
          <w:szCs w:val="24"/>
        </w:rPr>
        <w:t xml:space="preserve"> от 5 до 10 лет</w:t>
      </w:r>
      <w:r w:rsidRPr="00141375">
        <w:rPr>
          <w:color w:val="000000"/>
          <w:sz w:val="24"/>
          <w:szCs w:val="24"/>
        </w:rPr>
        <w:t xml:space="preserve"> и у 26,6% – менее 5 лет.</w:t>
      </w:r>
    </w:p>
    <w:p w:rsidR="004E2069" w:rsidRPr="00790A29" w:rsidRDefault="004E2069" w:rsidP="0005320B">
      <w:pPr>
        <w:ind w:firstLine="425"/>
        <w:jc w:val="both"/>
        <w:rPr>
          <w:sz w:val="24"/>
          <w:szCs w:val="24"/>
        </w:rPr>
      </w:pPr>
      <w:r w:rsidRPr="00790A29">
        <w:rPr>
          <w:sz w:val="24"/>
          <w:szCs w:val="24"/>
        </w:rPr>
        <w:t xml:space="preserve">В 2017 году приоритетными направлениями в работе с персоналом были: </w:t>
      </w:r>
    </w:p>
    <w:p w:rsidR="004E2069" w:rsidRPr="00790A29" w:rsidRDefault="004E2069" w:rsidP="00141375">
      <w:pPr>
        <w:numPr>
          <w:ilvl w:val="0"/>
          <w:numId w:val="10"/>
        </w:numPr>
        <w:tabs>
          <w:tab w:val="clear" w:pos="1854"/>
          <w:tab w:val="left" w:pos="709"/>
        </w:tabs>
        <w:ind w:left="709" w:hanging="294"/>
        <w:jc w:val="both"/>
        <w:rPr>
          <w:sz w:val="24"/>
          <w:szCs w:val="24"/>
        </w:rPr>
      </w:pPr>
      <w:r w:rsidRPr="00790A29">
        <w:rPr>
          <w:sz w:val="24"/>
          <w:szCs w:val="24"/>
        </w:rPr>
        <w:t xml:space="preserve">оптимизация кадрового состава структурных подразделений банка; </w:t>
      </w:r>
    </w:p>
    <w:p w:rsidR="004E2069" w:rsidRPr="00790A29" w:rsidRDefault="004E2069" w:rsidP="00141375">
      <w:pPr>
        <w:numPr>
          <w:ilvl w:val="0"/>
          <w:numId w:val="10"/>
        </w:numPr>
        <w:tabs>
          <w:tab w:val="clear" w:pos="1854"/>
          <w:tab w:val="left" w:pos="709"/>
        </w:tabs>
        <w:ind w:left="709" w:hanging="294"/>
        <w:jc w:val="both"/>
        <w:rPr>
          <w:sz w:val="24"/>
          <w:szCs w:val="24"/>
        </w:rPr>
      </w:pPr>
      <w:r w:rsidRPr="00790A29">
        <w:rPr>
          <w:sz w:val="24"/>
          <w:szCs w:val="24"/>
        </w:rPr>
        <w:t xml:space="preserve">расстановка персонала с учётом профессионализма и личностного потенциала работников; </w:t>
      </w:r>
    </w:p>
    <w:p w:rsidR="004E2069" w:rsidRPr="00790A29" w:rsidRDefault="004E2069" w:rsidP="00141375">
      <w:pPr>
        <w:pStyle w:val="BodyTextIndent"/>
        <w:widowControl w:val="0"/>
        <w:numPr>
          <w:ilvl w:val="0"/>
          <w:numId w:val="6"/>
        </w:numPr>
        <w:tabs>
          <w:tab w:val="clear" w:pos="1531"/>
          <w:tab w:val="left" w:pos="0"/>
          <w:tab w:val="num" w:pos="709"/>
        </w:tabs>
        <w:spacing w:after="0"/>
        <w:ind w:left="709" w:hanging="294"/>
        <w:jc w:val="both"/>
        <w:rPr>
          <w:sz w:val="24"/>
          <w:szCs w:val="24"/>
        </w:rPr>
      </w:pPr>
      <w:r w:rsidRPr="00790A29">
        <w:rPr>
          <w:sz w:val="24"/>
          <w:szCs w:val="24"/>
        </w:rPr>
        <w:t>совершенствование организационно-управленческой деятельности в подразделениях;</w:t>
      </w:r>
    </w:p>
    <w:p w:rsidR="004E2069" w:rsidRPr="00790A29" w:rsidRDefault="004E2069" w:rsidP="00141375">
      <w:pPr>
        <w:pStyle w:val="BodyTextIndent"/>
        <w:widowControl w:val="0"/>
        <w:numPr>
          <w:ilvl w:val="0"/>
          <w:numId w:val="6"/>
        </w:numPr>
        <w:tabs>
          <w:tab w:val="clear" w:pos="1531"/>
          <w:tab w:val="left" w:pos="0"/>
          <w:tab w:val="num" w:pos="709"/>
        </w:tabs>
        <w:spacing w:after="0"/>
        <w:ind w:left="709" w:hanging="294"/>
        <w:jc w:val="both"/>
        <w:rPr>
          <w:sz w:val="24"/>
          <w:szCs w:val="24"/>
        </w:rPr>
      </w:pPr>
      <w:r w:rsidRPr="00790A29">
        <w:rPr>
          <w:sz w:val="24"/>
          <w:szCs w:val="24"/>
        </w:rPr>
        <w:t xml:space="preserve">обеспечение структурных подразделений банка квалифицированными специалистами; </w:t>
      </w:r>
    </w:p>
    <w:p w:rsidR="004E2069" w:rsidRPr="00790A29" w:rsidRDefault="004E2069" w:rsidP="00141375">
      <w:pPr>
        <w:pStyle w:val="BodyTextIndent"/>
        <w:widowControl w:val="0"/>
        <w:numPr>
          <w:ilvl w:val="0"/>
          <w:numId w:val="6"/>
        </w:numPr>
        <w:tabs>
          <w:tab w:val="clear" w:pos="1531"/>
          <w:tab w:val="left" w:pos="0"/>
          <w:tab w:val="num" w:pos="709"/>
        </w:tabs>
        <w:spacing w:after="0"/>
        <w:ind w:left="709" w:hanging="294"/>
        <w:jc w:val="both"/>
        <w:rPr>
          <w:sz w:val="24"/>
          <w:szCs w:val="24"/>
        </w:rPr>
      </w:pPr>
      <w:r w:rsidRPr="00790A29">
        <w:rPr>
          <w:sz w:val="24"/>
          <w:szCs w:val="24"/>
        </w:rPr>
        <w:t>повышение эффективности труда;</w:t>
      </w:r>
    </w:p>
    <w:p w:rsidR="004E2069" w:rsidRPr="00790A29" w:rsidRDefault="004E2069" w:rsidP="00141375">
      <w:pPr>
        <w:numPr>
          <w:ilvl w:val="0"/>
          <w:numId w:val="10"/>
        </w:numPr>
        <w:tabs>
          <w:tab w:val="clear" w:pos="1854"/>
          <w:tab w:val="left" w:pos="709"/>
        </w:tabs>
        <w:ind w:left="709" w:hanging="294"/>
        <w:jc w:val="both"/>
        <w:rPr>
          <w:sz w:val="24"/>
          <w:szCs w:val="24"/>
        </w:rPr>
      </w:pPr>
      <w:r w:rsidRPr="00790A29">
        <w:rPr>
          <w:sz w:val="24"/>
          <w:szCs w:val="24"/>
        </w:rPr>
        <w:t>разработка и совершенствование организационной структуры, её оптимизация;</w:t>
      </w:r>
    </w:p>
    <w:p w:rsidR="004E2069" w:rsidRPr="00790A29" w:rsidRDefault="004E2069" w:rsidP="00141375">
      <w:pPr>
        <w:numPr>
          <w:ilvl w:val="0"/>
          <w:numId w:val="10"/>
        </w:numPr>
        <w:tabs>
          <w:tab w:val="clear" w:pos="1854"/>
          <w:tab w:val="left" w:pos="709"/>
        </w:tabs>
        <w:ind w:left="709" w:hanging="294"/>
        <w:jc w:val="both"/>
        <w:rPr>
          <w:sz w:val="24"/>
          <w:szCs w:val="24"/>
        </w:rPr>
      </w:pPr>
      <w:r w:rsidRPr="00790A29">
        <w:rPr>
          <w:sz w:val="24"/>
          <w:szCs w:val="24"/>
        </w:rPr>
        <w:t>повышение эффективности труда.</w:t>
      </w:r>
    </w:p>
    <w:p w:rsidR="004E2069" w:rsidRDefault="004E2069" w:rsidP="00500B8A">
      <w:pPr>
        <w:ind w:firstLine="425"/>
        <w:jc w:val="both"/>
        <w:rPr>
          <w:sz w:val="24"/>
          <w:szCs w:val="24"/>
        </w:rPr>
      </w:pPr>
      <w:r w:rsidRPr="00790A29">
        <w:rPr>
          <w:sz w:val="24"/>
          <w:szCs w:val="24"/>
        </w:rPr>
        <w:t>Важным направлением повышения профессионального уровня персонала банка и совершенствования работы структурных подразделений являлись консультации, проводимые со специалистами Центрального банка Российской Федерации по различным направлениям деятельности.</w:t>
      </w:r>
    </w:p>
    <w:p w:rsidR="004E2069" w:rsidRDefault="004E2069" w:rsidP="00691735">
      <w:pPr>
        <w:widowControl w:val="0"/>
        <w:spacing w:before="120" w:after="120"/>
        <w:ind w:firstLine="425"/>
        <w:jc w:val="both"/>
        <w:rPr>
          <w:i/>
          <w:iCs/>
          <w:sz w:val="24"/>
          <w:szCs w:val="24"/>
        </w:rPr>
      </w:pPr>
      <w:r w:rsidRPr="00E85DD7">
        <w:rPr>
          <w:i/>
          <w:iCs/>
          <w:sz w:val="24"/>
          <w:szCs w:val="24"/>
        </w:rPr>
        <w:t>Техническое обеспечение</w:t>
      </w:r>
    </w:p>
    <w:p w:rsidR="004E2069" w:rsidRPr="00206188" w:rsidRDefault="004E2069" w:rsidP="00BC3A48">
      <w:pPr>
        <w:widowControl w:val="0"/>
        <w:ind w:firstLine="425"/>
        <w:jc w:val="both"/>
        <w:rPr>
          <w:sz w:val="24"/>
          <w:szCs w:val="24"/>
        </w:rPr>
      </w:pPr>
      <w:r w:rsidRPr="00206188">
        <w:rPr>
          <w:sz w:val="24"/>
          <w:szCs w:val="24"/>
        </w:rPr>
        <w:t xml:space="preserve">В отчётном периоде продолжилось расширение и совершенствование подсистемы «Центр обработки электронных сообщений». На основе данной технологии осуществлялись следующие работы: </w:t>
      </w:r>
    </w:p>
    <w:p w:rsidR="004E2069" w:rsidRPr="00206188" w:rsidRDefault="004E2069" w:rsidP="00E90743">
      <w:pPr>
        <w:widowControl w:val="0"/>
        <w:numPr>
          <w:ilvl w:val="0"/>
          <w:numId w:val="7"/>
        </w:numPr>
        <w:ind w:left="0" w:firstLine="425"/>
        <w:jc w:val="both"/>
        <w:rPr>
          <w:sz w:val="24"/>
          <w:szCs w:val="24"/>
        </w:rPr>
      </w:pPr>
      <w:r w:rsidRPr="00206188">
        <w:rPr>
          <w:sz w:val="24"/>
          <w:szCs w:val="24"/>
        </w:rPr>
        <w:t xml:space="preserve">обеспечен резерв оптических линий связи </w:t>
      </w:r>
      <w:r w:rsidRPr="00291A75">
        <w:rPr>
          <w:sz w:val="24"/>
          <w:szCs w:val="24"/>
        </w:rPr>
        <w:t>Приднестровского республиканского банка с СЗАО «Интерднестрком»</w:t>
      </w:r>
      <w:r>
        <w:rPr>
          <w:sz w:val="24"/>
          <w:szCs w:val="24"/>
        </w:rPr>
        <w:t>,</w:t>
      </w:r>
      <w:r w:rsidRPr="00206188">
        <w:rPr>
          <w:sz w:val="24"/>
          <w:szCs w:val="24"/>
        </w:rPr>
        <w:t xml:space="preserve"> а также между центральным и </w:t>
      </w:r>
      <w:r w:rsidRPr="007C2AEF">
        <w:rPr>
          <w:sz w:val="24"/>
          <w:szCs w:val="24"/>
        </w:rPr>
        <w:t>фронт-офисным</w:t>
      </w:r>
      <w:r w:rsidRPr="00206188">
        <w:rPr>
          <w:sz w:val="24"/>
          <w:szCs w:val="24"/>
        </w:rPr>
        <w:t xml:space="preserve"> зданиями ПРБ;</w:t>
      </w:r>
    </w:p>
    <w:p w:rsidR="004E2069" w:rsidRPr="00206188" w:rsidRDefault="004E2069" w:rsidP="00E90743">
      <w:pPr>
        <w:widowControl w:val="0"/>
        <w:numPr>
          <w:ilvl w:val="0"/>
          <w:numId w:val="7"/>
        </w:numPr>
        <w:ind w:left="0" w:firstLine="425"/>
        <w:jc w:val="both"/>
        <w:rPr>
          <w:sz w:val="24"/>
          <w:szCs w:val="24"/>
        </w:rPr>
      </w:pPr>
      <w:r w:rsidRPr="00206188">
        <w:rPr>
          <w:sz w:val="24"/>
          <w:szCs w:val="24"/>
        </w:rPr>
        <w:t>перенесена в виртуальную среду база данных подсистемы «Центр обработки электронных сообщений», в результате чего значительно повышена производительность работы подсистемы;</w:t>
      </w:r>
    </w:p>
    <w:p w:rsidR="004E2069" w:rsidRPr="00206188" w:rsidRDefault="004E2069" w:rsidP="00E90743">
      <w:pPr>
        <w:widowControl w:val="0"/>
        <w:numPr>
          <w:ilvl w:val="0"/>
          <w:numId w:val="7"/>
        </w:numPr>
        <w:ind w:left="0" w:firstLine="425"/>
        <w:jc w:val="both"/>
        <w:rPr>
          <w:sz w:val="24"/>
          <w:szCs w:val="24"/>
        </w:rPr>
      </w:pPr>
      <w:r w:rsidRPr="00206188">
        <w:rPr>
          <w:sz w:val="24"/>
          <w:szCs w:val="24"/>
        </w:rPr>
        <w:t>обеспечен резерв по электропитанию серверного оборудования подсистемы «Центр обработки электронных сообщений».</w:t>
      </w:r>
    </w:p>
    <w:p w:rsidR="004E2069" w:rsidRDefault="004E2069" w:rsidP="00D14F7E">
      <w:pPr>
        <w:widowControl w:val="0"/>
        <w:ind w:firstLine="425"/>
        <w:jc w:val="both"/>
        <w:rPr>
          <w:sz w:val="24"/>
          <w:szCs w:val="24"/>
        </w:rPr>
      </w:pPr>
      <w:r>
        <w:rPr>
          <w:sz w:val="24"/>
          <w:szCs w:val="24"/>
        </w:rPr>
        <w:t xml:space="preserve">Проводилась модернизация ядра автоматизированной банковской системы ПРБ в целях оптимизации и повышения производительности работы подотчётной системы СУБД </w:t>
      </w:r>
      <w:r>
        <w:rPr>
          <w:sz w:val="24"/>
          <w:szCs w:val="24"/>
          <w:lang w:val="en-US"/>
        </w:rPr>
        <w:t>Oracle</w:t>
      </w:r>
      <w:r>
        <w:rPr>
          <w:sz w:val="24"/>
          <w:szCs w:val="24"/>
        </w:rPr>
        <w:t xml:space="preserve">. Получены высокие показатели по скорости обработки больших массивов данных для аналитической и статистической отчётности. Выполнены в полном объёме работы по размещению основных и вспомогательных </w:t>
      </w:r>
      <w:r w:rsidRPr="007C2AEF">
        <w:rPr>
          <w:sz w:val="24"/>
          <w:szCs w:val="24"/>
        </w:rPr>
        <w:t>сервисов</w:t>
      </w:r>
      <w:r>
        <w:rPr>
          <w:sz w:val="24"/>
          <w:szCs w:val="24"/>
        </w:rPr>
        <w:t xml:space="preserve"> инфраструктуры банка в среду виртуальных машин. </w:t>
      </w:r>
    </w:p>
    <w:p w:rsidR="004E2069" w:rsidRPr="00983247" w:rsidRDefault="004E2069" w:rsidP="00983247">
      <w:pPr>
        <w:widowControl w:val="0"/>
        <w:ind w:firstLine="425"/>
        <w:jc w:val="both"/>
        <w:rPr>
          <w:sz w:val="24"/>
          <w:szCs w:val="24"/>
        </w:rPr>
      </w:pPr>
      <w:r>
        <w:rPr>
          <w:sz w:val="24"/>
          <w:szCs w:val="24"/>
        </w:rPr>
        <w:t xml:space="preserve">Проведён комплекс работ по модернизации подсистемы резервного копирования СУБД </w:t>
      </w:r>
      <w:r>
        <w:rPr>
          <w:sz w:val="24"/>
          <w:szCs w:val="24"/>
          <w:lang w:val="en-US"/>
        </w:rPr>
        <w:t>Informix</w:t>
      </w:r>
      <w:r w:rsidRPr="00104E8F">
        <w:rPr>
          <w:sz w:val="24"/>
          <w:szCs w:val="24"/>
        </w:rPr>
        <w:t xml:space="preserve"> </w:t>
      </w:r>
      <w:r>
        <w:rPr>
          <w:sz w:val="24"/>
          <w:szCs w:val="24"/>
        </w:rPr>
        <w:t xml:space="preserve">и СУБД </w:t>
      </w:r>
      <w:r>
        <w:rPr>
          <w:sz w:val="24"/>
          <w:szCs w:val="24"/>
          <w:lang w:val="en-US"/>
        </w:rPr>
        <w:t>Oracle</w:t>
      </w:r>
      <w:r>
        <w:rPr>
          <w:sz w:val="24"/>
          <w:szCs w:val="24"/>
        </w:rPr>
        <w:t xml:space="preserve">. Ведутся работы по переносу ядра ОДБ ПРБ (операционный день банка) из СУБД </w:t>
      </w:r>
      <w:r>
        <w:rPr>
          <w:sz w:val="24"/>
          <w:szCs w:val="24"/>
          <w:lang w:val="en-US"/>
        </w:rPr>
        <w:t>Informix</w:t>
      </w:r>
      <w:r w:rsidRPr="00104E8F">
        <w:rPr>
          <w:sz w:val="24"/>
          <w:szCs w:val="24"/>
        </w:rPr>
        <w:t xml:space="preserve"> </w:t>
      </w:r>
      <w:r>
        <w:rPr>
          <w:sz w:val="24"/>
          <w:szCs w:val="24"/>
        </w:rPr>
        <w:t xml:space="preserve">в СУБД </w:t>
      </w:r>
      <w:r>
        <w:rPr>
          <w:sz w:val="24"/>
          <w:szCs w:val="24"/>
          <w:lang w:val="en-US"/>
        </w:rPr>
        <w:t>Oracle</w:t>
      </w:r>
      <w:r>
        <w:rPr>
          <w:sz w:val="24"/>
          <w:szCs w:val="24"/>
        </w:rPr>
        <w:t>. Начаты работы по резервированию и обеспечению отказоустойчивости коммуникационной сети ПРБ.</w:t>
      </w:r>
    </w:p>
    <w:p w:rsidR="004E2069" w:rsidRDefault="004E2069" w:rsidP="00BC3A48">
      <w:pPr>
        <w:widowControl w:val="0"/>
        <w:ind w:firstLine="425"/>
        <w:jc w:val="both"/>
        <w:rPr>
          <w:sz w:val="24"/>
          <w:szCs w:val="24"/>
        </w:rPr>
      </w:pPr>
      <w:r>
        <w:rPr>
          <w:sz w:val="24"/>
          <w:szCs w:val="24"/>
        </w:rPr>
        <w:t>В соответствии с</w:t>
      </w:r>
      <w:r w:rsidRPr="003D73E2">
        <w:rPr>
          <w:sz w:val="24"/>
          <w:szCs w:val="24"/>
        </w:rPr>
        <w:t xml:space="preserve"> рекомендаци</w:t>
      </w:r>
      <w:r>
        <w:rPr>
          <w:sz w:val="24"/>
          <w:szCs w:val="24"/>
        </w:rPr>
        <w:t>ями</w:t>
      </w:r>
      <w:r w:rsidRPr="003D73E2">
        <w:rPr>
          <w:sz w:val="24"/>
          <w:szCs w:val="24"/>
        </w:rPr>
        <w:t xml:space="preserve"> </w:t>
      </w:r>
      <w:r>
        <w:rPr>
          <w:sz w:val="24"/>
          <w:szCs w:val="24"/>
        </w:rPr>
        <w:t xml:space="preserve">информационного </w:t>
      </w:r>
      <w:r w:rsidRPr="003D73E2">
        <w:rPr>
          <w:sz w:val="24"/>
          <w:szCs w:val="24"/>
        </w:rPr>
        <w:t>аудита</w:t>
      </w:r>
      <w:r>
        <w:rPr>
          <w:sz w:val="24"/>
          <w:szCs w:val="24"/>
        </w:rPr>
        <w:t xml:space="preserve"> проведён комплекс мероприятий:</w:t>
      </w:r>
    </w:p>
    <w:p w:rsidR="004E2069" w:rsidRDefault="004E2069" w:rsidP="00104E8F">
      <w:pPr>
        <w:pStyle w:val="ListParagraph"/>
        <w:widowControl w:val="0"/>
        <w:numPr>
          <w:ilvl w:val="0"/>
          <w:numId w:val="27"/>
        </w:numPr>
        <w:jc w:val="both"/>
        <w:rPr>
          <w:sz w:val="24"/>
          <w:szCs w:val="24"/>
        </w:rPr>
      </w:pPr>
      <w:r>
        <w:rPr>
          <w:sz w:val="24"/>
          <w:szCs w:val="24"/>
        </w:rPr>
        <w:t>усо</w:t>
      </w:r>
      <w:r w:rsidRPr="00104E8F">
        <w:rPr>
          <w:sz w:val="24"/>
          <w:szCs w:val="24"/>
        </w:rPr>
        <w:t>вершенствова</w:t>
      </w:r>
      <w:r>
        <w:rPr>
          <w:sz w:val="24"/>
          <w:szCs w:val="24"/>
        </w:rPr>
        <w:t>на</w:t>
      </w:r>
      <w:r w:rsidRPr="00104E8F">
        <w:rPr>
          <w:sz w:val="24"/>
          <w:szCs w:val="24"/>
        </w:rPr>
        <w:t xml:space="preserve"> централизованная система защиты от вредоносного кода</w:t>
      </w:r>
      <w:r>
        <w:rPr>
          <w:sz w:val="24"/>
          <w:szCs w:val="24"/>
        </w:rPr>
        <w:t>. Обновлён центр антивирусной защиты ПРБ;</w:t>
      </w:r>
    </w:p>
    <w:p w:rsidR="004E2069" w:rsidRDefault="004E2069" w:rsidP="00104E8F">
      <w:pPr>
        <w:pStyle w:val="ListParagraph"/>
        <w:widowControl w:val="0"/>
        <w:numPr>
          <w:ilvl w:val="0"/>
          <w:numId w:val="27"/>
        </w:numPr>
        <w:jc w:val="both"/>
        <w:rPr>
          <w:sz w:val="24"/>
          <w:szCs w:val="24"/>
        </w:rPr>
      </w:pPr>
      <w:r w:rsidRPr="00104E8F">
        <w:rPr>
          <w:sz w:val="24"/>
          <w:szCs w:val="24"/>
        </w:rPr>
        <w:t>разработ</w:t>
      </w:r>
      <w:r>
        <w:rPr>
          <w:sz w:val="24"/>
          <w:szCs w:val="24"/>
        </w:rPr>
        <w:t>ана и внедрена</w:t>
      </w:r>
      <w:r w:rsidRPr="00104E8F">
        <w:rPr>
          <w:sz w:val="24"/>
          <w:szCs w:val="24"/>
        </w:rPr>
        <w:t xml:space="preserve"> политик</w:t>
      </w:r>
      <w:r>
        <w:rPr>
          <w:sz w:val="24"/>
          <w:szCs w:val="24"/>
        </w:rPr>
        <w:t>а информационной безопасности;</w:t>
      </w:r>
    </w:p>
    <w:p w:rsidR="004E2069" w:rsidRDefault="004E2069" w:rsidP="00104E8F">
      <w:pPr>
        <w:pStyle w:val="ListParagraph"/>
        <w:widowControl w:val="0"/>
        <w:numPr>
          <w:ilvl w:val="0"/>
          <w:numId w:val="27"/>
        </w:numPr>
        <w:jc w:val="both"/>
        <w:rPr>
          <w:sz w:val="24"/>
          <w:szCs w:val="24"/>
        </w:rPr>
      </w:pPr>
      <w:r>
        <w:rPr>
          <w:sz w:val="24"/>
          <w:szCs w:val="24"/>
        </w:rPr>
        <w:t xml:space="preserve">выполнено обновление </w:t>
      </w:r>
      <w:r w:rsidRPr="00CF2571">
        <w:rPr>
          <w:sz w:val="24"/>
          <w:szCs w:val="24"/>
        </w:rPr>
        <w:t>основного контроллера домена</w:t>
      </w:r>
      <w:r>
        <w:rPr>
          <w:sz w:val="24"/>
          <w:szCs w:val="24"/>
        </w:rPr>
        <w:t>, реализующего действующие политики безопасности пользователей банковской сети ПРБ.</w:t>
      </w:r>
    </w:p>
    <w:p w:rsidR="004E2069" w:rsidRPr="00617D8D" w:rsidRDefault="004E2069" w:rsidP="00FB16F9">
      <w:pPr>
        <w:widowControl w:val="0"/>
        <w:ind w:firstLine="425"/>
        <w:jc w:val="both"/>
        <w:rPr>
          <w:sz w:val="24"/>
          <w:szCs w:val="24"/>
        </w:rPr>
      </w:pPr>
      <w:r w:rsidRPr="003D73E2">
        <w:rPr>
          <w:sz w:val="24"/>
          <w:szCs w:val="24"/>
        </w:rPr>
        <w:t>В течение 201</w:t>
      </w:r>
      <w:r>
        <w:rPr>
          <w:sz w:val="24"/>
          <w:szCs w:val="24"/>
        </w:rPr>
        <w:t>7</w:t>
      </w:r>
      <w:r w:rsidRPr="003D73E2">
        <w:rPr>
          <w:sz w:val="24"/>
          <w:szCs w:val="24"/>
        </w:rPr>
        <w:t xml:space="preserve"> года велась работа по сопровождению и расширению функционала автоматизированной банковской системы, </w:t>
      </w:r>
      <w:r>
        <w:rPr>
          <w:sz w:val="24"/>
          <w:szCs w:val="24"/>
        </w:rPr>
        <w:t xml:space="preserve">по </w:t>
      </w:r>
      <w:r w:rsidRPr="003D73E2">
        <w:rPr>
          <w:sz w:val="24"/>
          <w:szCs w:val="24"/>
        </w:rPr>
        <w:t>планово</w:t>
      </w:r>
      <w:r>
        <w:rPr>
          <w:sz w:val="24"/>
          <w:szCs w:val="24"/>
        </w:rPr>
        <w:t>му</w:t>
      </w:r>
      <w:r w:rsidRPr="003D73E2">
        <w:rPr>
          <w:sz w:val="24"/>
          <w:szCs w:val="24"/>
        </w:rPr>
        <w:t xml:space="preserve"> обновлени</w:t>
      </w:r>
      <w:r>
        <w:rPr>
          <w:sz w:val="24"/>
          <w:szCs w:val="24"/>
        </w:rPr>
        <w:t>ю рабочих станций, установке и модернизации</w:t>
      </w:r>
      <w:r w:rsidRPr="003D73E2">
        <w:rPr>
          <w:sz w:val="24"/>
          <w:szCs w:val="24"/>
        </w:rPr>
        <w:t xml:space="preserve"> серверов</w:t>
      </w:r>
      <w:r>
        <w:rPr>
          <w:sz w:val="24"/>
          <w:szCs w:val="24"/>
        </w:rPr>
        <w:t>, а также был п</w:t>
      </w:r>
      <w:r w:rsidRPr="00617D8D">
        <w:rPr>
          <w:sz w:val="24"/>
          <w:szCs w:val="24"/>
        </w:rPr>
        <w:t xml:space="preserve">роведён ряд подготовительных мероприятий по внедрению системы электронного документооборота </w:t>
      </w:r>
      <w:r>
        <w:rPr>
          <w:sz w:val="24"/>
          <w:szCs w:val="24"/>
        </w:rPr>
        <w:t xml:space="preserve">в </w:t>
      </w:r>
      <w:r w:rsidRPr="00617D8D">
        <w:rPr>
          <w:iCs/>
          <w:sz w:val="24"/>
          <w:szCs w:val="24"/>
        </w:rPr>
        <w:t>Приднестровско</w:t>
      </w:r>
      <w:r>
        <w:rPr>
          <w:iCs/>
          <w:sz w:val="24"/>
          <w:szCs w:val="24"/>
        </w:rPr>
        <w:t>м</w:t>
      </w:r>
      <w:r w:rsidRPr="00617D8D">
        <w:rPr>
          <w:iCs/>
          <w:sz w:val="24"/>
          <w:szCs w:val="24"/>
        </w:rPr>
        <w:t xml:space="preserve"> республиканско</w:t>
      </w:r>
      <w:r>
        <w:rPr>
          <w:iCs/>
          <w:sz w:val="24"/>
          <w:szCs w:val="24"/>
        </w:rPr>
        <w:t>м банке</w:t>
      </w:r>
      <w:r w:rsidRPr="00617D8D">
        <w:rPr>
          <w:sz w:val="24"/>
          <w:szCs w:val="24"/>
        </w:rPr>
        <w:t>.</w:t>
      </w:r>
    </w:p>
    <w:p w:rsidR="004E2069" w:rsidRDefault="004E2069" w:rsidP="0027181C">
      <w:pPr>
        <w:widowControl w:val="0"/>
        <w:spacing w:before="240" w:after="120"/>
        <w:ind w:firstLine="425"/>
        <w:jc w:val="both"/>
        <w:rPr>
          <w:i/>
          <w:iCs/>
          <w:sz w:val="24"/>
          <w:szCs w:val="24"/>
        </w:rPr>
      </w:pPr>
      <w:r w:rsidRPr="00E85DD7">
        <w:rPr>
          <w:i/>
          <w:iCs/>
          <w:sz w:val="24"/>
          <w:szCs w:val="24"/>
        </w:rPr>
        <w:t xml:space="preserve">Деятельность Приднестровского республиканского банка по совершенствованию банковского </w:t>
      </w:r>
      <w:r>
        <w:rPr>
          <w:i/>
          <w:iCs/>
          <w:sz w:val="24"/>
          <w:szCs w:val="24"/>
        </w:rPr>
        <w:t xml:space="preserve">и страхового </w:t>
      </w:r>
      <w:r w:rsidRPr="00E85DD7">
        <w:rPr>
          <w:i/>
          <w:iCs/>
          <w:sz w:val="24"/>
          <w:szCs w:val="24"/>
        </w:rPr>
        <w:t>законодательства. Претензионно-исковая работа</w:t>
      </w:r>
    </w:p>
    <w:p w:rsidR="004E2069" w:rsidRPr="00C1052B" w:rsidRDefault="004E2069" w:rsidP="001E1E0E">
      <w:pPr>
        <w:widowControl w:val="0"/>
        <w:spacing w:before="120"/>
        <w:ind w:firstLine="425"/>
        <w:jc w:val="both"/>
        <w:rPr>
          <w:sz w:val="24"/>
          <w:szCs w:val="24"/>
        </w:rPr>
      </w:pPr>
      <w:r w:rsidRPr="00C1052B">
        <w:rPr>
          <w:sz w:val="24"/>
          <w:szCs w:val="24"/>
        </w:rPr>
        <w:t>В целях правового обеспечения деятельности в отчётном году Приднестровским</w:t>
      </w:r>
      <w:r>
        <w:rPr>
          <w:sz w:val="24"/>
          <w:szCs w:val="24"/>
        </w:rPr>
        <w:t xml:space="preserve"> </w:t>
      </w:r>
      <w:r w:rsidRPr="00C1052B">
        <w:rPr>
          <w:sz w:val="24"/>
          <w:szCs w:val="24"/>
        </w:rPr>
        <w:t>республиканским банком проводилась работа по совершенствованию валютного, банковского законодательства, законодательства в сфере противодействия легализации (отмыванию) доходов, полученных преступным путём, и финансированию терроризма, а также в сфере страховой деятельности (страхового дела) в связи с возложением на центральный банк Приднестровской Молдавской Республики в 2017 году функции по регулированию, контролю (надзору) страховой деятельности (страхового дела). Среди основных можно выделить следующие:</w:t>
      </w:r>
    </w:p>
    <w:p w:rsidR="004E2069" w:rsidRPr="00C1052B" w:rsidRDefault="004E2069" w:rsidP="00C1052B">
      <w:pPr>
        <w:pStyle w:val="ListParagraph"/>
        <w:ind w:left="0" w:firstLine="425"/>
        <w:jc w:val="both"/>
        <w:rPr>
          <w:sz w:val="24"/>
          <w:szCs w:val="24"/>
        </w:rPr>
      </w:pPr>
      <w:r w:rsidRPr="00C1052B">
        <w:rPr>
          <w:sz w:val="24"/>
          <w:szCs w:val="24"/>
        </w:rPr>
        <w:t xml:space="preserve">В июне 2017 года были приняты изменения в Закон ПМР «О центральном банке Приднестровской Молдавской Республики», в соответствии с которыми полномочиями по принятию денежно-кредитной политики был наделён Банковский совет Приднестровского республиканского банка. </w:t>
      </w:r>
    </w:p>
    <w:p w:rsidR="004E2069" w:rsidRPr="00C1052B" w:rsidRDefault="004E2069" w:rsidP="001E1E0E">
      <w:pPr>
        <w:ind w:firstLine="425"/>
        <w:jc w:val="both"/>
        <w:rPr>
          <w:sz w:val="24"/>
          <w:szCs w:val="24"/>
        </w:rPr>
      </w:pPr>
      <w:r w:rsidRPr="00C1052B">
        <w:rPr>
          <w:sz w:val="24"/>
          <w:szCs w:val="24"/>
        </w:rPr>
        <w:t xml:space="preserve">С 1 августа 2017 года вступили в силу изменения и дополнения в Закон Приднестровской Молдавской Республики «О валютном регулировании и валютном контроле», а также в Кодекс Приднестровской Молдавской Республики об административных правонарушениях. </w:t>
      </w:r>
    </w:p>
    <w:p w:rsidR="004E2069" w:rsidRPr="00C1052B" w:rsidRDefault="004E2069" w:rsidP="001E1E0E">
      <w:pPr>
        <w:widowControl w:val="0"/>
        <w:ind w:firstLine="425"/>
        <w:jc w:val="both"/>
        <w:rPr>
          <w:sz w:val="24"/>
          <w:szCs w:val="24"/>
        </w:rPr>
      </w:pPr>
      <w:r w:rsidRPr="00C1052B">
        <w:rPr>
          <w:sz w:val="24"/>
          <w:szCs w:val="24"/>
        </w:rPr>
        <w:t>Основные нововведения были направлены на оптимизацию валютного регулирования и контроля в Приднестровской Молдавской Республике и предусматривали изменение валютного и административного законодательства по ряду направлений.</w:t>
      </w:r>
    </w:p>
    <w:p w:rsidR="004E2069" w:rsidRDefault="004E2069" w:rsidP="00F136B2">
      <w:pPr>
        <w:pStyle w:val="NormalWeb"/>
        <w:spacing w:before="0" w:beforeAutospacing="0" w:after="0" w:afterAutospacing="0"/>
        <w:ind w:firstLine="425"/>
        <w:jc w:val="both"/>
      </w:pPr>
      <w:r w:rsidRPr="00C1052B">
        <w:t>В частности, полномочия по установлению размера и порядка обязательной продажи части валютной выручки резидентов в валютный резерв Приднестровской Молдавской Республики переданы от Президента Приднестровской Молдавской Республики центральному банку. Также центральный банк был наделён полномочиями по продлению сроков репатриации и снятию с валютного контроля сумм безнадёжной задолженности, в случаях представления резидентом документального подтверждения фактов, оговоренных законом, свидетельствующих о невозможности взыскания или возврата причитающихся им сумм. Изменения коснулись ответственности за несоблюдение валютного законодательства. </w:t>
      </w:r>
    </w:p>
    <w:p w:rsidR="004E2069" w:rsidRPr="00D30979" w:rsidRDefault="004E2069" w:rsidP="00F136B2">
      <w:pPr>
        <w:pStyle w:val="NormalWeb"/>
        <w:spacing w:before="0" w:beforeAutospacing="0" w:after="0" w:afterAutospacing="0"/>
        <w:ind w:firstLine="425"/>
        <w:jc w:val="both"/>
      </w:pPr>
      <w:r w:rsidRPr="007B7265">
        <w:t xml:space="preserve">С 28 августа 2017 года, следуя мировой практике, полномочия по осуществлению регулирования, контроля (надзора) в сфере страховой деятельности перешли в ведение Приднестровского республиканского банка. В связи с этим проводились мероприятия по разработке и внедрению нормативной базы, касающейся </w:t>
      </w:r>
      <w:r w:rsidRPr="0023039B">
        <w:t>порядка расчёта страховыми организациями</w:t>
      </w:r>
      <w:r>
        <w:t xml:space="preserve"> </w:t>
      </w:r>
      <w:r w:rsidRPr="0023039B">
        <w:t>нормативного соотношения собственных средств (капитала) и принятых обязательств</w:t>
      </w:r>
      <w:r w:rsidRPr="007B7265">
        <w:t>, правил формирования резервов по страхованию жизни, порядка инвестирования собственных средств (капитала) страховщика, а также средств страховых резервов и перечне разрешённых для инвестирования активов</w:t>
      </w:r>
      <w:r>
        <w:t xml:space="preserve">. </w:t>
      </w:r>
    </w:p>
    <w:p w:rsidR="004E2069" w:rsidRPr="00C1052B" w:rsidRDefault="004E2069" w:rsidP="00DC6F94">
      <w:pPr>
        <w:ind w:firstLine="425"/>
        <w:jc w:val="both"/>
        <w:rPr>
          <w:sz w:val="24"/>
          <w:szCs w:val="24"/>
        </w:rPr>
      </w:pPr>
      <w:r w:rsidRPr="00C1052B">
        <w:rPr>
          <w:sz w:val="24"/>
          <w:szCs w:val="24"/>
        </w:rPr>
        <w:t>Всего за отчётный год Приднестровским республиканским банком было разработано и (или) согласовано 32 проекта Распоряжения Правительства Приднестровской Молдавской Республики, 6 проектов Указов Президента Приднестровской Молдавской Республики, 5 проектов Постановлений Правительства Приднестровской Молдавской Республики.</w:t>
      </w:r>
    </w:p>
    <w:p w:rsidR="004E2069" w:rsidRDefault="004E2069" w:rsidP="00EF6CF0">
      <w:pPr>
        <w:ind w:firstLine="425"/>
        <w:jc w:val="both"/>
        <w:rPr>
          <w:sz w:val="24"/>
          <w:szCs w:val="24"/>
        </w:rPr>
      </w:pPr>
      <w:r w:rsidRPr="00C1052B">
        <w:rPr>
          <w:sz w:val="24"/>
          <w:szCs w:val="24"/>
        </w:rPr>
        <w:t>Приднестровским республиканским банком в установленном порядке проводилась работа по рассмотрению принятых Верховным Советом Приднестровской Молдавской Республики законодательных актов, затрагивающих компетенцию центрального банка, перед подписанием их Президентом Приднестровской Молдавской Республики.</w:t>
      </w:r>
      <w:r w:rsidRPr="00DC6F94">
        <w:rPr>
          <w:sz w:val="24"/>
          <w:szCs w:val="24"/>
        </w:rPr>
        <w:t xml:space="preserve"> </w:t>
      </w:r>
    </w:p>
    <w:p w:rsidR="004E2069" w:rsidRPr="00EF6CF0" w:rsidRDefault="004E2069" w:rsidP="00EF6CF0">
      <w:pPr>
        <w:ind w:firstLine="425"/>
        <w:jc w:val="both"/>
        <w:rPr>
          <w:sz w:val="24"/>
          <w:szCs w:val="24"/>
        </w:rPr>
      </w:pPr>
      <w:r w:rsidRPr="00EF6CF0">
        <w:rPr>
          <w:sz w:val="24"/>
          <w:szCs w:val="24"/>
        </w:rPr>
        <w:t>В 2017 году Приднестровский республиканский банк принимал участие в 18 судебных процессах</w:t>
      </w:r>
      <w:r>
        <w:rPr>
          <w:sz w:val="24"/>
          <w:szCs w:val="24"/>
        </w:rPr>
        <w:t>, из них</w:t>
      </w:r>
      <w:r w:rsidRPr="00EF6CF0">
        <w:rPr>
          <w:sz w:val="24"/>
          <w:szCs w:val="24"/>
        </w:rPr>
        <w:t>:</w:t>
      </w:r>
    </w:p>
    <w:p w:rsidR="004E2069" w:rsidRPr="00EF6CF0" w:rsidRDefault="004E2069" w:rsidP="00EF6CF0">
      <w:pPr>
        <w:ind w:firstLine="425"/>
        <w:jc w:val="both"/>
        <w:rPr>
          <w:sz w:val="24"/>
          <w:szCs w:val="24"/>
        </w:rPr>
      </w:pPr>
      <w:r>
        <w:rPr>
          <w:sz w:val="24"/>
          <w:szCs w:val="24"/>
        </w:rPr>
        <w:t>а) в</w:t>
      </w:r>
      <w:r w:rsidRPr="00EF6CF0">
        <w:rPr>
          <w:sz w:val="24"/>
          <w:szCs w:val="24"/>
        </w:rPr>
        <w:t xml:space="preserve"> Арбитражном суде ПМР – 17, из которых:</w:t>
      </w:r>
    </w:p>
    <w:p w:rsidR="004E2069" w:rsidRPr="00366448" w:rsidRDefault="004E2069" w:rsidP="00366448">
      <w:pPr>
        <w:numPr>
          <w:ilvl w:val="0"/>
          <w:numId w:val="10"/>
        </w:numPr>
        <w:tabs>
          <w:tab w:val="clear" w:pos="1854"/>
          <w:tab w:val="left" w:pos="993"/>
        </w:tabs>
        <w:ind w:left="993" w:hanging="284"/>
        <w:jc w:val="both"/>
        <w:rPr>
          <w:sz w:val="24"/>
          <w:szCs w:val="24"/>
        </w:rPr>
      </w:pPr>
      <w:r w:rsidRPr="00366448">
        <w:rPr>
          <w:sz w:val="24"/>
          <w:szCs w:val="24"/>
        </w:rPr>
        <w:t>11 дел по заявлению Приднестровского республиканского банка о привлечении к административной ответственности, 8 из которых удовлетворено и назначено административное наказание;</w:t>
      </w:r>
    </w:p>
    <w:p w:rsidR="004E2069" w:rsidRPr="00366448" w:rsidRDefault="004E2069" w:rsidP="00366448">
      <w:pPr>
        <w:numPr>
          <w:ilvl w:val="0"/>
          <w:numId w:val="10"/>
        </w:numPr>
        <w:tabs>
          <w:tab w:val="clear" w:pos="1854"/>
          <w:tab w:val="left" w:pos="993"/>
        </w:tabs>
        <w:ind w:left="993" w:hanging="284"/>
        <w:jc w:val="both"/>
        <w:rPr>
          <w:sz w:val="24"/>
          <w:szCs w:val="24"/>
        </w:rPr>
      </w:pPr>
      <w:r w:rsidRPr="00366448">
        <w:rPr>
          <w:sz w:val="24"/>
          <w:szCs w:val="24"/>
        </w:rPr>
        <w:t>4 дела по заявлению Приднестровского республиканского банка о применении последствий ничтожной сделки в силу закона (Реституции);</w:t>
      </w:r>
    </w:p>
    <w:p w:rsidR="004E2069" w:rsidRPr="00366448" w:rsidRDefault="004E2069" w:rsidP="00366448">
      <w:pPr>
        <w:numPr>
          <w:ilvl w:val="0"/>
          <w:numId w:val="10"/>
        </w:numPr>
        <w:tabs>
          <w:tab w:val="clear" w:pos="1854"/>
          <w:tab w:val="left" w:pos="993"/>
        </w:tabs>
        <w:ind w:left="993" w:hanging="284"/>
        <w:jc w:val="both"/>
        <w:rPr>
          <w:sz w:val="24"/>
          <w:szCs w:val="24"/>
        </w:rPr>
      </w:pPr>
      <w:r w:rsidRPr="00366448">
        <w:rPr>
          <w:sz w:val="24"/>
          <w:szCs w:val="24"/>
        </w:rPr>
        <w:t xml:space="preserve">1 </w:t>
      </w:r>
      <w:r>
        <w:rPr>
          <w:sz w:val="24"/>
          <w:szCs w:val="24"/>
        </w:rPr>
        <w:t xml:space="preserve">дело </w:t>
      </w:r>
      <w:r w:rsidRPr="00366448">
        <w:rPr>
          <w:sz w:val="24"/>
          <w:szCs w:val="24"/>
        </w:rPr>
        <w:t>по заявлению Приднестровского республиканского банка о признании недействительным решение органа, наделённого отдельными государственными полномочиями. Заявление оставлено без рассмотрения</w:t>
      </w:r>
      <w:r>
        <w:rPr>
          <w:sz w:val="24"/>
          <w:szCs w:val="24"/>
        </w:rPr>
        <w:t>;</w:t>
      </w:r>
    </w:p>
    <w:p w:rsidR="004E2069" w:rsidRPr="00366448" w:rsidRDefault="004E2069" w:rsidP="00366448">
      <w:pPr>
        <w:numPr>
          <w:ilvl w:val="0"/>
          <w:numId w:val="10"/>
        </w:numPr>
        <w:tabs>
          <w:tab w:val="clear" w:pos="1854"/>
          <w:tab w:val="left" w:pos="993"/>
        </w:tabs>
        <w:ind w:left="993" w:hanging="284"/>
        <w:jc w:val="both"/>
        <w:rPr>
          <w:sz w:val="24"/>
          <w:szCs w:val="24"/>
        </w:rPr>
      </w:pPr>
      <w:r w:rsidRPr="00366448">
        <w:rPr>
          <w:sz w:val="24"/>
          <w:szCs w:val="24"/>
        </w:rPr>
        <w:t>1 производство о несостоятельности (банкротстве) страховой организации. Приднестровский республиканский банк принимает участие в качестве</w:t>
      </w:r>
      <w:r>
        <w:rPr>
          <w:color w:val="000000"/>
        </w:rPr>
        <w:t xml:space="preserve"> </w:t>
      </w:r>
      <w:r w:rsidRPr="00366448">
        <w:rPr>
          <w:sz w:val="24"/>
          <w:szCs w:val="24"/>
        </w:rPr>
        <w:t xml:space="preserve">уполномоченного органа в сфере контроля (надзора) за страховой деятельностью. </w:t>
      </w:r>
    </w:p>
    <w:p w:rsidR="004E2069" w:rsidRDefault="004E2069" w:rsidP="00366448">
      <w:pPr>
        <w:pStyle w:val="16"/>
        <w:spacing w:before="0" w:after="0"/>
        <w:ind w:firstLine="426"/>
        <w:jc w:val="both"/>
      </w:pPr>
      <w:r>
        <w:t>б) в городском суде одно дело по заявлению Приднестровского республиканского банка о досрочном взыскании задолженности по договору займа и обращении взыскания на предмет залога – решение не вынесено, дело находится на рассмотрении Тираспольского городского суда.</w:t>
      </w:r>
    </w:p>
    <w:p w:rsidR="004E2069" w:rsidRPr="00E85DD7" w:rsidRDefault="004E2069" w:rsidP="00691735">
      <w:pPr>
        <w:widowControl w:val="0"/>
        <w:spacing w:before="120" w:after="120"/>
        <w:ind w:firstLine="425"/>
        <w:jc w:val="both"/>
        <w:rPr>
          <w:i/>
          <w:iCs/>
          <w:sz w:val="24"/>
          <w:szCs w:val="24"/>
        </w:rPr>
      </w:pPr>
      <w:r w:rsidRPr="00E85DD7">
        <w:rPr>
          <w:i/>
          <w:iCs/>
          <w:sz w:val="24"/>
          <w:szCs w:val="24"/>
        </w:rPr>
        <w:t>Контроль и внутренний аудит</w:t>
      </w:r>
    </w:p>
    <w:p w:rsidR="004E2069" w:rsidRPr="003D73E2" w:rsidRDefault="004E2069" w:rsidP="00D863E8">
      <w:pPr>
        <w:widowControl w:val="0"/>
        <w:spacing w:before="120"/>
        <w:ind w:firstLine="425"/>
        <w:jc w:val="both"/>
        <w:rPr>
          <w:rStyle w:val="FontStyle11"/>
        </w:rPr>
      </w:pPr>
      <w:r>
        <w:rPr>
          <w:sz w:val="24"/>
          <w:szCs w:val="24"/>
        </w:rPr>
        <w:t>В 2017 году деятельность центрального банка в области контроля и внутрибанковского аудита была ориентирована на обеспечение его надёжного функционирования.</w:t>
      </w:r>
      <w:r w:rsidRPr="00D863E8">
        <w:rPr>
          <w:rStyle w:val="FontStyle11"/>
        </w:rPr>
        <w:t xml:space="preserve"> </w:t>
      </w:r>
      <w:r w:rsidRPr="003D73E2">
        <w:rPr>
          <w:rStyle w:val="FontStyle11"/>
        </w:rPr>
        <w:t>С этой целью было проведено 1</w:t>
      </w:r>
      <w:r>
        <w:rPr>
          <w:rStyle w:val="FontStyle11"/>
        </w:rPr>
        <w:t>3</w:t>
      </w:r>
      <w:r w:rsidRPr="003D73E2">
        <w:rPr>
          <w:rStyle w:val="FontStyle11"/>
        </w:rPr>
        <w:t xml:space="preserve"> проверок, объектами которых выступали структурные подразделения Приднестровского республиканского банка, деятельность функционирующих в банке комиссий</w:t>
      </w:r>
      <w:r>
        <w:rPr>
          <w:rStyle w:val="FontStyle11"/>
        </w:rPr>
        <w:t xml:space="preserve">, </w:t>
      </w:r>
      <w:r w:rsidRPr="00F44BD6">
        <w:rPr>
          <w:rStyle w:val="FontStyle11"/>
        </w:rPr>
        <w:t>а также финансово-хозяйственная деятельность ЗАО «Приднестровский Сберегательный банк».</w:t>
      </w:r>
    </w:p>
    <w:p w:rsidR="004E2069" w:rsidRDefault="004E2069" w:rsidP="00D70788">
      <w:pPr>
        <w:ind w:firstLine="425"/>
        <w:jc w:val="both"/>
        <w:rPr>
          <w:sz w:val="24"/>
          <w:szCs w:val="24"/>
        </w:rPr>
      </w:pPr>
      <w:r w:rsidRPr="004420B1">
        <w:rPr>
          <w:sz w:val="24"/>
          <w:szCs w:val="24"/>
        </w:rPr>
        <w:t>С целью минимизации рисков нарушени</w:t>
      </w:r>
      <w:r>
        <w:rPr>
          <w:sz w:val="24"/>
          <w:szCs w:val="24"/>
        </w:rPr>
        <w:t>я</w:t>
      </w:r>
      <w:r w:rsidRPr="004420B1">
        <w:rPr>
          <w:sz w:val="24"/>
          <w:szCs w:val="24"/>
        </w:rPr>
        <w:t xml:space="preserve"> </w:t>
      </w:r>
      <w:r>
        <w:rPr>
          <w:sz w:val="24"/>
          <w:szCs w:val="24"/>
        </w:rPr>
        <w:t xml:space="preserve">законодательства о труде в центральном банке </w:t>
      </w:r>
      <w:r w:rsidRPr="004420B1">
        <w:rPr>
          <w:sz w:val="24"/>
          <w:szCs w:val="24"/>
        </w:rPr>
        <w:t>был</w:t>
      </w:r>
      <w:r>
        <w:rPr>
          <w:sz w:val="24"/>
          <w:szCs w:val="24"/>
        </w:rPr>
        <w:t>а</w:t>
      </w:r>
      <w:r w:rsidRPr="004420B1">
        <w:rPr>
          <w:sz w:val="24"/>
          <w:szCs w:val="24"/>
        </w:rPr>
        <w:t xml:space="preserve"> проведен</w:t>
      </w:r>
      <w:r>
        <w:rPr>
          <w:sz w:val="24"/>
          <w:szCs w:val="24"/>
        </w:rPr>
        <w:t xml:space="preserve">а выборочная </w:t>
      </w:r>
      <w:r w:rsidRPr="004420B1">
        <w:rPr>
          <w:sz w:val="24"/>
          <w:szCs w:val="24"/>
        </w:rPr>
        <w:t>проверк</w:t>
      </w:r>
      <w:r>
        <w:rPr>
          <w:sz w:val="24"/>
          <w:szCs w:val="24"/>
        </w:rPr>
        <w:t>а порядка ведения трудовых книжек сотрудников Приднестровского республиканского банка, оформления личных дел и личных карточек;</w:t>
      </w:r>
      <w:r w:rsidRPr="004420B1">
        <w:rPr>
          <w:sz w:val="24"/>
          <w:szCs w:val="24"/>
        </w:rPr>
        <w:t xml:space="preserve"> </w:t>
      </w:r>
      <w:r>
        <w:rPr>
          <w:sz w:val="24"/>
          <w:szCs w:val="24"/>
        </w:rPr>
        <w:t xml:space="preserve">выполнен анализ соблюдения требований законодательства Приднестровской Молдавской Республики и нормативных актов Приднестровского республиканского банка в части организации работы и оплаты труда сотрудников отдела охраны банка. </w:t>
      </w:r>
    </w:p>
    <w:p w:rsidR="004E2069" w:rsidRDefault="004E2069" w:rsidP="00D70788">
      <w:pPr>
        <w:ind w:firstLine="425"/>
        <w:jc w:val="both"/>
        <w:rPr>
          <w:sz w:val="24"/>
          <w:szCs w:val="24"/>
        </w:rPr>
      </w:pPr>
      <w:r>
        <w:rPr>
          <w:sz w:val="24"/>
          <w:szCs w:val="24"/>
        </w:rPr>
        <w:t xml:space="preserve">Принимая во внимание, что Приднестровский республиканский банк является </w:t>
      </w:r>
      <w:r w:rsidRPr="00112D15">
        <w:rPr>
          <w:sz w:val="24"/>
          <w:szCs w:val="24"/>
        </w:rPr>
        <w:t>одн</w:t>
      </w:r>
      <w:r>
        <w:rPr>
          <w:sz w:val="24"/>
          <w:szCs w:val="24"/>
        </w:rPr>
        <w:t>им</w:t>
      </w:r>
      <w:r w:rsidRPr="00112D15">
        <w:rPr>
          <w:sz w:val="24"/>
          <w:szCs w:val="24"/>
        </w:rPr>
        <w:t xml:space="preserve"> из основных органов валютного </w:t>
      </w:r>
      <w:r>
        <w:rPr>
          <w:sz w:val="24"/>
          <w:szCs w:val="24"/>
        </w:rPr>
        <w:t xml:space="preserve">регулирования и </w:t>
      </w:r>
      <w:r w:rsidRPr="00112D15">
        <w:rPr>
          <w:sz w:val="24"/>
          <w:szCs w:val="24"/>
        </w:rPr>
        <w:t xml:space="preserve">контроля, </w:t>
      </w:r>
      <w:r>
        <w:rPr>
          <w:sz w:val="24"/>
          <w:szCs w:val="24"/>
        </w:rPr>
        <w:t xml:space="preserve">была проведена работа, </w:t>
      </w:r>
      <w:r w:rsidRPr="006A207B">
        <w:rPr>
          <w:sz w:val="24"/>
          <w:szCs w:val="24"/>
        </w:rPr>
        <w:t>направленн</w:t>
      </w:r>
      <w:r>
        <w:rPr>
          <w:sz w:val="24"/>
          <w:szCs w:val="24"/>
        </w:rPr>
        <w:t>ая</w:t>
      </w:r>
      <w:r w:rsidRPr="006A207B">
        <w:rPr>
          <w:sz w:val="24"/>
          <w:szCs w:val="24"/>
        </w:rPr>
        <w:t xml:space="preserve"> на выявление и анализ системных </w:t>
      </w:r>
      <w:r w:rsidRPr="00AB76A9">
        <w:rPr>
          <w:sz w:val="24"/>
          <w:szCs w:val="24"/>
        </w:rPr>
        <w:t xml:space="preserve">проблем </w:t>
      </w:r>
      <w:r>
        <w:rPr>
          <w:sz w:val="24"/>
          <w:szCs w:val="24"/>
        </w:rPr>
        <w:t xml:space="preserve">при выполнении банком данных функций в части выдачи </w:t>
      </w:r>
      <w:r w:rsidRPr="00D76A0D">
        <w:rPr>
          <w:sz w:val="24"/>
          <w:szCs w:val="24"/>
        </w:rPr>
        <w:t>разрешений на открытие счетов за пределами П</w:t>
      </w:r>
      <w:r>
        <w:rPr>
          <w:sz w:val="24"/>
          <w:szCs w:val="24"/>
        </w:rPr>
        <w:t xml:space="preserve">риднестровской </w:t>
      </w:r>
      <w:r w:rsidRPr="00D76A0D">
        <w:rPr>
          <w:sz w:val="24"/>
          <w:szCs w:val="24"/>
        </w:rPr>
        <w:t>М</w:t>
      </w:r>
      <w:r>
        <w:rPr>
          <w:sz w:val="24"/>
          <w:szCs w:val="24"/>
        </w:rPr>
        <w:t xml:space="preserve">олдавской </w:t>
      </w:r>
      <w:r w:rsidRPr="00D76A0D">
        <w:rPr>
          <w:sz w:val="24"/>
          <w:szCs w:val="24"/>
        </w:rPr>
        <w:t>Р</w:t>
      </w:r>
      <w:r>
        <w:rPr>
          <w:sz w:val="24"/>
          <w:szCs w:val="24"/>
        </w:rPr>
        <w:t xml:space="preserve">еспублики и </w:t>
      </w:r>
      <w:r w:rsidRPr="00AB76A9">
        <w:rPr>
          <w:sz w:val="24"/>
          <w:szCs w:val="24"/>
        </w:rPr>
        <w:t>организации</w:t>
      </w:r>
      <w:r>
        <w:rPr>
          <w:sz w:val="24"/>
          <w:szCs w:val="24"/>
        </w:rPr>
        <w:t xml:space="preserve"> контроля </w:t>
      </w:r>
      <w:r w:rsidRPr="00AB76A9">
        <w:rPr>
          <w:sz w:val="24"/>
          <w:szCs w:val="24"/>
        </w:rPr>
        <w:t>за операциями юридических лиц по счетам, открытым в банках за пределами П</w:t>
      </w:r>
      <w:r>
        <w:rPr>
          <w:sz w:val="24"/>
          <w:szCs w:val="24"/>
        </w:rPr>
        <w:t xml:space="preserve">риднестровской </w:t>
      </w:r>
      <w:r w:rsidRPr="00AB76A9">
        <w:rPr>
          <w:sz w:val="24"/>
          <w:szCs w:val="24"/>
        </w:rPr>
        <w:t>М</w:t>
      </w:r>
      <w:r>
        <w:rPr>
          <w:sz w:val="24"/>
          <w:szCs w:val="24"/>
        </w:rPr>
        <w:t xml:space="preserve">олдавской </w:t>
      </w:r>
      <w:r w:rsidRPr="00AB76A9">
        <w:rPr>
          <w:sz w:val="24"/>
          <w:szCs w:val="24"/>
        </w:rPr>
        <w:t>Р</w:t>
      </w:r>
      <w:r>
        <w:rPr>
          <w:sz w:val="24"/>
          <w:szCs w:val="24"/>
        </w:rPr>
        <w:t xml:space="preserve">еспублики. </w:t>
      </w:r>
    </w:p>
    <w:p w:rsidR="004E2069" w:rsidRDefault="004E2069" w:rsidP="00D70788">
      <w:pPr>
        <w:ind w:firstLine="425"/>
        <w:jc w:val="both"/>
        <w:rPr>
          <w:sz w:val="24"/>
          <w:szCs w:val="24"/>
        </w:rPr>
      </w:pPr>
      <w:r>
        <w:rPr>
          <w:sz w:val="24"/>
          <w:szCs w:val="24"/>
        </w:rPr>
        <w:t>Особое внимание было направлено на вопросы организации и осуществления надзорных функций за деятельностью кредитных организаций, а также на вопросы организации деятельности Приднестровского республиканского банка в части регистрации внутренних структурных подразделений кредитных организаций.</w:t>
      </w:r>
    </w:p>
    <w:p w:rsidR="004E2069" w:rsidRPr="00442625" w:rsidRDefault="004E2069" w:rsidP="00D70788">
      <w:pPr>
        <w:ind w:firstLine="425"/>
        <w:jc w:val="both"/>
        <w:rPr>
          <w:sz w:val="24"/>
          <w:szCs w:val="24"/>
        </w:rPr>
      </w:pPr>
      <w:r w:rsidRPr="00442625">
        <w:rPr>
          <w:sz w:val="24"/>
          <w:szCs w:val="24"/>
        </w:rPr>
        <w:t xml:space="preserve">В рамках </w:t>
      </w:r>
      <w:r>
        <w:rPr>
          <w:sz w:val="24"/>
          <w:szCs w:val="24"/>
        </w:rPr>
        <w:t>контроля</w:t>
      </w:r>
      <w:r w:rsidRPr="00442625">
        <w:rPr>
          <w:sz w:val="24"/>
          <w:szCs w:val="24"/>
        </w:rPr>
        <w:t xml:space="preserve"> эффективност</w:t>
      </w:r>
      <w:r>
        <w:rPr>
          <w:sz w:val="24"/>
          <w:szCs w:val="24"/>
        </w:rPr>
        <w:t>и</w:t>
      </w:r>
      <w:r w:rsidRPr="00442625">
        <w:rPr>
          <w:sz w:val="24"/>
          <w:szCs w:val="24"/>
        </w:rPr>
        <w:t xml:space="preserve"> выполнения возложенных на банк функций также была </w:t>
      </w:r>
      <w:r>
        <w:rPr>
          <w:sz w:val="24"/>
          <w:szCs w:val="24"/>
        </w:rPr>
        <w:t>осуществлена</w:t>
      </w:r>
      <w:r w:rsidRPr="00442625">
        <w:rPr>
          <w:sz w:val="24"/>
          <w:szCs w:val="24"/>
        </w:rPr>
        <w:t xml:space="preserve"> проверка организации и проведения международных расчётов. </w:t>
      </w:r>
    </w:p>
    <w:p w:rsidR="004E2069" w:rsidRPr="00442625" w:rsidRDefault="004E2069" w:rsidP="00D70788">
      <w:pPr>
        <w:ind w:firstLine="425"/>
        <w:jc w:val="both"/>
        <w:rPr>
          <w:sz w:val="24"/>
          <w:szCs w:val="24"/>
        </w:rPr>
      </w:pPr>
      <w:r w:rsidRPr="00442625">
        <w:rPr>
          <w:sz w:val="24"/>
          <w:szCs w:val="24"/>
        </w:rPr>
        <w:t>При проверке оформления, регистрации и организации контроля за соблюдением сроков исполнения распорядительных документов особое внимание было уделено вопросам разработки и внедрения нормативных и методических документов по совершенствованию документационного обеспечения в Приднестровском республиканском банке.</w:t>
      </w:r>
    </w:p>
    <w:p w:rsidR="004E2069" w:rsidRPr="00442625" w:rsidRDefault="004E2069" w:rsidP="00D70788">
      <w:pPr>
        <w:ind w:firstLine="425"/>
        <w:jc w:val="both"/>
        <w:rPr>
          <w:sz w:val="24"/>
          <w:szCs w:val="24"/>
        </w:rPr>
      </w:pPr>
      <w:r w:rsidRPr="00442625">
        <w:rPr>
          <w:sz w:val="24"/>
          <w:szCs w:val="24"/>
        </w:rPr>
        <w:t xml:space="preserve">С целью контроля за устранением выявленных несоответствий и внедрения рекомендаций в течение года проводился мониторинг выполнения мероприятий по результатам аудиторских проверок. </w:t>
      </w:r>
    </w:p>
    <w:p w:rsidR="004E2069" w:rsidRDefault="004E2069" w:rsidP="00D70788">
      <w:pPr>
        <w:ind w:firstLine="425"/>
        <w:jc w:val="both"/>
        <w:rPr>
          <w:sz w:val="24"/>
          <w:szCs w:val="24"/>
        </w:rPr>
      </w:pPr>
      <w:r w:rsidRPr="00442625">
        <w:rPr>
          <w:sz w:val="24"/>
          <w:szCs w:val="24"/>
        </w:rPr>
        <w:t xml:space="preserve">По проведённым в 2017 году проверкам было представлено 53 вывода и </w:t>
      </w:r>
      <w:r>
        <w:rPr>
          <w:sz w:val="24"/>
          <w:szCs w:val="24"/>
        </w:rPr>
        <w:br/>
      </w:r>
      <w:r w:rsidRPr="00442625">
        <w:rPr>
          <w:sz w:val="24"/>
          <w:szCs w:val="24"/>
        </w:rPr>
        <w:t>42</w:t>
      </w:r>
      <w:r w:rsidRPr="000E0BF1">
        <w:rPr>
          <w:sz w:val="24"/>
          <w:szCs w:val="24"/>
        </w:rPr>
        <w:t xml:space="preserve"> рекомендации, 11 из которых касались внесения изменений и дополнений в нормативные акты Приднестровского республиканского банка, </w:t>
      </w:r>
      <w:r>
        <w:rPr>
          <w:sz w:val="24"/>
          <w:szCs w:val="24"/>
        </w:rPr>
        <w:t>один</w:t>
      </w:r>
      <w:r w:rsidRPr="000E0BF1">
        <w:rPr>
          <w:sz w:val="24"/>
          <w:szCs w:val="24"/>
        </w:rPr>
        <w:t xml:space="preserve"> – в закон Приднестровской Молдавской Республики № 212-3-IV от 7 мая 2007 года «О центральном банке Приднестровской Молдавской Республики», 12 – в локальные распорядительные акты Приднестровского республиканского банка, 4 –</w:t>
      </w:r>
      <w:r>
        <w:rPr>
          <w:sz w:val="24"/>
          <w:szCs w:val="24"/>
        </w:rPr>
        <w:t xml:space="preserve"> </w:t>
      </w:r>
      <w:r w:rsidRPr="000E0BF1">
        <w:rPr>
          <w:sz w:val="24"/>
          <w:szCs w:val="24"/>
        </w:rPr>
        <w:t>в должностные инструкции служащих банка, 4 – в положения о структурных подразделениях Приднестровского республиканского банка.</w:t>
      </w:r>
    </w:p>
    <w:p w:rsidR="004E2069" w:rsidRDefault="004E2069" w:rsidP="00D70788">
      <w:pPr>
        <w:ind w:firstLine="425"/>
        <w:jc w:val="both"/>
        <w:rPr>
          <w:sz w:val="24"/>
          <w:szCs w:val="24"/>
        </w:rPr>
      </w:pPr>
      <w:r>
        <w:rPr>
          <w:sz w:val="24"/>
          <w:szCs w:val="24"/>
        </w:rPr>
        <w:t xml:space="preserve">На основании утверждённых руководством банка результатов проверок были приняты соответствующие управленческие решения. </w:t>
      </w:r>
    </w:p>
    <w:p w:rsidR="004E2069" w:rsidRDefault="004E2069" w:rsidP="00D70788">
      <w:pPr>
        <w:ind w:firstLine="425"/>
        <w:jc w:val="both"/>
        <w:rPr>
          <w:sz w:val="24"/>
          <w:szCs w:val="24"/>
        </w:rPr>
      </w:pPr>
      <w:r>
        <w:rPr>
          <w:sz w:val="24"/>
          <w:szCs w:val="24"/>
        </w:rPr>
        <w:t>В целом, результаты проведённых проверок подтверждают выполнение подразделениями банка возложенных на них функций и соблюдение требований законодательства Приднестровской Молдавской Республики и нормативных актов Приднестровского республиканского банка.</w:t>
      </w:r>
    </w:p>
    <w:p w:rsidR="004E2069" w:rsidRPr="00E85DD7" w:rsidRDefault="004E2069" w:rsidP="00691735">
      <w:pPr>
        <w:widowControl w:val="0"/>
        <w:spacing w:before="120" w:after="120"/>
        <w:ind w:firstLine="425"/>
        <w:jc w:val="both"/>
        <w:rPr>
          <w:i/>
          <w:iCs/>
          <w:sz w:val="24"/>
          <w:szCs w:val="24"/>
        </w:rPr>
      </w:pPr>
      <w:r w:rsidRPr="00E85DD7">
        <w:rPr>
          <w:i/>
          <w:iCs/>
          <w:sz w:val="24"/>
          <w:szCs w:val="24"/>
        </w:rPr>
        <w:t>Управление рисками банковских операций</w:t>
      </w:r>
    </w:p>
    <w:p w:rsidR="004E2069" w:rsidRPr="005312DA" w:rsidRDefault="004E2069" w:rsidP="005312DA">
      <w:pPr>
        <w:tabs>
          <w:tab w:val="left" w:pos="851"/>
          <w:tab w:val="left" w:pos="993"/>
        </w:tabs>
        <w:ind w:firstLine="425"/>
        <w:jc w:val="both"/>
        <w:rPr>
          <w:sz w:val="24"/>
          <w:szCs w:val="24"/>
        </w:rPr>
      </w:pPr>
      <w:r w:rsidRPr="005312DA">
        <w:rPr>
          <w:sz w:val="24"/>
          <w:szCs w:val="24"/>
        </w:rPr>
        <w:t>В 2017 году Приднестровским республиканским банком проведена работа по совершенствованию системы управления рисками центрального банка:</w:t>
      </w:r>
    </w:p>
    <w:p w:rsidR="004E2069" w:rsidRPr="005312DA" w:rsidRDefault="004E2069" w:rsidP="00E90743">
      <w:pPr>
        <w:numPr>
          <w:ilvl w:val="0"/>
          <w:numId w:val="8"/>
        </w:numPr>
        <w:tabs>
          <w:tab w:val="left" w:pos="672"/>
          <w:tab w:val="left" w:pos="993"/>
        </w:tabs>
        <w:ind w:left="0" w:firstLine="425"/>
        <w:jc w:val="both"/>
        <w:rPr>
          <w:sz w:val="24"/>
          <w:szCs w:val="24"/>
        </w:rPr>
      </w:pPr>
      <w:r w:rsidRPr="005312DA">
        <w:rPr>
          <w:sz w:val="24"/>
          <w:szCs w:val="24"/>
        </w:rPr>
        <w:t>Обновлена и оптимизирована структура нормативных актов, определяющая эффективное функционирование системы управления рисками, с закреплением возможности оперативного реагирования на возникающие риски с уч</w:t>
      </w:r>
      <w:r>
        <w:rPr>
          <w:sz w:val="24"/>
          <w:szCs w:val="24"/>
        </w:rPr>
        <w:t>ё</w:t>
      </w:r>
      <w:r w:rsidRPr="005312DA">
        <w:rPr>
          <w:sz w:val="24"/>
          <w:szCs w:val="24"/>
        </w:rPr>
        <w:t>том изменений во внутренней и внешней среде:</w:t>
      </w:r>
    </w:p>
    <w:p w:rsidR="004E2069" w:rsidRPr="005312DA" w:rsidRDefault="004E2069" w:rsidP="005312DA">
      <w:pPr>
        <w:tabs>
          <w:tab w:val="left" w:pos="672"/>
          <w:tab w:val="left" w:pos="993"/>
        </w:tabs>
        <w:ind w:firstLine="425"/>
        <w:jc w:val="both"/>
        <w:rPr>
          <w:sz w:val="24"/>
          <w:szCs w:val="24"/>
        </w:rPr>
      </w:pPr>
      <w:r w:rsidRPr="005312DA">
        <w:rPr>
          <w:sz w:val="24"/>
          <w:szCs w:val="24"/>
        </w:rPr>
        <w:t>а) разработан и утвержд</w:t>
      </w:r>
      <w:r>
        <w:rPr>
          <w:sz w:val="24"/>
          <w:szCs w:val="24"/>
        </w:rPr>
        <w:t>ё</w:t>
      </w:r>
      <w:r w:rsidRPr="005312DA">
        <w:rPr>
          <w:sz w:val="24"/>
          <w:szCs w:val="24"/>
        </w:rPr>
        <w:t>н нормативный акт, регламентирующий основные цели, задачи</w:t>
      </w:r>
      <w:r>
        <w:rPr>
          <w:sz w:val="24"/>
          <w:szCs w:val="24"/>
        </w:rPr>
        <w:t>,</w:t>
      </w:r>
      <w:r w:rsidRPr="005312DA">
        <w:rPr>
          <w:sz w:val="24"/>
          <w:szCs w:val="24"/>
        </w:rPr>
        <w:t xml:space="preserve"> принципы</w:t>
      </w:r>
      <w:r>
        <w:rPr>
          <w:sz w:val="24"/>
          <w:szCs w:val="24"/>
        </w:rPr>
        <w:t>, п</w:t>
      </w:r>
      <w:r w:rsidRPr="005312DA">
        <w:rPr>
          <w:sz w:val="24"/>
          <w:szCs w:val="24"/>
        </w:rPr>
        <w:t>одходы и инструменты управления рисками, субъектов процесса управления рисками</w:t>
      </w:r>
      <w:r>
        <w:rPr>
          <w:sz w:val="24"/>
          <w:szCs w:val="24"/>
        </w:rPr>
        <w:t>,</w:t>
      </w:r>
      <w:r w:rsidRPr="005312DA">
        <w:rPr>
          <w:sz w:val="24"/>
          <w:szCs w:val="24"/>
        </w:rPr>
        <w:t xml:space="preserve"> их полномочия и другое;</w:t>
      </w:r>
    </w:p>
    <w:p w:rsidR="004E2069" w:rsidRPr="005312DA" w:rsidRDefault="004E2069" w:rsidP="005312DA">
      <w:pPr>
        <w:tabs>
          <w:tab w:val="left" w:pos="672"/>
          <w:tab w:val="left" w:pos="993"/>
        </w:tabs>
        <w:ind w:firstLine="425"/>
        <w:jc w:val="both"/>
        <w:rPr>
          <w:sz w:val="24"/>
          <w:szCs w:val="24"/>
        </w:rPr>
      </w:pPr>
      <w:r w:rsidRPr="005312DA">
        <w:rPr>
          <w:sz w:val="24"/>
          <w:szCs w:val="24"/>
        </w:rPr>
        <w:t>б) разработан и утвержд</w:t>
      </w:r>
      <w:r>
        <w:rPr>
          <w:sz w:val="24"/>
          <w:szCs w:val="24"/>
        </w:rPr>
        <w:t>ё</w:t>
      </w:r>
      <w:r w:rsidRPr="005312DA">
        <w:rPr>
          <w:sz w:val="24"/>
          <w:szCs w:val="24"/>
        </w:rPr>
        <w:t>н нормативный акт, регламентирующий порядок формирования (восстановления) и использования Приднестровским республиканским банком резервов на возможные потери;</w:t>
      </w:r>
    </w:p>
    <w:p w:rsidR="004E2069" w:rsidRPr="005312DA" w:rsidRDefault="004E2069" w:rsidP="005312DA">
      <w:pPr>
        <w:tabs>
          <w:tab w:val="left" w:pos="672"/>
          <w:tab w:val="left" w:pos="993"/>
        </w:tabs>
        <w:ind w:firstLine="425"/>
        <w:jc w:val="both"/>
        <w:rPr>
          <w:sz w:val="24"/>
          <w:szCs w:val="24"/>
        </w:rPr>
      </w:pPr>
      <w:r w:rsidRPr="005312DA">
        <w:rPr>
          <w:sz w:val="24"/>
          <w:szCs w:val="24"/>
        </w:rPr>
        <w:t>в) разработан и утвержд</w:t>
      </w:r>
      <w:r>
        <w:rPr>
          <w:sz w:val="24"/>
          <w:szCs w:val="24"/>
        </w:rPr>
        <w:t>ё</w:t>
      </w:r>
      <w:r w:rsidRPr="005312DA">
        <w:rPr>
          <w:sz w:val="24"/>
          <w:szCs w:val="24"/>
        </w:rPr>
        <w:t>н нормативный акт, регламентирующий порядок оценки рисков возможных потерь, в том числе определение размера расчётного резерва и составления профессиональных суждений;</w:t>
      </w:r>
    </w:p>
    <w:p w:rsidR="004E2069" w:rsidRPr="005312DA" w:rsidRDefault="004E2069" w:rsidP="005312DA">
      <w:pPr>
        <w:tabs>
          <w:tab w:val="left" w:pos="672"/>
          <w:tab w:val="left" w:pos="993"/>
        </w:tabs>
        <w:ind w:firstLine="425"/>
        <w:jc w:val="both"/>
        <w:rPr>
          <w:sz w:val="24"/>
          <w:szCs w:val="24"/>
        </w:rPr>
      </w:pPr>
      <w:r w:rsidRPr="005312DA">
        <w:rPr>
          <w:sz w:val="24"/>
          <w:szCs w:val="24"/>
        </w:rPr>
        <w:t>г) утверждены локальные нормативные акты, регламентирующие деятельность Комитета по управлению рисками;</w:t>
      </w:r>
    </w:p>
    <w:p w:rsidR="004E2069" w:rsidRPr="005312DA" w:rsidRDefault="004E2069" w:rsidP="00E90743">
      <w:pPr>
        <w:numPr>
          <w:ilvl w:val="0"/>
          <w:numId w:val="8"/>
        </w:numPr>
        <w:tabs>
          <w:tab w:val="left" w:pos="672"/>
          <w:tab w:val="left" w:pos="993"/>
        </w:tabs>
        <w:ind w:left="0" w:firstLine="425"/>
        <w:jc w:val="both"/>
        <w:rPr>
          <w:sz w:val="24"/>
          <w:szCs w:val="24"/>
        </w:rPr>
      </w:pPr>
      <w:r w:rsidRPr="005312DA">
        <w:rPr>
          <w:sz w:val="24"/>
          <w:szCs w:val="24"/>
        </w:rPr>
        <w:t>Усовершенствована организационная система управления рисками центрального банка:</w:t>
      </w:r>
    </w:p>
    <w:p w:rsidR="004E2069" w:rsidRPr="005312DA" w:rsidRDefault="004E2069" w:rsidP="005312DA">
      <w:pPr>
        <w:tabs>
          <w:tab w:val="left" w:pos="851"/>
          <w:tab w:val="left" w:pos="993"/>
        </w:tabs>
        <w:ind w:firstLine="425"/>
        <w:jc w:val="both"/>
        <w:rPr>
          <w:sz w:val="24"/>
          <w:szCs w:val="24"/>
        </w:rPr>
      </w:pPr>
      <w:r w:rsidRPr="005312DA">
        <w:rPr>
          <w:sz w:val="24"/>
          <w:szCs w:val="24"/>
        </w:rPr>
        <w:t>а) определены субъекты в системе управления рисками с распределением основных функций;</w:t>
      </w:r>
    </w:p>
    <w:p w:rsidR="004E2069" w:rsidRPr="005312DA" w:rsidRDefault="004E2069" w:rsidP="005312DA">
      <w:pPr>
        <w:tabs>
          <w:tab w:val="left" w:pos="851"/>
          <w:tab w:val="left" w:pos="993"/>
        </w:tabs>
        <w:ind w:firstLine="425"/>
        <w:jc w:val="both"/>
        <w:rPr>
          <w:sz w:val="24"/>
          <w:szCs w:val="24"/>
        </w:rPr>
      </w:pPr>
      <w:r w:rsidRPr="005312DA">
        <w:rPr>
          <w:sz w:val="24"/>
          <w:szCs w:val="24"/>
        </w:rPr>
        <w:t>б) создан Комитет по управлению рисками как постоянно действующий рабочий орган, в основные функции которого входит разработка требований к системе управления рисками, определение конечного их перечня и основных принципов управления рисками в П</w:t>
      </w:r>
      <w:r>
        <w:rPr>
          <w:sz w:val="24"/>
          <w:szCs w:val="24"/>
        </w:rPr>
        <w:t>риднестровском республиканском банке</w:t>
      </w:r>
      <w:r w:rsidRPr="005312DA">
        <w:rPr>
          <w:sz w:val="24"/>
          <w:szCs w:val="24"/>
        </w:rPr>
        <w:t>.</w:t>
      </w:r>
    </w:p>
    <w:p w:rsidR="004E2069" w:rsidRPr="005312DA" w:rsidRDefault="004E2069" w:rsidP="005312DA">
      <w:pPr>
        <w:ind w:firstLine="425"/>
        <w:jc w:val="both"/>
        <w:rPr>
          <w:sz w:val="24"/>
          <w:szCs w:val="24"/>
        </w:rPr>
      </w:pPr>
      <w:r w:rsidRPr="005312DA">
        <w:rPr>
          <w:sz w:val="24"/>
          <w:szCs w:val="24"/>
        </w:rPr>
        <w:t xml:space="preserve">В течение 2017 года </w:t>
      </w:r>
      <w:r>
        <w:rPr>
          <w:sz w:val="24"/>
          <w:szCs w:val="24"/>
        </w:rPr>
        <w:t>осуществлялась</w:t>
      </w:r>
      <w:r w:rsidRPr="005312DA">
        <w:rPr>
          <w:sz w:val="24"/>
          <w:szCs w:val="24"/>
        </w:rPr>
        <w:t xml:space="preserve"> разработк</w:t>
      </w:r>
      <w:r>
        <w:rPr>
          <w:sz w:val="24"/>
          <w:szCs w:val="24"/>
        </w:rPr>
        <w:t>а</w:t>
      </w:r>
      <w:r w:rsidRPr="005312DA">
        <w:rPr>
          <w:sz w:val="24"/>
          <w:szCs w:val="24"/>
        </w:rPr>
        <w:t xml:space="preserve"> проекта методики определения финансового положения банков-нерезидентов на базе рейтинговой оценки. </w:t>
      </w:r>
    </w:p>
    <w:p w:rsidR="004E2069" w:rsidRDefault="004E2069" w:rsidP="00691735">
      <w:pPr>
        <w:widowControl w:val="0"/>
        <w:spacing w:before="120" w:after="120"/>
        <w:ind w:firstLine="425"/>
        <w:jc w:val="both"/>
        <w:rPr>
          <w:i/>
          <w:iCs/>
          <w:sz w:val="24"/>
          <w:szCs w:val="24"/>
        </w:rPr>
      </w:pPr>
      <w:r w:rsidRPr="00E85DD7">
        <w:rPr>
          <w:i/>
          <w:iCs/>
          <w:sz w:val="24"/>
          <w:szCs w:val="24"/>
        </w:rPr>
        <w:t xml:space="preserve">Информационно-разъяснительная деятельность </w:t>
      </w:r>
    </w:p>
    <w:p w:rsidR="004E2069" w:rsidRDefault="004E2069" w:rsidP="006D4726">
      <w:pPr>
        <w:widowControl w:val="0"/>
        <w:ind w:firstLine="426"/>
        <w:jc w:val="both"/>
        <w:rPr>
          <w:color w:val="000000"/>
          <w:sz w:val="24"/>
          <w:szCs w:val="24"/>
        </w:rPr>
      </w:pPr>
      <w:r>
        <w:rPr>
          <w:color w:val="000000"/>
          <w:sz w:val="24"/>
          <w:szCs w:val="24"/>
        </w:rPr>
        <w:t>Для освещения деятельности Приднестровского республиканского банка в части реализации основных задач и функций в течение отчётного года проводилась большая информационно-разъяснительная работа, прежде всего посредством размещения информации на официальном сайте банка. За год количество пресс-релизов и новостных сообщений превысило 200 публикаций.</w:t>
      </w:r>
    </w:p>
    <w:p w:rsidR="004E2069" w:rsidRDefault="004E2069" w:rsidP="006D4726">
      <w:pPr>
        <w:widowControl w:val="0"/>
        <w:ind w:firstLine="426"/>
        <w:jc w:val="both"/>
        <w:rPr>
          <w:color w:val="000000"/>
          <w:sz w:val="24"/>
          <w:szCs w:val="24"/>
        </w:rPr>
      </w:pPr>
      <w:r>
        <w:rPr>
          <w:color w:val="000000"/>
          <w:sz w:val="24"/>
          <w:szCs w:val="24"/>
        </w:rPr>
        <w:t xml:space="preserve">Отдельно велась работа совместно со средствами массовой информации по информированию общественности о деятельности центрального банка. За отчётный период в газете «Приднестровье» были размещены более 30 пресс-релизов и информационных статей различной тематики, </w:t>
      </w:r>
      <w:r w:rsidRPr="009F10A2">
        <w:rPr>
          <w:color w:val="000000"/>
          <w:sz w:val="24"/>
          <w:szCs w:val="24"/>
        </w:rPr>
        <w:t>более 40</w:t>
      </w:r>
      <w:r>
        <w:rPr>
          <w:color w:val="000000"/>
          <w:sz w:val="24"/>
          <w:szCs w:val="24"/>
        </w:rPr>
        <w:t xml:space="preserve"> – на сайте информационного агентства «Новости Приднестровья». Руководство и представители Приднестровского республиканского банка неоднократно принимали участие в качестве экспертов в передачах экономической тематики на «Первом Приднестровском телеканале» и «Телевидении свободного выбора», а также на «Радио 1» и «Интер </w:t>
      </w:r>
      <w:r>
        <w:rPr>
          <w:color w:val="000000"/>
          <w:sz w:val="24"/>
          <w:szCs w:val="24"/>
          <w:lang w:val="en-US"/>
        </w:rPr>
        <w:t>FM</w:t>
      </w:r>
      <w:r>
        <w:rPr>
          <w:color w:val="000000"/>
          <w:sz w:val="24"/>
          <w:szCs w:val="24"/>
        </w:rPr>
        <w:t xml:space="preserve">». </w:t>
      </w:r>
    </w:p>
    <w:p w:rsidR="004E2069" w:rsidRDefault="004E2069" w:rsidP="006D4726">
      <w:pPr>
        <w:widowControl w:val="0"/>
        <w:ind w:firstLine="426"/>
        <w:jc w:val="both"/>
        <w:rPr>
          <w:color w:val="000000"/>
          <w:sz w:val="24"/>
          <w:szCs w:val="24"/>
        </w:rPr>
      </w:pPr>
      <w:r>
        <w:rPr>
          <w:color w:val="000000"/>
          <w:sz w:val="24"/>
          <w:szCs w:val="24"/>
        </w:rPr>
        <w:t>С целью повышения экономической и финансовой грамотности населения Приднестровским республиканским банком при содействии Приднестровской государственной телерадиокомпании была записана серия интервью с Председателем ПРБ и первым заместителем председателя ПРБ, посвящённых разъяснению происходящих в республике экономических процессов.</w:t>
      </w:r>
    </w:p>
    <w:p w:rsidR="004E2069" w:rsidRDefault="004E2069" w:rsidP="006D4726">
      <w:pPr>
        <w:widowControl w:val="0"/>
        <w:ind w:firstLine="426"/>
        <w:jc w:val="both"/>
        <w:rPr>
          <w:color w:val="000000"/>
          <w:sz w:val="24"/>
          <w:szCs w:val="24"/>
        </w:rPr>
      </w:pPr>
      <w:r>
        <w:rPr>
          <w:sz w:val="24"/>
          <w:szCs w:val="24"/>
        </w:rPr>
        <w:t>Помимо этого Приднестровским республиканским банком в средствах массовой информации освещались вопросы развития безналичных расчётов. Данная деятельность направлена на популяризацию использования в расчётах современных электронных платёжных инструментов и средств платежа, систем дистанционного банковского обслуживания.</w:t>
      </w:r>
    </w:p>
    <w:p w:rsidR="004E2069" w:rsidRDefault="004E2069" w:rsidP="006D4726">
      <w:pPr>
        <w:widowControl w:val="0"/>
        <w:ind w:firstLine="426"/>
        <w:jc w:val="both"/>
        <w:rPr>
          <w:color w:val="000000"/>
          <w:sz w:val="24"/>
          <w:szCs w:val="24"/>
        </w:rPr>
      </w:pPr>
      <w:r>
        <w:rPr>
          <w:color w:val="000000"/>
          <w:sz w:val="24"/>
          <w:szCs w:val="24"/>
        </w:rPr>
        <w:t xml:space="preserve">Большая работа проводилась в сфере информирования как в печатных и электронных изданиях, так и на приднестровском телевидении о выпускаемых банком памятных монетах и банкнотах. Кроме того, для их популяризации на российском рынке продолжено сотрудничество с журналом «Водяной знак», выпускаемом при информационной поддержке Министерства финансов Российской Федерации, Банка России и ФГУП «Гознак», а также с российским нумизматическим порталом «Золотой червонец». </w:t>
      </w:r>
    </w:p>
    <w:p w:rsidR="004E2069" w:rsidRDefault="004E2069" w:rsidP="006D4726">
      <w:pPr>
        <w:widowControl w:val="0"/>
        <w:ind w:firstLine="426"/>
        <w:jc w:val="both"/>
        <w:rPr>
          <w:color w:val="000000"/>
          <w:sz w:val="24"/>
          <w:szCs w:val="24"/>
        </w:rPr>
      </w:pPr>
      <w:r>
        <w:rPr>
          <w:color w:val="000000"/>
          <w:sz w:val="24"/>
          <w:szCs w:val="24"/>
        </w:rPr>
        <w:t>Также в отчётном периоде продолжилось многолетнее сотрудничество центрального банка с Каталогом «MRI Bankers` Guide to Foreign Currency Edition» (Института исследования денежных отношений и иностранных валют) г. Хьюстон (США). На его страницах регулярно публиковалась актуальная информация о монетах и банкнотах Приднестровской Молдавской Республики.</w:t>
      </w:r>
    </w:p>
    <w:p w:rsidR="004E2069" w:rsidRDefault="004E2069" w:rsidP="006D4726">
      <w:pPr>
        <w:widowControl w:val="0"/>
        <w:ind w:firstLine="426"/>
        <w:jc w:val="both"/>
        <w:rPr>
          <w:color w:val="000000"/>
          <w:sz w:val="24"/>
          <w:szCs w:val="24"/>
        </w:rPr>
      </w:pPr>
      <w:r>
        <w:rPr>
          <w:color w:val="000000"/>
          <w:sz w:val="24"/>
          <w:szCs w:val="24"/>
        </w:rPr>
        <w:t xml:space="preserve">Традиционно центральным банком проводился конкурс на лучшие эскизные проекты памятных монет. Для получения необходимых консультаций при разработке эскизов памятных монет и буклетов, а также для подготовки плана выпуска памятных монет на предстоящий период продолжилось сотрудничество с министерствами и ведомствами Приднестровской Молдавской Республики, Главами государственных администраций городов и районов, а также с представителями музеев и Тираспольско-Дубоссарской епархией. </w:t>
      </w:r>
    </w:p>
    <w:p w:rsidR="004E2069" w:rsidRDefault="004E2069" w:rsidP="006D4726">
      <w:pPr>
        <w:widowControl w:val="0"/>
        <w:ind w:firstLine="426"/>
        <w:jc w:val="both"/>
        <w:rPr>
          <w:color w:val="000000"/>
          <w:sz w:val="24"/>
          <w:szCs w:val="24"/>
        </w:rPr>
      </w:pPr>
      <w:r>
        <w:rPr>
          <w:color w:val="000000"/>
          <w:sz w:val="24"/>
          <w:szCs w:val="24"/>
        </w:rPr>
        <w:t>В 2017 году продолжилась публикация информационно-аналитического журнала «Вестник Приднестровского республиканского банка», в котором размещались наиболее актуальные и подробные аналитические материалы о состоянии и развитии банковской системы Приднестровской Молдавской Республики, денежно-кредитной сферы, отражалась ситуация в основных секторах экономики, публиковались результаты макроэкономических исследований, мониторинга предприятий республики, данные платёжного баланса, банковская статистика и другая обзорная информация.</w:t>
      </w:r>
    </w:p>
    <w:p w:rsidR="004E2069" w:rsidRPr="00E85DD7" w:rsidRDefault="004E2069" w:rsidP="00691735">
      <w:pPr>
        <w:widowControl w:val="0"/>
        <w:spacing w:before="120" w:after="120"/>
        <w:ind w:firstLine="425"/>
        <w:jc w:val="both"/>
        <w:rPr>
          <w:i/>
          <w:iCs/>
          <w:sz w:val="24"/>
          <w:szCs w:val="24"/>
        </w:rPr>
      </w:pPr>
    </w:p>
    <w:p w:rsidR="004E2069" w:rsidRPr="00A061A3" w:rsidRDefault="004E2069" w:rsidP="00015D87">
      <w:pPr>
        <w:widowControl w:val="0"/>
        <w:rPr>
          <w:b/>
          <w:bCs/>
          <w:noProof/>
          <w:sz w:val="28"/>
          <w:szCs w:val="28"/>
        </w:rPr>
      </w:pPr>
      <w:r w:rsidRPr="00E85DD7">
        <w:rPr>
          <w:b/>
          <w:bCs/>
          <w:noProof/>
          <w:sz w:val="28"/>
          <w:szCs w:val="28"/>
        </w:rPr>
        <w:br w:type="page"/>
      </w:r>
      <w:r w:rsidRPr="00A061A3">
        <w:rPr>
          <w:b/>
          <w:bCs/>
          <w:noProof/>
          <w:sz w:val="28"/>
          <w:szCs w:val="28"/>
        </w:rPr>
        <w:t>РАЗДЕЛ 3. ОСНОВНЫЕ НОРМАТИВНО-ПРАВОВЫЕ АКТЫ ПРИДНЕСТРОВСКОГО РЕСПУБЛИКАНСКОГО БАНКА, ПРИНЯТЫЕ В 2017 ГОДУ</w:t>
      </w:r>
    </w:p>
    <w:p w:rsidR="004E2069" w:rsidRPr="001163E6" w:rsidRDefault="004E2069" w:rsidP="008512DA">
      <w:pPr>
        <w:widowControl w:val="0"/>
        <w:spacing w:before="120" w:after="120"/>
        <w:ind w:firstLine="425"/>
        <w:jc w:val="both"/>
        <w:rPr>
          <w:i/>
          <w:iCs/>
          <w:sz w:val="23"/>
          <w:szCs w:val="23"/>
        </w:rPr>
      </w:pPr>
      <w:r w:rsidRPr="001163E6">
        <w:rPr>
          <w:i/>
          <w:iCs/>
          <w:sz w:val="23"/>
          <w:szCs w:val="23"/>
        </w:rPr>
        <w:t>В сфере банковского регулирования и надзора:</w:t>
      </w:r>
    </w:p>
    <w:p w:rsidR="004E2069" w:rsidRPr="001163E6" w:rsidRDefault="004E2069" w:rsidP="00E90743">
      <w:pPr>
        <w:pStyle w:val="ListParagraph"/>
        <w:numPr>
          <w:ilvl w:val="0"/>
          <w:numId w:val="12"/>
        </w:numPr>
        <w:ind w:left="0" w:firstLine="426"/>
        <w:contextualSpacing/>
        <w:jc w:val="both"/>
        <w:rPr>
          <w:sz w:val="23"/>
          <w:szCs w:val="23"/>
        </w:rPr>
      </w:pPr>
      <w:r w:rsidRPr="001163E6">
        <w:rPr>
          <w:sz w:val="23"/>
          <w:szCs w:val="23"/>
        </w:rPr>
        <w:t xml:space="preserve">Указание Приднестровского республиканского банка от 23 января 2017 года </w:t>
      </w:r>
      <w:r w:rsidRPr="001163E6">
        <w:rPr>
          <w:sz w:val="23"/>
          <w:szCs w:val="23"/>
        </w:rPr>
        <w:br/>
        <w:t>№ 953-У «</w:t>
      </w:r>
      <w:r w:rsidRPr="001163E6">
        <w:rPr>
          <w:color w:val="003300"/>
          <w:sz w:val="23"/>
          <w:szCs w:val="23"/>
        </w:rPr>
        <w:t xml:space="preserve">О внесении изменения в Инструкцию Приднестровского республиканского банка от 21 ноября 2006 года № 18-И «О регулировании размера валютного риска в кредитных </w:t>
      </w:r>
      <w:r w:rsidRPr="001163E6">
        <w:rPr>
          <w:sz w:val="23"/>
          <w:szCs w:val="23"/>
        </w:rPr>
        <w:t>организациях Приднестровской Молдавской Республики»;</w:t>
      </w:r>
    </w:p>
    <w:p w:rsidR="004E2069" w:rsidRPr="001163E6" w:rsidRDefault="004E2069" w:rsidP="00E90743">
      <w:pPr>
        <w:pStyle w:val="ListParagraph"/>
        <w:numPr>
          <w:ilvl w:val="0"/>
          <w:numId w:val="12"/>
        </w:numPr>
        <w:ind w:left="0" w:firstLine="425"/>
        <w:contextualSpacing/>
        <w:jc w:val="both"/>
        <w:rPr>
          <w:sz w:val="23"/>
          <w:szCs w:val="23"/>
        </w:rPr>
      </w:pPr>
      <w:r w:rsidRPr="001163E6">
        <w:rPr>
          <w:sz w:val="23"/>
          <w:szCs w:val="23"/>
        </w:rPr>
        <w:t>Указание Приднестровского республиканского банка от 7 марта 2017 года</w:t>
      </w:r>
      <w:r>
        <w:rPr>
          <w:sz w:val="23"/>
          <w:szCs w:val="23"/>
        </w:rPr>
        <w:t xml:space="preserve"> </w:t>
      </w:r>
      <w:r w:rsidRPr="001163E6">
        <w:rPr>
          <w:sz w:val="23"/>
          <w:szCs w:val="23"/>
        </w:rPr>
        <w:br/>
        <w:t xml:space="preserve">№ 966-У «О внесении изменений в Положение Приднестровского республиканского банка от </w:t>
      </w:r>
      <w:r>
        <w:rPr>
          <w:sz w:val="23"/>
          <w:szCs w:val="23"/>
        </w:rPr>
        <w:br/>
      </w:r>
      <w:r w:rsidRPr="001163E6">
        <w:rPr>
          <w:sz w:val="23"/>
          <w:szCs w:val="23"/>
        </w:rPr>
        <w:t>9 ноября 2007 года № 83-П «О кредитных организациях, осуществляющих отдельные банковские операции»;</w:t>
      </w:r>
    </w:p>
    <w:p w:rsidR="004E2069" w:rsidRPr="001163E6" w:rsidRDefault="004E2069" w:rsidP="00E90743">
      <w:pPr>
        <w:pStyle w:val="ListParagraph"/>
        <w:numPr>
          <w:ilvl w:val="0"/>
          <w:numId w:val="12"/>
        </w:numPr>
        <w:ind w:left="0" w:firstLine="425"/>
        <w:contextualSpacing/>
        <w:jc w:val="both"/>
        <w:rPr>
          <w:sz w:val="23"/>
          <w:szCs w:val="23"/>
        </w:rPr>
      </w:pPr>
      <w:r w:rsidRPr="001163E6">
        <w:rPr>
          <w:sz w:val="23"/>
          <w:szCs w:val="23"/>
        </w:rPr>
        <w:t xml:space="preserve">Указание Приднестровского республиканского банка от 9 марта 2017 года № 967-У </w:t>
      </w:r>
      <w:r>
        <w:rPr>
          <w:sz w:val="23"/>
          <w:szCs w:val="23"/>
        </w:rPr>
        <w:br/>
      </w:r>
      <w:r w:rsidRPr="001163E6">
        <w:rPr>
          <w:sz w:val="23"/>
          <w:szCs w:val="23"/>
        </w:rPr>
        <w:t xml:space="preserve">«О внесении изменений в Инструкцию Приднестровского республиканского банка от </w:t>
      </w:r>
      <w:r w:rsidRPr="001163E6">
        <w:rPr>
          <w:sz w:val="23"/>
          <w:szCs w:val="23"/>
        </w:rPr>
        <w:br/>
        <w:t>21 ноября 2006 года № 18-И «О регулировании размера валютного риска в кредитных организациях Приднестровской Молдавской Республики»;</w:t>
      </w:r>
    </w:p>
    <w:p w:rsidR="004E2069" w:rsidRPr="001163E6" w:rsidRDefault="004E2069" w:rsidP="00E90743">
      <w:pPr>
        <w:pStyle w:val="ListParagraph"/>
        <w:numPr>
          <w:ilvl w:val="0"/>
          <w:numId w:val="12"/>
        </w:numPr>
        <w:ind w:left="0" w:firstLine="425"/>
        <w:contextualSpacing/>
        <w:jc w:val="both"/>
        <w:rPr>
          <w:sz w:val="23"/>
          <w:szCs w:val="23"/>
        </w:rPr>
      </w:pPr>
      <w:r w:rsidRPr="001163E6">
        <w:rPr>
          <w:sz w:val="23"/>
          <w:szCs w:val="23"/>
        </w:rPr>
        <w:t xml:space="preserve">Указание Приднестровского республиканского банка от 9 марта 2017 года № 968-У </w:t>
      </w:r>
      <w:r>
        <w:rPr>
          <w:sz w:val="23"/>
          <w:szCs w:val="23"/>
        </w:rPr>
        <w:br/>
      </w:r>
      <w:r w:rsidRPr="001163E6">
        <w:rPr>
          <w:sz w:val="23"/>
          <w:szCs w:val="23"/>
        </w:rPr>
        <w:t xml:space="preserve">«О внесении изменения в Указание Приднестровского республиканского банка от </w:t>
      </w:r>
      <w:r w:rsidRPr="001163E6">
        <w:rPr>
          <w:sz w:val="23"/>
          <w:szCs w:val="23"/>
        </w:rPr>
        <w:br/>
        <w:t>23 января 2016 года № 889-У «О временном порядке применения некоторых нормативных актов Приднестровского республиканского банка»;</w:t>
      </w:r>
    </w:p>
    <w:p w:rsidR="004E2069" w:rsidRPr="001163E6" w:rsidRDefault="004E2069" w:rsidP="00E90743">
      <w:pPr>
        <w:pStyle w:val="ListParagraph"/>
        <w:numPr>
          <w:ilvl w:val="0"/>
          <w:numId w:val="12"/>
        </w:numPr>
        <w:ind w:left="0" w:firstLine="425"/>
        <w:contextualSpacing/>
        <w:jc w:val="both"/>
        <w:rPr>
          <w:sz w:val="23"/>
          <w:szCs w:val="23"/>
        </w:rPr>
      </w:pPr>
      <w:r w:rsidRPr="001163E6">
        <w:rPr>
          <w:sz w:val="23"/>
          <w:szCs w:val="23"/>
        </w:rPr>
        <w:t xml:space="preserve">Указание Приднестровского республиканского банка от 31 марта 2017 года </w:t>
      </w:r>
      <w:r w:rsidRPr="001163E6">
        <w:rPr>
          <w:sz w:val="23"/>
          <w:szCs w:val="23"/>
        </w:rPr>
        <w:br/>
        <w:t xml:space="preserve">№ 977-У «О внесении изменений в Положение Приднестровского республиканского банка от </w:t>
      </w:r>
      <w:r>
        <w:rPr>
          <w:sz w:val="23"/>
          <w:szCs w:val="23"/>
        </w:rPr>
        <w:br/>
      </w:r>
      <w:r w:rsidRPr="001163E6">
        <w:rPr>
          <w:sz w:val="23"/>
          <w:szCs w:val="23"/>
        </w:rPr>
        <w:t>10 ноября 2009 года № 91-П «О порядке формирования и использования кредитными организациями фонда риска»;</w:t>
      </w:r>
    </w:p>
    <w:p w:rsidR="004E2069" w:rsidRPr="001163E6" w:rsidRDefault="004E2069" w:rsidP="00E90743">
      <w:pPr>
        <w:pStyle w:val="ListParagraph"/>
        <w:numPr>
          <w:ilvl w:val="0"/>
          <w:numId w:val="12"/>
        </w:numPr>
        <w:ind w:left="0" w:firstLine="425"/>
        <w:contextualSpacing/>
        <w:jc w:val="both"/>
        <w:rPr>
          <w:sz w:val="23"/>
          <w:szCs w:val="23"/>
        </w:rPr>
      </w:pPr>
      <w:r w:rsidRPr="001163E6">
        <w:rPr>
          <w:sz w:val="23"/>
          <w:szCs w:val="23"/>
        </w:rPr>
        <w:t xml:space="preserve">Указание Приднестровского республиканского банка от 26 апреля 2017 года </w:t>
      </w:r>
      <w:r w:rsidRPr="001163E6">
        <w:rPr>
          <w:sz w:val="23"/>
          <w:szCs w:val="23"/>
        </w:rPr>
        <w:br/>
        <w:t>№ 983 -У «О внесении дополнений в Инструкцию Приднестровского республиканского банка от 9 ноября 2007 года № 22-И «О порядке регулирования деятельности кредитных организаций»;</w:t>
      </w:r>
    </w:p>
    <w:p w:rsidR="004E2069" w:rsidRPr="001163E6" w:rsidRDefault="004E2069" w:rsidP="00E90743">
      <w:pPr>
        <w:pStyle w:val="ListParagraph"/>
        <w:numPr>
          <w:ilvl w:val="0"/>
          <w:numId w:val="12"/>
        </w:numPr>
        <w:ind w:left="0" w:firstLine="425"/>
        <w:contextualSpacing/>
        <w:jc w:val="both"/>
        <w:rPr>
          <w:sz w:val="23"/>
          <w:szCs w:val="23"/>
        </w:rPr>
      </w:pPr>
      <w:r w:rsidRPr="001163E6">
        <w:rPr>
          <w:sz w:val="23"/>
          <w:szCs w:val="23"/>
        </w:rPr>
        <w:t xml:space="preserve">Указание Приднестровского республиканского банка от 29 мая 2017 года </w:t>
      </w:r>
      <w:r w:rsidRPr="001163E6">
        <w:rPr>
          <w:sz w:val="23"/>
          <w:szCs w:val="23"/>
        </w:rPr>
        <w:br/>
        <w:t>№ 985-У «О внесении изменений и дополнений в некоторые нормативные акты Приднестровского республиканского банка»;</w:t>
      </w:r>
    </w:p>
    <w:p w:rsidR="004E2069" w:rsidRPr="001163E6" w:rsidRDefault="004E2069" w:rsidP="00E90743">
      <w:pPr>
        <w:pStyle w:val="ListParagraph"/>
        <w:numPr>
          <w:ilvl w:val="0"/>
          <w:numId w:val="12"/>
        </w:numPr>
        <w:ind w:left="0" w:firstLine="425"/>
        <w:contextualSpacing/>
        <w:jc w:val="both"/>
        <w:rPr>
          <w:sz w:val="23"/>
          <w:szCs w:val="23"/>
        </w:rPr>
      </w:pPr>
      <w:r w:rsidRPr="001163E6">
        <w:rPr>
          <w:sz w:val="23"/>
          <w:szCs w:val="23"/>
        </w:rPr>
        <w:t xml:space="preserve">Указание Приднестровского республиканского банка от 5 июля 2017 года № 996-У </w:t>
      </w:r>
      <w:r>
        <w:rPr>
          <w:sz w:val="23"/>
          <w:szCs w:val="23"/>
        </w:rPr>
        <w:br/>
      </w:r>
      <w:r w:rsidRPr="001163E6">
        <w:rPr>
          <w:sz w:val="23"/>
          <w:szCs w:val="23"/>
        </w:rPr>
        <w:t xml:space="preserve">«О внесении изменения и дополнений в Положение ПРБ от 9 ноября 2007 года № 83-П </w:t>
      </w:r>
      <w:r>
        <w:rPr>
          <w:sz w:val="23"/>
          <w:szCs w:val="23"/>
        </w:rPr>
        <w:br/>
      </w:r>
      <w:r w:rsidRPr="001163E6">
        <w:rPr>
          <w:sz w:val="23"/>
          <w:szCs w:val="23"/>
        </w:rPr>
        <w:t>«О кредитных организациях, осуществляющих отдельные банковские операции»;</w:t>
      </w:r>
    </w:p>
    <w:p w:rsidR="004E2069" w:rsidRPr="001163E6" w:rsidRDefault="004E2069" w:rsidP="00E90743">
      <w:pPr>
        <w:pStyle w:val="ListParagraph"/>
        <w:numPr>
          <w:ilvl w:val="0"/>
          <w:numId w:val="12"/>
        </w:numPr>
        <w:ind w:left="0" w:firstLine="425"/>
        <w:contextualSpacing/>
        <w:jc w:val="both"/>
        <w:rPr>
          <w:sz w:val="23"/>
          <w:szCs w:val="23"/>
        </w:rPr>
      </w:pPr>
      <w:r w:rsidRPr="001163E6">
        <w:rPr>
          <w:sz w:val="23"/>
          <w:szCs w:val="23"/>
        </w:rPr>
        <w:t xml:space="preserve">Указание Приднестровского республиканского банка от 10 августа 2017 года </w:t>
      </w:r>
      <w:r w:rsidRPr="001163E6">
        <w:rPr>
          <w:sz w:val="23"/>
          <w:szCs w:val="23"/>
        </w:rPr>
        <w:br/>
        <w:t>№ 1009-У «О внесении изменений в Положение Приднестровского республиканского банка от 21 ноября 2006 года № 71-П «О внутренних структурных подразделениях (отделениях) банка и небанковской кредитной организации»;</w:t>
      </w:r>
    </w:p>
    <w:p w:rsidR="004E2069" w:rsidRPr="001163E6" w:rsidRDefault="004E2069" w:rsidP="00E90743">
      <w:pPr>
        <w:pStyle w:val="ListParagraph"/>
        <w:numPr>
          <w:ilvl w:val="0"/>
          <w:numId w:val="12"/>
        </w:numPr>
        <w:tabs>
          <w:tab w:val="left" w:pos="851"/>
        </w:tabs>
        <w:ind w:left="0" w:firstLine="425"/>
        <w:contextualSpacing/>
        <w:jc w:val="both"/>
        <w:rPr>
          <w:sz w:val="23"/>
          <w:szCs w:val="23"/>
        </w:rPr>
      </w:pPr>
      <w:r w:rsidRPr="001163E6">
        <w:rPr>
          <w:sz w:val="23"/>
          <w:szCs w:val="23"/>
        </w:rPr>
        <w:t xml:space="preserve">Указание Приднестровского республиканского банка от 8 сентября 2017 года </w:t>
      </w:r>
      <w:r w:rsidRPr="001163E6">
        <w:rPr>
          <w:sz w:val="23"/>
          <w:szCs w:val="23"/>
        </w:rPr>
        <w:br/>
        <w:t xml:space="preserve">№ </w:t>
      </w:r>
      <w:hyperlink r:id="rId9" w:history="1">
        <w:r w:rsidRPr="001163E6">
          <w:rPr>
            <w:sz w:val="23"/>
            <w:szCs w:val="23"/>
          </w:rPr>
          <w:t>1015-У</w:t>
        </w:r>
      </w:hyperlink>
      <w:r w:rsidRPr="001163E6">
        <w:rPr>
          <w:sz w:val="23"/>
          <w:szCs w:val="23"/>
        </w:rPr>
        <w:t xml:space="preserve"> «О внесении изменения в Положение Приднестровского республиканского банка от </w:t>
      </w:r>
      <w:r>
        <w:rPr>
          <w:sz w:val="23"/>
          <w:szCs w:val="23"/>
        </w:rPr>
        <w:br/>
      </w:r>
      <w:r w:rsidRPr="001163E6">
        <w:rPr>
          <w:sz w:val="23"/>
          <w:szCs w:val="23"/>
        </w:rPr>
        <w:t>10 ноября 2009 года № 91-П «О порядке формирования и использования кредитными организациями фонда риска»;</w:t>
      </w:r>
    </w:p>
    <w:p w:rsidR="004E2069" w:rsidRPr="001163E6" w:rsidRDefault="004E2069" w:rsidP="00E90743">
      <w:pPr>
        <w:pStyle w:val="ListParagraph"/>
        <w:numPr>
          <w:ilvl w:val="0"/>
          <w:numId w:val="12"/>
        </w:numPr>
        <w:tabs>
          <w:tab w:val="left" w:pos="851"/>
        </w:tabs>
        <w:ind w:left="0" w:firstLine="425"/>
        <w:contextualSpacing/>
        <w:jc w:val="both"/>
        <w:rPr>
          <w:sz w:val="23"/>
          <w:szCs w:val="23"/>
        </w:rPr>
      </w:pPr>
      <w:r w:rsidRPr="001163E6">
        <w:rPr>
          <w:sz w:val="23"/>
          <w:szCs w:val="23"/>
        </w:rPr>
        <w:t xml:space="preserve">Указание Приднестровского республиканского банка от 22 ноября 2017 года </w:t>
      </w:r>
      <w:r w:rsidRPr="001163E6">
        <w:rPr>
          <w:sz w:val="23"/>
          <w:szCs w:val="23"/>
        </w:rPr>
        <w:br/>
        <w:t>№ 1020-У «О внесении изменений и дополнений в Положение Приднестровского республиканского банка от 10 ноября 2009 года № 91-П «О порядке формирования и использования кредитными организациями фонда риска».</w:t>
      </w:r>
    </w:p>
    <w:p w:rsidR="004E2069" w:rsidRPr="001163E6" w:rsidRDefault="004E2069" w:rsidP="00980420">
      <w:pPr>
        <w:pStyle w:val="111"/>
        <w:spacing w:before="120" w:after="120"/>
        <w:ind w:firstLine="425"/>
        <w:jc w:val="both"/>
        <w:rPr>
          <w:i/>
          <w:sz w:val="23"/>
          <w:szCs w:val="23"/>
        </w:rPr>
      </w:pPr>
      <w:r w:rsidRPr="001163E6">
        <w:rPr>
          <w:i/>
          <w:sz w:val="23"/>
          <w:szCs w:val="23"/>
        </w:rPr>
        <w:t>В области валютного регулирования и валютного контроля:</w:t>
      </w:r>
    </w:p>
    <w:p w:rsidR="004E2069" w:rsidRPr="001163E6" w:rsidRDefault="004E2069" w:rsidP="00E90743">
      <w:pPr>
        <w:pStyle w:val="111"/>
        <w:numPr>
          <w:ilvl w:val="0"/>
          <w:numId w:val="15"/>
        </w:numPr>
        <w:spacing w:before="0" w:after="0"/>
        <w:ind w:left="0" w:firstLine="425"/>
        <w:jc w:val="both"/>
        <w:rPr>
          <w:color w:val="003300"/>
          <w:sz w:val="23"/>
          <w:szCs w:val="23"/>
        </w:rPr>
      </w:pPr>
      <w:r w:rsidRPr="001163E6">
        <w:rPr>
          <w:sz w:val="23"/>
          <w:szCs w:val="23"/>
        </w:rPr>
        <w:t xml:space="preserve">Указание Приднестровского республиканского банка от 10 января 2017 года </w:t>
      </w:r>
      <w:r w:rsidRPr="001163E6">
        <w:rPr>
          <w:sz w:val="23"/>
          <w:szCs w:val="23"/>
        </w:rPr>
        <w:br/>
        <w:t>№ 950-У «</w:t>
      </w:r>
      <w:r w:rsidRPr="001163E6">
        <w:rPr>
          <w:color w:val="003300"/>
          <w:sz w:val="23"/>
          <w:szCs w:val="23"/>
        </w:rPr>
        <w:t>О внесении изменений и дополнения в Инструкцию Приднестровского республиканского банка от 9 июля 2010 года № 31-И «О порядке осуществления валютного контроля за платежами в иностранной валюте в пользу нерезидентов»;</w:t>
      </w:r>
    </w:p>
    <w:p w:rsidR="004E2069" w:rsidRPr="001163E6" w:rsidRDefault="004E2069" w:rsidP="00E90743">
      <w:pPr>
        <w:pStyle w:val="111"/>
        <w:numPr>
          <w:ilvl w:val="0"/>
          <w:numId w:val="15"/>
        </w:numPr>
        <w:spacing w:before="0" w:after="0"/>
        <w:ind w:left="0" w:firstLine="425"/>
        <w:jc w:val="both"/>
        <w:rPr>
          <w:color w:val="003300"/>
          <w:sz w:val="23"/>
          <w:szCs w:val="23"/>
        </w:rPr>
      </w:pPr>
      <w:r w:rsidRPr="001163E6">
        <w:rPr>
          <w:sz w:val="23"/>
          <w:szCs w:val="23"/>
        </w:rPr>
        <w:t xml:space="preserve">Указание Приднестровского республиканского банка от 13 января 2017 года </w:t>
      </w:r>
      <w:r w:rsidRPr="001163E6">
        <w:rPr>
          <w:sz w:val="23"/>
          <w:szCs w:val="23"/>
        </w:rPr>
        <w:br/>
        <w:t>№ 951-У «</w:t>
      </w:r>
      <w:r w:rsidRPr="001163E6">
        <w:rPr>
          <w:color w:val="003300"/>
          <w:sz w:val="23"/>
          <w:szCs w:val="23"/>
        </w:rPr>
        <w:t xml:space="preserve">О внесении изменения в Положение Приднестровского республиканского банка от </w:t>
      </w:r>
      <w:r>
        <w:rPr>
          <w:color w:val="003300"/>
          <w:sz w:val="23"/>
          <w:szCs w:val="23"/>
        </w:rPr>
        <w:br/>
      </w:r>
      <w:r w:rsidRPr="001163E6">
        <w:rPr>
          <w:color w:val="003300"/>
          <w:sz w:val="23"/>
          <w:szCs w:val="23"/>
        </w:rPr>
        <w:t>23 апреля 2002 года № 23-П «О порядке совершения хозяйствующими субъектами Приднестровской Молдавской Республики операций покупки и обязательной обратной продажи иностранной валюты на внутреннем валютном рынке Приднестровской Молдавской Республики»;</w:t>
      </w:r>
    </w:p>
    <w:p w:rsidR="004E2069" w:rsidRPr="001163E6" w:rsidRDefault="004E2069" w:rsidP="00E90743">
      <w:pPr>
        <w:pStyle w:val="111"/>
        <w:numPr>
          <w:ilvl w:val="0"/>
          <w:numId w:val="15"/>
        </w:numPr>
        <w:spacing w:before="0" w:after="0"/>
        <w:ind w:left="0" w:firstLine="425"/>
        <w:jc w:val="both"/>
        <w:rPr>
          <w:color w:val="003300"/>
          <w:sz w:val="23"/>
          <w:szCs w:val="23"/>
        </w:rPr>
      </w:pPr>
      <w:r w:rsidRPr="001163E6">
        <w:rPr>
          <w:sz w:val="23"/>
          <w:szCs w:val="23"/>
        </w:rPr>
        <w:t xml:space="preserve">Указание Приднестровского республиканского банка от 20 января 2017 года </w:t>
      </w:r>
      <w:r w:rsidRPr="001163E6">
        <w:rPr>
          <w:sz w:val="23"/>
          <w:szCs w:val="23"/>
        </w:rPr>
        <w:br/>
        <w:t>№ 952-У «</w:t>
      </w:r>
      <w:r w:rsidRPr="001163E6">
        <w:rPr>
          <w:color w:val="003300"/>
          <w:sz w:val="23"/>
          <w:szCs w:val="23"/>
        </w:rPr>
        <w:t xml:space="preserve">О внесении изменения в Положение Приднестровского республиканского банка от </w:t>
      </w:r>
      <w:r>
        <w:rPr>
          <w:color w:val="003300"/>
          <w:sz w:val="23"/>
          <w:szCs w:val="23"/>
        </w:rPr>
        <w:br/>
      </w:r>
      <w:r w:rsidRPr="001163E6">
        <w:rPr>
          <w:color w:val="003300"/>
          <w:sz w:val="23"/>
          <w:szCs w:val="23"/>
        </w:rPr>
        <w:t>17 августа 2006 года № 65-П «О порядке проведения операций с иностранной валютой в Приднестровской Молдавской Республике»;</w:t>
      </w:r>
    </w:p>
    <w:p w:rsidR="004E2069" w:rsidRPr="001163E6" w:rsidRDefault="004E2069" w:rsidP="00E90743">
      <w:pPr>
        <w:pStyle w:val="111"/>
        <w:numPr>
          <w:ilvl w:val="0"/>
          <w:numId w:val="15"/>
        </w:numPr>
        <w:spacing w:before="0" w:after="0"/>
        <w:ind w:left="0" w:firstLine="425"/>
        <w:jc w:val="both"/>
        <w:rPr>
          <w:color w:val="003300"/>
          <w:sz w:val="23"/>
          <w:szCs w:val="23"/>
        </w:rPr>
      </w:pPr>
      <w:r w:rsidRPr="001163E6">
        <w:rPr>
          <w:sz w:val="23"/>
          <w:szCs w:val="23"/>
        </w:rPr>
        <w:t xml:space="preserve">Указание Приднестровского республиканского банка от 30 января 2017 года </w:t>
      </w:r>
      <w:r w:rsidRPr="001163E6">
        <w:rPr>
          <w:sz w:val="23"/>
          <w:szCs w:val="23"/>
        </w:rPr>
        <w:br/>
        <w:t>№ 954-У «</w:t>
      </w:r>
      <w:r w:rsidRPr="001163E6">
        <w:rPr>
          <w:color w:val="003300"/>
          <w:sz w:val="23"/>
          <w:szCs w:val="23"/>
        </w:rPr>
        <w:t xml:space="preserve">О внесении изменения в Положение Приднестровского республиканского банка от </w:t>
      </w:r>
      <w:r>
        <w:rPr>
          <w:color w:val="003300"/>
          <w:sz w:val="23"/>
          <w:szCs w:val="23"/>
        </w:rPr>
        <w:br/>
      </w:r>
      <w:r w:rsidRPr="001163E6">
        <w:rPr>
          <w:color w:val="003300"/>
          <w:sz w:val="23"/>
          <w:szCs w:val="23"/>
        </w:rPr>
        <w:t>13 июня 2006 года № 63-П «О порядке деятельности обменных пунктов на территории Приднестровской Молдавской Республики»;</w:t>
      </w:r>
    </w:p>
    <w:p w:rsidR="004E2069" w:rsidRPr="001163E6" w:rsidRDefault="004E2069" w:rsidP="00E90743">
      <w:pPr>
        <w:pStyle w:val="111"/>
        <w:numPr>
          <w:ilvl w:val="0"/>
          <w:numId w:val="15"/>
        </w:numPr>
        <w:spacing w:before="0" w:after="0"/>
        <w:ind w:left="0" w:firstLine="425"/>
        <w:jc w:val="both"/>
        <w:rPr>
          <w:color w:val="003300"/>
          <w:sz w:val="23"/>
          <w:szCs w:val="23"/>
        </w:rPr>
      </w:pPr>
      <w:r w:rsidRPr="001163E6">
        <w:rPr>
          <w:sz w:val="23"/>
          <w:szCs w:val="23"/>
        </w:rPr>
        <w:t xml:space="preserve">Указание Приднестровского республиканского банка от 16 февраля 2017 года </w:t>
      </w:r>
      <w:r w:rsidRPr="001163E6">
        <w:rPr>
          <w:sz w:val="23"/>
          <w:szCs w:val="23"/>
        </w:rPr>
        <w:br/>
        <w:t xml:space="preserve">№ 958-У «О внесении изменений в Положение Приднестровского республиканского банка от </w:t>
      </w:r>
      <w:r>
        <w:rPr>
          <w:sz w:val="23"/>
          <w:szCs w:val="23"/>
        </w:rPr>
        <w:br/>
      </w:r>
      <w:r w:rsidRPr="001163E6">
        <w:rPr>
          <w:sz w:val="23"/>
          <w:szCs w:val="23"/>
        </w:rPr>
        <w:t>19 июня 2007 года № 76-П «О порядке проведения валютного аукциона Приднестровского республиканского банка»;</w:t>
      </w:r>
    </w:p>
    <w:p w:rsidR="004E2069" w:rsidRPr="001163E6" w:rsidRDefault="004E2069" w:rsidP="00E90743">
      <w:pPr>
        <w:pStyle w:val="111"/>
        <w:numPr>
          <w:ilvl w:val="0"/>
          <w:numId w:val="15"/>
        </w:numPr>
        <w:spacing w:before="0" w:after="0"/>
        <w:ind w:left="0" w:firstLine="425"/>
        <w:jc w:val="both"/>
        <w:rPr>
          <w:color w:val="003300"/>
          <w:sz w:val="23"/>
          <w:szCs w:val="23"/>
        </w:rPr>
      </w:pPr>
      <w:r w:rsidRPr="001163E6">
        <w:rPr>
          <w:sz w:val="23"/>
          <w:szCs w:val="23"/>
        </w:rPr>
        <w:t xml:space="preserve">Указание Приднестровского республиканского банка от 7 марта 2017 года № 965-У </w:t>
      </w:r>
      <w:r>
        <w:rPr>
          <w:sz w:val="23"/>
          <w:szCs w:val="23"/>
        </w:rPr>
        <w:br/>
      </w:r>
      <w:r w:rsidRPr="001163E6">
        <w:rPr>
          <w:sz w:val="23"/>
          <w:szCs w:val="23"/>
        </w:rPr>
        <w:t xml:space="preserve">«О внесении изменений в Положение Приднестровского республиканского банка от </w:t>
      </w:r>
      <w:r w:rsidRPr="001163E6">
        <w:rPr>
          <w:sz w:val="23"/>
          <w:szCs w:val="23"/>
        </w:rPr>
        <w:br/>
        <w:t>20 ноября 2002 года № 25-П «О порядке реализации гражданам на территории Приднестровской Молдавской Республики товаров (работ, услуг) за наличную иностранную валюту»;</w:t>
      </w:r>
    </w:p>
    <w:p w:rsidR="004E2069" w:rsidRPr="001163E6" w:rsidRDefault="004E2069" w:rsidP="00E90743">
      <w:pPr>
        <w:pStyle w:val="111"/>
        <w:numPr>
          <w:ilvl w:val="0"/>
          <w:numId w:val="15"/>
        </w:numPr>
        <w:spacing w:before="0" w:after="0"/>
        <w:ind w:left="0" w:firstLine="425"/>
        <w:jc w:val="both"/>
        <w:rPr>
          <w:color w:val="003300"/>
          <w:sz w:val="23"/>
          <w:szCs w:val="23"/>
        </w:rPr>
      </w:pPr>
      <w:r w:rsidRPr="001163E6">
        <w:rPr>
          <w:sz w:val="23"/>
          <w:szCs w:val="23"/>
        </w:rPr>
        <w:t xml:space="preserve">Указание Приднестровского республиканского банка от 24 марта 2017 года </w:t>
      </w:r>
      <w:r w:rsidRPr="001163E6">
        <w:rPr>
          <w:sz w:val="23"/>
          <w:szCs w:val="23"/>
        </w:rPr>
        <w:br/>
        <w:t>№ 975-У</w:t>
      </w:r>
      <w:r w:rsidRPr="001163E6">
        <w:rPr>
          <w:color w:val="003300"/>
          <w:sz w:val="23"/>
          <w:szCs w:val="23"/>
        </w:rPr>
        <w:t xml:space="preserve"> «О внесении изменения в Положение Приднестровского республиканского банка от 19 июня 2007 года № 75-П «Об осуществлении обязательной продажи части валютной выручки»;</w:t>
      </w:r>
    </w:p>
    <w:p w:rsidR="004E2069" w:rsidRPr="001163E6" w:rsidRDefault="004E2069" w:rsidP="00E90743">
      <w:pPr>
        <w:pStyle w:val="111"/>
        <w:numPr>
          <w:ilvl w:val="0"/>
          <w:numId w:val="15"/>
        </w:numPr>
        <w:spacing w:before="0" w:after="0"/>
        <w:ind w:left="0" w:firstLine="425"/>
        <w:jc w:val="both"/>
        <w:rPr>
          <w:color w:val="003300"/>
          <w:sz w:val="23"/>
          <w:szCs w:val="23"/>
        </w:rPr>
      </w:pPr>
      <w:r w:rsidRPr="001163E6">
        <w:rPr>
          <w:sz w:val="23"/>
          <w:szCs w:val="23"/>
        </w:rPr>
        <w:t xml:space="preserve">Указание Приднестровского республиканского банка от 3 апреля 2017 года </w:t>
      </w:r>
      <w:r w:rsidRPr="001163E6">
        <w:rPr>
          <w:sz w:val="23"/>
          <w:szCs w:val="23"/>
        </w:rPr>
        <w:br/>
        <w:t>№ 976-У «О внесении изменений и дополнений в Положение Приднестровского республиканского банка от 17 августа 2006 года № 65-П «О порядке проведения операций с иностранной валютой в Приднестровской Молдавской Республике»;</w:t>
      </w:r>
    </w:p>
    <w:p w:rsidR="004E2069" w:rsidRPr="001163E6" w:rsidRDefault="004E2069" w:rsidP="00E90743">
      <w:pPr>
        <w:pStyle w:val="111"/>
        <w:numPr>
          <w:ilvl w:val="0"/>
          <w:numId w:val="15"/>
        </w:numPr>
        <w:spacing w:before="0" w:after="0"/>
        <w:ind w:left="0" w:firstLine="425"/>
        <w:jc w:val="both"/>
        <w:rPr>
          <w:color w:val="003300"/>
          <w:sz w:val="23"/>
          <w:szCs w:val="23"/>
        </w:rPr>
      </w:pPr>
      <w:r w:rsidRPr="001163E6">
        <w:rPr>
          <w:sz w:val="23"/>
          <w:szCs w:val="23"/>
        </w:rPr>
        <w:t xml:space="preserve">Указание Приднестровского республиканского банка от 13 апреля 2017 года </w:t>
      </w:r>
      <w:r w:rsidRPr="001163E6">
        <w:rPr>
          <w:sz w:val="23"/>
          <w:szCs w:val="23"/>
        </w:rPr>
        <w:br/>
        <w:t>№ 979-У «О внесении изменений и дополнений в Положение Приднестровского республиканского банка от 13 июня 2006 года № 63-П «О порядке деятельности обменных пунктов на территории Приднестровской Молдавской Республики»;</w:t>
      </w:r>
    </w:p>
    <w:p w:rsidR="004E2069" w:rsidRPr="001163E6" w:rsidRDefault="004E2069" w:rsidP="00E90743">
      <w:pPr>
        <w:pStyle w:val="111"/>
        <w:numPr>
          <w:ilvl w:val="0"/>
          <w:numId w:val="15"/>
        </w:numPr>
        <w:tabs>
          <w:tab w:val="left" w:pos="851"/>
        </w:tabs>
        <w:spacing w:before="0" w:after="0"/>
        <w:ind w:left="0" w:firstLine="425"/>
        <w:jc w:val="both"/>
        <w:rPr>
          <w:color w:val="003300"/>
          <w:sz w:val="23"/>
          <w:szCs w:val="23"/>
        </w:rPr>
      </w:pPr>
      <w:r w:rsidRPr="001163E6">
        <w:rPr>
          <w:sz w:val="23"/>
          <w:szCs w:val="23"/>
        </w:rPr>
        <w:t xml:space="preserve">Указание Приднестровского республиканского банка от 21 апреля 2017 года </w:t>
      </w:r>
      <w:r w:rsidRPr="001163E6">
        <w:rPr>
          <w:sz w:val="23"/>
          <w:szCs w:val="23"/>
        </w:rPr>
        <w:br/>
        <w:t xml:space="preserve">№ 980-У «О внесении изменения в Указание Приднестровского республиканского банка от </w:t>
      </w:r>
      <w:r>
        <w:rPr>
          <w:sz w:val="23"/>
          <w:szCs w:val="23"/>
        </w:rPr>
        <w:br/>
      </w:r>
      <w:r w:rsidRPr="001163E6">
        <w:rPr>
          <w:sz w:val="23"/>
          <w:szCs w:val="23"/>
        </w:rPr>
        <w:t>30 октября 2015 года № 874-У «О внесении изменений и дополнений в Положение Приднестровского республиканского банка от 13 июня 2006 года № 63-П «О порядке деятельности обменных пунктов на территории Приднестровской Молдавской Республики»;</w:t>
      </w:r>
    </w:p>
    <w:p w:rsidR="004E2069" w:rsidRPr="001163E6" w:rsidRDefault="004E2069" w:rsidP="00E90743">
      <w:pPr>
        <w:pStyle w:val="111"/>
        <w:numPr>
          <w:ilvl w:val="0"/>
          <w:numId w:val="15"/>
        </w:numPr>
        <w:tabs>
          <w:tab w:val="left" w:pos="851"/>
        </w:tabs>
        <w:spacing w:before="0" w:after="0"/>
        <w:ind w:left="0" w:firstLine="425"/>
        <w:jc w:val="both"/>
        <w:rPr>
          <w:color w:val="003300"/>
          <w:sz w:val="23"/>
          <w:szCs w:val="23"/>
        </w:rPr>
      </w:pPr>
      <w:r w:rsidRPr="001163E6">
        <w:rPr>
          <w:sz w:val="23"/>
          <w:szCs w:val="23"/>
        </w:rPr>
        <w:t xml:space="preserve">Указание Приднестровского республиканского банка от 25 апреля 2017 года </w:t>
      </w:r>
      <w:r w:rsidRPr="001163E6">
        <w:rPr>
          <w:sz w:val="23"/>
          <w:szCs w:val="23"/>
        </w:rPr>
        <w:br/>
        <w:t xml:space="preserve">№ 981-У «О внесении изменений в Положение Приднестровского республиканского банка от </w:t>
      </w:r>
      <w:r>
        <w:rPr>
          <w:sz w:val="23"/>
          <w:szCs w:val="23"/>
        </w:rPr>
        <w:br/>
      </w:r>
      <w:r w:rsidRPr="001163E6">
        <w:rPr>
          <w:sz w:val="23"/>
          <w:szCs w:val="23"/>
        </w:rPr>
        <w:t xml:space="preserve">20 ноября 2002 года № 25-П «О порядке реализации гражданам на территории Приднестровской Молдавской Республики товаров (работ, услуг) за наличную иностранную валюту»; </w:t>
      </w:r>
    </w:p>
    <w:p w:rsidR="004E2069" w:rsidRPr="001163E6" w:rsidRDefault="004E2069" w:rsidP="00E90743">
      <w:pPr>
        <w:pStyle w:val="111"/>
        <w:numPr>
          <w:ilvl w:val="0"/>
          <w:numId w:val="15"/>
        </w:numPr>
        <w:tabs>
          <w:tab w:val="left" w:pos="851"/>
        </w:tabs>
        <w:spacing w:before="0" w:after="0"/>
        <w:ind w:left="0" w:firstLine="425"/>
        <w:jc w:val="both"/>
        <w:rPr>
          <w:color w:val="003300"/>
          <w:sz w:val="23"/>
          <w:szCs w:val="23"/>
        </w:rPr>
      </w:pPr>
      <w:r w:rsidRPr="001163E6">
        <w:rPr>
          <w:sz w:val="23"/>
          <w:szCs w:val="23"/>
        </w:rPr>
        <w:t xml:space="preserve">Указание Приднестровского республиканского банка от 5 июля 2017 года </w:t>
      </w:r>
      <w:r w:rsidRPr="001163E6">
        <w:rPr>
          <w:sz w:val="23"/>
          <w:szCs w:val="23"/>
        </w:rPr>
        <w:br/>
        <w:t>№ 997-У «О внесении дополнений в Положение Приднестровского республиканского банка от 13 июня 2006 года № 63-П «О порядке деятельности обменных пунктов на территории Приднестровской Молдавской Республики»;</w:t>
      </w:r>
    </w:p>
    <w:p w:rsidR="004E2069" w:rsidRPr="001163E6" w:rsidRDefault="004E2069" w:rsidP="00E90743">
      <w:pPr>
        <w:pStyle w:val="111"/>
        <w:numPr>
          <w:ilvl w:val="0"/>
          <w:numId w:val="15"/>
        </w:numPr>
        <w:tabs>
          <w:tab w:val="left" w:pos="851"/>
        </w:tabs>
        <w:spacing w:before="0" w:after="0"/>
        <w:ind w:left="0" w:firstLine="425"/>
        <w:jc w:val="both"/>
        <w:rPr>
          <w:color w:val="003300"/>
          <w:sz w:val="23"/>
          <w:szCs w:val="23"/>
        </w:rPr>
      </w:pPr>
      <w:r w:rsidRPr="001163E6">
        <w:rPr>
          <w:sz w:val="23"/>
          <w:szCs w:val="23"/>
        </w:rPr>
        <w:t xml:space="preserve">Указание Приднестровского республиканского банка от 18 июля 2017 года </w:t>
      </w:r>
      <w:r w:rsidRPr="001163E6">
        <w:rPr>
          <w:sz w:val="23"/>
          <w:szCs w:val="23"/>
        </w:rPr>
        <w:br/>
        <w:t>№ 999-У «О внесении изменений и дополнений в Положение Приднестровского республиканского банка от 19 июня 2007 года № 75-П «Об осуществлении обязательной продажи части валютной выручки»;</w:t>
      </w:r>
    </w:p>
    <w:p w:rsidR="004E2069" w:rsidRPr="001163E6" w:rsidRDefault="004E2069" w:rsidP="00E90743">
      <w:pPr>
        <w:pStyle w:val="111"/>
        <w:numPr>
          <w:ilvl w:val="0"/>
          <w:numId w:val="15"/>
        </w:numPr>
        <w:tabs>
          <w:tab w:val="left" w:pos="851"/>
        </w:tabs>
        <w:spacing w:before="0" w:after="0"/>
        <w:ind w:left="0" w:firstLine="425"/>
        <w:jc w:val="both"/>
        <w:rPr>
          <w:color w:val="003300"/>
          <w:sz w:val="23"/>
          <w:szCs w:val="23"/>
        </w:rPr>
      </w:pPr>
      <w:r w:rsidRPr="001163E6">
        <w:rPr>
          <w:sz w:val="23"/>
          <w:szCs w:val="23"/>
        </w:rPr>
        <w:t xml:space="preserve">Положение Приднестровского республиканского банка от 18 июля 2017 года </w:t>
      </w:r>
      <w:r w:rsidRPr="001163E6">
        <w:rPr>
          <w:sz w:val="23"/>
          <w:szCs w:val="23"/>
        </w:rPr>
        <w:br/>
        <w:t>№ 120-П «Об утверждении порядка и оснований продления сроков репатриации»;</w:t>
      </w:r>
    </w:p>
    <w:p w:rsidR="004E2069" w:rsidRPr="001163E6" w:rsidRDefault="004E2069" w:rsidP="00E90743">
      <w:pPr>
        <w:pStyle w:val="111"/>
        <w:numPr>
          <w:ilvl w:val="0"/>
          <w:numId w:val="15"/>
        </w:numPr>
        <w:tabs>
          <w:tab w:val="left" w:pos="851"/>
        </w:tabs>
        <w:spacing w:before="0" w:after="0"/>
        <w:ind w:left="0" w:firstLine="425"/>
        <w:jc w:val="both"/>
        <w:rPr>
          <w:color w:val="003300"/>
          <w:sz w:val="23"/>
          <w:szCs w:val="23"/>
        </w:rPr>
      </w:pPr>
      <w:r w:rsidRPr="001163E6">
        <w:rPr>
          <w:sz w:val="23"/>
          <w:szCs w:val="23"/>
        </w:rPr>
        <w:t xml:space="preserve">Указание Приднестровского республиканского банка от 25 июля 2017 года </w:t>
      </w:r>
      <w:r w:rsidRPr="001163E6">
        <w:rPr>
          <w:sz w:val="23"/>
          <w:szCs w:val="23"/>
        </w:rPr>
        <w:br/>
        <w:t>№ 1001-У «О внесении изменений в некоторые нормативные акты Приднестровского республиканского банка»;</w:t>
      </w:r>
    </w:p>
    <w:p w:rsidR="004E2069" w:rsidRPr="001163E6" w:rsidRDefault="004E2069" w:rsidP="00E90743">
      <w:pPr>
        <w:pStyle w:val="111"/>
        <w:numPr>
          <w:ilvl w:val="0"/>
          <w:numId w:val="15"/>
        </w:numPr>
        <w:tabs>
          <w:tab w:val="left" w:pos="851"/>
        </w:tabs>
        <w:spacing w:before="0" w:after="0"/>
        <w:ind w:left="0" w:firstLine="425"/>
        <w:jc w:val="both"/>
        <w:rPr>
          <w:color w:val="003300"/>
          <w:sz w:val="23"/>
          <w:szCs w:val="23"/>
        </w:rPr>
      </w:pPr>
      <w:r w:rsidRPr="001163E6">
        <w:rPr>
          <w:sz w:val="23"/>
          <w:szCs w:val="23"/>
        </w:rPr>
        <w:t xml:space="preserve">Указание Приднестровского республиканского банка от 3 августа 2017 года </w:t>
      </w:r>
      <w:r w:rsidRPr="001163E6">
        <w:rPr>
          <w:sz w:val="23"/>
          <w:szCs w:val="23"/>
        </w:rPr>
        <w:br/>
        <w:t xml:space="preserve">№ 1003-У «О внесении изменений и дополнений в Инструкцию Приднестровского республиканского банка от 26 июня 2007 года № 21-И «О порядке выдачи Приднестровским республиканским банком разрешений на открытие счетов в банках за пределами территории Приднестровской Молдавской Республики и проведение операций по ним»; </w:t>
      </w:r>
    </w:p>
    <w:p w:rsidR="004E2069" w:rsidRPr="001163E6" w:rsidRDefault="004E2069" w:rsidP="00E90743">
      <w:pPr>
        <w:pStyle w:val="111"/>
        <w:numPr>
          <w:ilvl w:val="0"/>
          <w:numId w:val="15"/>
        </w:numPr>
        <w:tabs>
          <w:tab w:val="left" w:pos="851"/>
        </w:tabs>
        <w:spacing w:before="0" w:after="0"/>
        <w:ind w:left="0" w:firstLine="425"/>
        <w:jc w:val="both"/>
        <w:rPr>
          <w:color w:val="003300"/>
          <w:sz w:val="23"/>
          <w:szCs w:val="23"/>
        </w:rPr>
      </w:pPr>
      <w:r w:rsidRPr="001163E6">
        <w:rPr>
          <w:sz w:val="23"/>
          <w:szCs w:val="23"/>
        </w:rPr>
        <w:t xml:space="preserve">Указание Приднестровского республиканского банка от 3 августа 2017 года </w:t>
      </w:r>
      <w:r w:rsidRPr="001163E6">
        <w:rPr>
          <w:sz w:val="23"/>
          <w:szCs w:val="23"/>
        </w:rPr>
        <w:br/>
        <w:t xml:space="preserve">№ 1004-У «Об установлении срока репатриации для договоров по экспортно-импортным операциям с хозяйствующими субъектами отдельных территорий»; </w:t>
      </w:r>
    </w:p>
    <w:p w:rsidR="004E2069" w:rsidRPr="001163E6" w:rsidRDefault="004E2069" w:rsidP="00E90743">
      <w:pPr>
        <w:pStyle w:val="111"/>
        <w:numPr>
          <w:ilvl w:val="0"/>
          <w:numId w:val="15"/>
        </w:numPr>
        <w:tabs>
          <w:tab w:val="left" w:pos="851"/>
        </w:tabs>
        <w:spacing w:before="0" w:after="0"/>
        <w:ind w:left="0" w:firstLine="425"/>
        <w:jc w:val="both"/>
        <w:rPr>
          <w:color w:val="003300"/>
          <w:sz w:val="23"/>
          <w:szCs w:val="23"/>
        </w:rPr>
      </w:pPr>
      <w:r w:rsidRPr="001163E6">
        <w:rPr>
          <w:sz w:val="23"/>
          <w:szCs w:val="23"/>
        </w:rPr>
        <w:t xml:space="preserve">Положение Приднестровского республиканского банка от 3 августа 2017 года </w:t>
      </w:r>
      <w:r w:rsidRPr="001163E6">
        <w:rPr>
          <w:sz w:val="23"/>
          <w:szCs w:val="23"/>
        </w:rPr>
        <w:br/>
        <w:t>№ 123-П «Об утверждении порядка и оснований снятия с валютного контроля сумм безнадёжной задолженности»;</w:t>
      </w:r>
    </w:p>
    <w:p w:rsidR="004E2069" w:rsidRPr="001163E6" w:rsidRDefault="004E2069" w:rsidP="00E90743">
      <w:pPr>
        <w:pStyle w:val="111"/>
        <w:numPr>
          <w:ilvl w:val="0"/>
          <w:numId w:val="15"/>
        </w:numPr>
        <w:tabs>
          <w:tab w:val="left" w:pos="851"/>
        </w:tabs>
        <w:spacing w:before="0" w:after="0"/>
        <w:ind w:left="0" w:firstLine="425"/>
        <w:jc w:val="both"/>
        <w:rPr>
          <w:color w:val="003300"/>
          <w:sz w:val="23"/>
          <w:szCs w:val="23"/>
        </w:rPr>
      </w:pPr>
      <w:r w:rsidRPr="001163E6">
        <w:rPr>
          <w:sz w:val="23"/>
          <w:szCs w:val="23"/>
        </w:rPr>
        <w:t xml:space="preserve">Указание Приднестровского республиканского банка от 10 августа 2017 года </w:t>
      </w:r>
      <w:r w:rsidRPr="001163E6">
        <w:rPr>
          <w:sz w:val="23"/>
          <w:szCs w:val="23"/>
        </w:rPr>
        <w:br/>
        <w:t>№ 1008-У «О внесении изменений в Положение Приднестровского республиканского банка от 13 июня 2006 года № 63-П «О порядке деятельности обменных пунктов на территории Приднестровской Молдавской Республики»;</w:t>
      </w:r>
    </w:p>
    <w:p w:rsidR="004E2069" w:rsidRPr="001163E6" w:rsidRDefault="004E2069" w:rsidP="00E90743">
      <w:pPr>
        <w:pStyle w:val="111"/>
        <w:numPr>
          <w:ilvl w:val="0"/>
          <w:numId w:val="15"/>
        </w:numPr>
        <w:tabs>
          <w:tab w:val="left" w:pos="851"/>
        </w:tabs>
        <w:spacing w:before="0" w:after="0"/>
        <w:ind w:left="0" w:firstLine="425"/>
        <w:jc w:val="both"/>
        <w:rPr>
          <w:color w:val="003300"/>
          <w:sz w:val="23"/>
          <w:szCs w:val="23"/>
        </w:rPr>
      </w:pPr>
      <w:r w:rsidRPr="001163E6">
        <w:rPr>
          <w:sz w:val="23"/>
          <w:szCs w:val="23"/>
        </w:rPr>
        <w:t xml:space="preserve">Указание Приднестровского республиканского банка от 28 августа 2017 года </w:t>
      </w:r>
      <w:r w:rsidRPr="001163E6">
        <w:rPr>
          <w:sz w:val="23"/>
          <w:szCs w:val="23"/>
        </w:rPr>
        <w:br/>
        <w:t>№ 1012-У «О внесении изменения и дополнений в Положение Приднестровского республиканского банка от 23 апреля 2002 года № 23-П «О порядке совершения хозяйствующими субъектами Приднестровской Молдавской Республики операций покупки и обязательной обратной продажи иностранной валюты на внутреннем валютном рынке Приднестровской Молдавской Республики»;</w:t>
      </w:r>
    </w:p>
    <w:p w:rsidR="004E2069" w:rsidRPr="001163E6" w:rsidRDefault="004E2069" w:rsidP="00E90743">
      <w:pPr>
        <w:pStyle w:val="111"/>
        <w:numPr>
          <w:ilvl w:val="0"/>
          <w:numId w:val="15"/>
        </w:numPr>
        <w:tabs>
          <w:tab w:val="left" w:pos="851"/>
        </w:tabs>
        <w:spacing w:before="0" w:after="0"/>
        <w:ind w:left="0" w:firstLine="425"/>
        <w:jc w:val="both"/>
        <w:rPr>
          <w:color w:val="003300"/>
          <w:sz w:val="23"/>
          <w:szCs w:val="23"/>
        </w:rPr>
      </w:pPr>
      <w:r w:rsidRPr="001163E6">
        <w:rPr>
          <w:sz w:val="23"/>
          <w:szCs w:val="23"/>
        </w:rPr>
        <w:t xml:space="preserve">Указание Приднестровского республиканского банка от 30 августа 2017 года </w:t>
      </w:r>
      <w:r w:rsidRPr="001163E6">
        <w:rPr>
          <w:sz w:val="23"/>
          <w:szCs w:val="23"/>
        </w:rPr>
        <w:br/>
        <w:t xml:space="preserve">№ </w:t>
      </w:r>
      <w:hyperlink r:id="rId10" w:history="1">
        <w:r w:rsidRPr="001163E6">
          <w:rPr>
            <w:sz w:val="23"/>
            <w:szCs w:val="23"/>
          </w:rPr>
          <w:t>1013-У</w:t>
        </w:r>
      </w:hyperlink>
      <w:r w:rsidRPr="001163E6">
        <w:rPr>
          <w:sz w:val="23"/>
          <w:szCs w:val="23"/>
        </w:rPr>
        <w:t xml:space="preserve"> «О дополнительных основаниях покупки иностранной валюты резидентами и нерезидентами, получающими валютную выручку от экспорта электрической энергии из Приднестровской Молдавской Республики, на счета, открытые за пределами территории Приднестровской Молдавской Республики»;</w:t>
      </w:r>
    </w:p>
    <w:p w:rsidR="004E2069" w:rsidRPr="001163E6" w:rsidRDefault="004E2069" w:rsidP="00E90743">
      <w:pPr>
        <w:pStyle w:val="111"/>
        <w:numPr>
          <w:ilvl w:val="0"/>
          <w:numId w:val="15"/>
        </w:numPr>
        <w:tabs>
          <w:tab w:val="left" w:pos="851"/>
        </w:tabs>
        <w:spacing w:before="0" w:after="0"/>
        <w:ind w:left="0" w:firstLine="425"/>
        <w:jc w:val="both"/>
        <w:rPr>
          <w:color w:val="003300"/>
          <w:sz w:val="23"/>
          <w:szCs w:val="23"/>
        </w:rPr>
      </w:pPr>
      <w:r w:rsidRPr="001163E6">
        <w:rPr>
          <w:sz w:val="23"/>
          <w:szCs w:val="23"/>
        </w:rPr>
        <w:t xml:space="preserve">Указание Приднестровского республиканского банка от 30 августа 2017 года </w:t>
      </w:r>
      <w:r w:rsidRPr="001163E6">
        <w:rPr>
          <w:sz w:val="23"/>
          <w:szCs w:val="23"/>
        </w:rPr>
        <w:br/>
        <w:t xml:space="preserve">№ </w:t>
      </w:r>
      <w:hyperlink r:id="rId11" w:history="1">
        <w:r w:rsidRPr="001163E6">
          <w:rPr>
            <w:sz w:val="23"/>
            <w:szCs w:val="23"/>
          </w:rPr>
          <w:t>1014-У</w:t>
        </w:r>
      </w:hyperlink>
      <w:r w:rsidRPr="001163E6">
        <w:rPr>
          <w:sz w:val="23"/>
          <w:szCs w:val="23"/>
        </w:rPr>
        <w:t xml:space="preserve"> «О внесении изменения в Положение Приднестровского республиканского банка от </w:t>
      </w:r>
      <w:r>
        <w:rPr>
          <w:sz w:val="23"/>
          <w:szCs w:val="23"/>
        </w:rPr>
        <w:br/>
      </w:r>
      <w:r w:rsidRPr="001163E6">
        <w:rPr>
          <w:sz w:val="23"/>
          <w:szCs w:val="23"/>
        </w:rPr>
        <w:t>13 июня 2006 года № 63-П «О порядке деятельности обменных пунктов на территории Приднестровской Молдавской Республики»;</w:t>
      </w:r>
    </w:p>
    <w:p w:rsidR="004E2069" w:rsidRPr="001163E6" w:rsidRDefault="004E2069" w:rsidP="00E90743">
      <w:pPr>
        <w:pStyle w:val="111"/>
        <w:numPr>
          <w:ilvl w:val="0"/>
          <w:numId w:val="15"/>
        </w:numPr>
        <w:tabs>
          <w:tab w:val="left" w:pos="851"/>
        </w:tabs>
        <w:spacing w:before="0" w:after="0"/>
        <w:ind w:left="0" w:firstLine="425"/>
        <w:jc w:val="both"/>
        <w:rPr>
          <w:color w:val="003300"/>
          <w:sz w:val="23"/>
          <w:szCs w:val="23"/>
        </w:rPr>
      </w:pPr>
      <w:r w:rsidRPr="001163E6">
        <w:rPr>
          <w:sz w:val="23"/>
          <w:szCs w:val="23"/>
        </w:rPr>
        <w:t>Указание Приднестровского республиканского банка от 11 декабря 2017 года</w:t>
      </w:r>
      <w:r>
        <w:rPr>
          <w:sz w:val="23"/>
          <w:szCs w:val="23"/>
        </w:rPr>
        <w:t xml:space="preserve"> </w:t>
      </w:r>
      <w:r w:rsidRPr="001163E6">
        <w:rPr>
          <w:sz w:val="23"/>
          <w:szCs w:val="23"/>
        </w:rPr>
        <w:br/>
        <w:t>№ 1024-У «Об установлении срока репатриации для договоров по экспортным операциям резидентов с зерновыми, масличными и техническими культурами»;</w:t>
      </w:r>
    </w:p>
    <w:p w:rsidR="004E2069" w:rsidRPr="001163E6" w:rsidRDefault="004E2069" w:rsidP="00E90743">
      <w:pPr>
        <w:pStyle w:val="111"/>
        <w:numPr>
          <w:ilvl w:val="0"/>
          <w:numId w:val="15"/>
        </w:numPr>
        <w:tabs>
          <w:tab w:val="left" w:pos="851"/>
        </w:tabs>
        <w:spacing w:before="0" w:after="0"/>
        <w:ind w:left="0" w:firstLine="425"/>
        <w:jc w:val="both"/>
        <w:rPr>
          <w:color w:val="003300"/>
          <w:sz w:val="23"/>
          <w:szCs w:val="23"/>
        </w:rPr>
      </w:pPr>
      <w:r w:rsidRPr="001163E6">
        <w:rPr>
          <w:sz w:val="23"/>
          <w:szCs w:val="23"/>
        </w:rPr>
        <w:t xml:space="preserve">Указание Приднестровского республиканского банка от 11 декабря 2017 года </w:t>
      </w:r>
      <w:r w:rsidRPr="001163E6">
        <w:rPr>
          <w:sz w:val="23"/>
          <w:szCs w:val="23"/>
        </w:rPr>
        <w:br/>
        <w:t>№ 1025-У «О внесении изменений и дополнения в Положение Приднестровского республиканского банка от 17 августа 2006 года № 65-П «О порядке проведения операций с иностранной валютой в Приднестровской Молдавской Республике».</w:t>
      </w:r>
    </w:p>
    <w:p w:rsidR="004E2069" w:rsidRPr="001163E6" w:rsidRDefault="004E2069" w:rsidP="007B7265">
      <w:pPr>
        <w:spacing w:before="120" w:after="120"/>
        <w:ind w:firstLine="425"/>
        <w:jc w:val="both"/>
        <w:rPr>
          <w:i/>
          <w:sz w:val="23"/>
          <w:szCs w:val="23"/>
        </w:rPr>
      </w:pPr>
      <w:r w:rsidRPr="001163E6">
        <w:rPr>
          <w:i/>
          <w:sz w:val="23"/>
          <w:szCs w:val="23"/>
        </w:rPr>
        <w:t xml:space="preserve">В сфере регулирования и надзора страховой деятельности: </w:t>
      </w:r>
    </w:p>
    <w:p w:rsidR="004E2069" w:rsidRPr="001163E6" w:rsidRDefault="004E2069" w:rsidP="007B7265">
      <w:pPr>
        <w:pStyle w:val="ListParagraph"/>
        <w:numPr>
          <w:ilvl w:val="0"/>
          <w:numId w:val="17"/>
        </w:numPr>
        <w:ind w:left="0" w:firstLine="426"/>
        <w:contextualSpacing/>
        <w:jc w:val="both"/>
        <w:rPr>
          <w:bCs/>
          <w:kern w:val="36"/>
          <w:sz w:val="23"/>
          <w:szCs w:val="23"/>
        </w:rPr>
      </w:pPr>
      <w:r w:rsidRPr="001163E6">
        <w:rPr>
          <w:sz w:val="23"/>
          <w:szCs w:val="23"/>
        </w:rPr>
        <w:t xml:space="preserve">Положение Приднестровского республиканского банка от 13 ноября 2017 года </w:t>
      </w:r>
      <w:r w:rsidRPr="001163E6">
        <w:rPr>
          <w:sz w:val="23"/>
          <w:szCs w:val="23"/>
        </w:rPr>
        <w:br/>
        <w:t>№ 124-П «</w:t>
      </w:r>
      <w:r w:rsidRPr="001163E6">
        <w:rPr>
          <w:bCs/>
          <w:kern w:val="36"/>
          <w:sz w:val="23"/>
          <w:szCs w:val="23"/>
        </w:rPr>
        <w:t xml:space="preserve"> О порядке расчёта страховой организацией нормативного соотношения собственных средств (капитала) и принятых обязательств»;</w:t>
      </w:r>
    </w:p>
    <w:p w:rsidR="004E2069" w:rsidRPr="001163E6" w:rsidRDefault="004E2069" w:rsidP="007B7265">
      <w:pPr>
        <w:pStyle w:val="ListParagraph"/>
        <w:numPr>
          <w:ilvl w:val="0"/>
          <w:numId w:val="17"/>
        </w:numPr>
        <w:ind w:left="0" w:firstLine="426"/>
        <w:contextualSpacing/>
        <w:jc w:val="both"/>
        <w:rPr>
          <w:bCs/>
          <w:kern w:val="36"/>
          <w:sz w:val="23"/>
          <w:szCs w:val="23"/>
        </w:rPr>
      </w:pPr>
      <w:r w:rsidRPr="001163E6">
        <w:rPr>
          <w:sz w:val="23"/>
          <w:szCs w:val="23"/>
        </w:rPr>
        <w:t xml:space="preserve">Положение Приднестровского республиканского банка от 22 ноября 2017 года </w:t>
      </w:r>
      <w:r w:rsidRPr="001163E6">
        <w:rPr>
          <w:sz w:val="23"/>
          <w:szCs w:val="23"/>
        </w:rPr>
        <w:br/>
        <w:t>№ 125-П «</w:t>
      </w:r>
      <w:r w:rsidRPr="001163E6">
        <w:rPr>
          <w:bCs/>
          <w:sz w:val="23"/>
          <w:szCs w:val="23"/>
        </w:rPr>
        <w:t xml:space="preserve"> О правилах формирования страховых резервов по страхованию жизни»;</w:t>
      </w:r>
    </w:p>
    <w:p w:rsidR="004E2069" w:rsidRPr="001163E6" w:rsidRDefault="004E2069" w:rsidP="007B7265">
      <w:pPr>
        <w:pStyle w:val="ListParagraph"/>
        <w:numPr>
          <w:ilvl w:val="0"/>
          <w:numId w:val="17"/>
        </w:numPr>
        <w:ind w:left="0" w:firstLine="426"/>
        <w:contextualSpacing/>
        <w:jc w:val="both"/>
        <w:rPr>
          <w:bCs/>
          <w:kern w:val="36"/>
          <w:sz w:val="23"/>
          <w:szCs w:val="23"/>
        </w:rPr>
      </w:pPr>
      <w:r w:rsidRPr="001163E6">
        <w:rPr>
          <w:sz w:val="23"/>
          <w:szCs w:val="23"/>
        </w:rPr>
        <w:t xml:space="preserve">Указание Приднестровского республиканского банка от 11 декабря 2017 года </w:t>
      </w:r>
      <w:r w:rsidRPr="001163E6">
        <w:rPr>
          <w:sz w:val="23"/>
          <w:szCs w:val="23"/>
        </w:rPr>
        <w:br/>
        <w:t xml:space="preserve">№ 1026-У «О порядке инвестирования собственных средств (капитала) страховщика и перечне разрешённых для инвестирования активов»; </w:t>
      </w:r>
    </w:p>
    <w:p w:rsidR="004E2069" w:rsidRPr="001163E6" w:rsidRDefault="004E2069" w:rsidP="007B7265">
      <w:pPr>
        <w:pStyle w:val="ListParagraph"/>
        <w:numPr>
          <w:ilvl w:val="0"/>
          <w:numId w:val="17"/>
        </w:numPr>
        <w:ind w:left="0" w:firstLine="426"/>
        <w:contextualSpacing/>
        <w:jc w:val="both"/>
        <w:rPr>
          <w:bCs/>
          <w:kern w:val="36"/>
          <w:sz w:val="23"/>
          <w:szCs w:val="23"/>
        </w:rPr>
      </w:pPr>
      <w:r w:rsidRPr="001163E6">
        <w:rPr>
          <w:sz w:val="23"/>
          <w:szCs w:val="23"/>
        </w:rPr>
        <w:t xml:space="preserve">Указание Приднестровского республиканского банка от 11 декабря 2017 года </w:t>
      </w:r>
      <w:r w:rsidRPr="001163E6">
        <w:rPr>
          <w:sz w:val="23"/>
          <w:szCs w:val="23"/>
        </w:rPr>
        <w:br/>
        <w:t>№ 1029-У «О порядке инвестирования средств страховых резервов и перечне разрешённых для инвестирования активов».</w:t>
      </w:r>
    </w:p>
    <w:p w:rsidR="004E2069" w:rsidRPr="001163E6" w:rsidRDefault="004E2069" w:rsidP="007B7265">
      <w:pPr>
        <w:pStyle w:val="111"/>
        <w:spacing w:before="120" w:after="120"/>
        <w:ind w:firstLine="425"/>
        <w:jc w:val="both"/>
        <w:rPr>
          <w:i/>
          <w:sz w:val="23"/>
          <w:szCs w:val="23"/>
        </w:rPr>
      </w:pPr>
      <w:r w:rsidRPr="001163E6">
        <w:rPr>
          <w:i/>
          <w:sz w:val="23"/>
          <w:szCs w:val="23"/>
        </w:rPr>
        <w:t>В сфере противодействия легализации (отмыванию) доходов, полученных преступным путём, и финансированию терроризма:</w:t>
      </w:r>
    </w:p>
    <w:p w:rsidR="004E2069" w:rsidRPr="001163E6" w:rsidRDefault="004E2069" w:rsidP="007B7265">
      <w:pPr>
        <w:pStyle w:val="ListParagraph"/>
        <w:numPr>
          <w:ilvl w:val="0"/>
          <w:numId w:val="13"/>
        </w:numPr>
        <w:ind w:left="0" w:firstLine="426"/>
        <w:contextualSpacing/>
        <w:jc w:val="both"/>
        <w:rPr>
          <w:sz w:val="23"/>
          <w:szCs w:val="23"/>
        </w:rPr>
      </w:pPr>
      <w:r w:rsidRPr="001163E6">
        <w:rPr>
          <w:sz w:val="23"/>
          <w:szCs w:val="23"/>
        </w:rPr>
        <w:t xml:space="preserve">Указание Приднестровского республиканского банка от 10 февраля 2017 года </w:t>
      </w:r>
      <w:r w:rsidRPr="001163E6">
        <w:rPr>
          <w:sz w:val="23"/>
          <w:szCs w:val="23"/>
        </w:rPr>
        <w:br/>
        <w:t xml:space="preserve">№ 956-У «О внесении изменений в Положение Приднестровского республиканского банка от </w:t>
      </w:r>
      <w:r>
        <w:rPr>
          <w:sz w:val="23"/>
          <w:szCs w:val="23"/>
        </w:rPr>
        <w:br/>
      </w:r>
      <w:r w:rsidRPr="001163E6">
        <w:rPr>
          <w:sz w:val="23"/>
          <w:szCs w:val="23"/>
        </w:rPr>
        <w:t>15 марта 2010 года № 97-П «Об идентификации кредитными организациями клиентов, представителей клиентов и выгодоприобретателей в целях противодействия легализации (отмыванию) доходов, полученных преступным путём, и финансированию терроризма»;</w:t>
      </w:r>
    </w:p>
    <w:p w:rsidR="004E2069" w:rsidRPr="001163E6" w:rsidRDefault="004E2069" w:rsidP="007B7265">
      <w:pPr>
        <w:pStyle w:val="ListParagraph"/>
        <w:numPr>
          <w:ilvl w:val="0"/>
          <w:numId w:val="13"/>
        </w:numPr>
        <w:ind w:left="0" w:firstLine="426"/>
        <w:contextualSpacing/>
        <w:jc w:val="both"/>
        <w:rPr>
          <w:sz w:val="23"/>
          <w:szCs w:val="23"/>
        </w:rPr>
      </w:pPr>
      <w:r w:rsidRPr="001163E6">
        <w:rPr>
          <w:sz w:val="23"/>
          <w:szCs w:val="23"/>
        </w:rPr>
        <w:t xml:space="preserve">Указание Приднестровского республиканского банка от 10 февраля 2017 года </w:t>
      </w:r>
      <w:r w:rsidRPr="001163E6">
        <w:rPr>
          <w:sz w:val="23"/>
          <w:szCs w:val="23"/>
        </w:rPr>
        <w:br/>
        <w:t xml:space="preserve">№ 957-У «О внесении изменения в Указание Приднестровского республиканского банка от </w:t>
      </w:r>
      <w:r w:rsidRPr="001163E6">
        <w:rPr>
          <w:sz w:val="23"/>
          <w:szCs w:val="23"/>
        </w:rPr>
        <w:br/>
        <w:t>9 ноября 2012 года № 621-У «О рекомендациях по разработке организациями, осуществляющими операции с денежными средствами или иным имуществом, юридическими лицами, осуществляющими деятельность в сфере оказания юридических или бухгалтерских услуг правил внутреннего контроля в целях противодействия легализации (отмыванию) доходов, полученных преступным путём, и финансированию терроризма»;</w:t>
      </w:r>
    </w:p>
    <w:p w:rsidR="004E2069" w:rsidRPr="001163E6" w:rsidRDefault="004E2069" w:rsidP="007B7265">
      <w:pPr>
        <w:pStyle w:val="ListParagraph"/>
        <w:numPr>
          <w:ilvl w:val="0"/>
          <w:numId w:val="13"/>
        </w:numPr>
        <w:ind w:left="0" w:firstLine="426"/>
        <w:contextualSpacing/>
        <w:jc w:val="both"/>
        <w:rPr>
          <w:sz w:val="23"/>
          <w:szCs w:val="23"/>
        </w:rPr>
      </w:pPr>
      <w:r w:rsidRPr="001163E6">
        <w:rPr>
          <w:sz w:val="23"/>
          <w:szCs w:val="23"/>
        </w:rPr>
        <w:t xml:space="preserve">Указание Приднестровского республиканского банка от 27 июня 2017 года </w:t>
      </w:r>
      <w:r w:rsidRPr="001163E6">
        <w:rPr>
          <w:sz w:val="23"/>
          <w:szCs w:val="23"/>
        </w:rPr>
        <w:br/>
        <w:t xml:space="preserve">№ 991-У «О внесении изменений в Положение Приднестровского республиканского банка от </w:t>
      </w:r>
      <w:r>
        <w:rPr>
          <w:sz w:val="23"/>
          <w:szCs w:val="23"/>
        </w:rPr>
        <w:br/>
      </w:r>
      <w:r w:rsidRPr="001163E6">
        <w:rPr>
          <w:sz w:val="23"/>
          <w:szCs w:val="23"/>
        </w:rPr>
        <w:t>15 марта 2010 года № 96-П «Об идентификации клиентов, представителей клиентов и выгодоприобретателей в целях противодействия легализации (отмыванию) доходов, полученных преступным путём, и финансированию терроризма»;</w:t>
      </w:r>
    </w:p>
    <w:p w:rsidR="004E2069" w:rsidRPr="001163E6" w:rsidRDefault="004E2069" w:rsidP="007B7265">
      <w:pPr>
        <w:pStyle w:val="ListParagraph"/>
        <w:numPr>
          <w:ilvl w:val="0"/>
          <w:numId w:val="13"/>
        </w:numPr>
        <w:ind w:left="0" w:firstLine="426"/>
        <w:contextualSpacing/>
        <w:jc w:val="both"/>
        <w:rPr>
          <w:sz w:val="23"/>
          <w:szCs w:val="23"/>
        </w:rPr>
      </w:pPr>
      <w:r w:rsidRPr="001163E6">
        <w:rPr>
          <w:sz w:val="23"/>
          <w:szCs w:val="23"/>
        </w:rPr>
        <w:t xml:space="preserve">Указание Приднестровского республиканского банка от 27 июня 2017 года </w:t>
      </w:r>
      <w:r w:rsidRPr="001163E6">
        <w:rPr>
          <w:sz w:val="23"/>
          <w:szCs w:val="23"/>
        </w:rPr>
        <w:br/>
        <w:t xml:space="preserve">№ 992-У «О внесении изменений в Положение Приднестровского республиканского банка от </w:t>
      </w:r>
      <w:r>
        <w:rPr>
          <w:sz w:val="23"/>
          <w:szCs w:val="23"/>
        </w:rPr>
        <w:br/>
      </w:r>
      <w:r w:rsidRPr="001163E6">
        <w:rPr>
          <w:sz w:val="23"/>
          <w:szCs w:val="23"/>
        </w:rPr>
        <w:t>15 марта 2010 года № 97-П «Об идентификации кредитными организациями клиентов, представителей клиентов и выгодоприобретателей в целях противодействия легализации (отмыванию) доходов, полученных преступным путём, и финансированию терроризма»;</w:t>
      </w:r>
    </w:p>
    <w:p w:rsidR="004E2069" w:rsidRPr="001163E6" w:rsidRDefault="004E2069" w:rsidP="007B7265">
      <w:pPr>
        <w:pStyle w:val="ListParagraph"/>
        <w:numPr>
          <w:ilvl w:val="0"/>
          <w:numId w:val="13"/>
        </w:numPr>
        <w:ind w:left="0" w:firstLine="426"/>
        <w:contextualSpacing/>
        <w:jc w:val="both"/>
        <w:rPr>
          <w:sz w:val="23"/>
          <w:szCs w:val="23"/>
        </w:rPr>
      </w:pPr>
      <w:r w:rsidRPr="001163E6">
        <w:rPr>
          <w:sz w:val="23"/>
          <w:szCs w:val="23"/>
        </w:rPr>
        <w:t xml:space="preserve">Указание Приднестровского республиканского банка от 11 декабря 2017 года </w:t>
      </w:r>
      <w:r w:rsidRPr="001163E6">
        <w:rPr>
          <w:sz w:val="23"/>
          <w:szCs w:val="23"/>
        </w:rPr>
        <w:br/>
        <w:t>№ 1027-У «О внесении изменения и дополнений в Положение Приднестровского республиканского банка от 9 ноября 2012 года № 110-П «О порядке постановки на учёт в Приднестровском республиканском банке организаций, осуществляющих операции с денежными средствами или иным имуществом, адвокатов, нотариусов и лиц, осуществляющих деятельность в сфере оказания юридических или бухгалтерских услуг»;</w:t>
      </w:r>
    </w:p>
    <w:p w:rsidR="004E2069" w:rsidRPr="001163E6" w:rsidRDefault="004E2069" w:rsidP="007B7265">
      <w:pPr>
        <w:pStyle w:val="ListParagraph"/>
        <w:numPr>
          <w:ilvl w:val="0"/>
          <w:numId w:val="13"/>
        </w:numPr>
        <w:ind w:left="0" w:firstLine="426"/>
        <w:contextualSpacing/>
        <w:jc w:val="both"/>
        <w:rPr>
          <w:sz w:val="23"/>
          <w:szCs w:val="23"/>
        </w:rPr>
      </w:pPr>
      <w:r w:rsidRPr="001163E6">
        <w:rPr>
          <w:sz w:val="23"/>
          <w:szCs w:val="23"/>
        </w:rPr>
        <w:t xml:space="preserve">Указание Приднестровского республиканского банка от 11 декабря 2017 года </w:t>
      </w:r>
      <w:r w:rsidRPr="001163E6">
        <w:rPr>
          <w:sz w:val="23"/>
          <w:szCs w:val="23"/>
        </w:rPr>
        <w:br/>
        <w:t>№ 1028-У «О внесении изменения и дополнения в Положение Приднестровского республиканского банка от 9 ноября 2012 года № 111-П «О порядке утверждения и согласования правил внутреннего контроля в целях противодействия легализации (отмыванию) доходов, полученных преступным путём, и финансированию терроризма».</w:t>
      </w:r>
    </w:p>
    <w:p w:rsidR="004E2069" w:rsidRPr="001163E6" w:rsidRDefault="004E2069" w:rsidP="00753D00">
      <w:pPr>
        <w:pStyle w:val="111"/>
        <w:spacing w:before="120" w:after="120"/>
        <w:ind w:firstLine="425"/>
        <w:jc w:val="both"/>
        <w:rPr>
          <w:i/>
          <w:sz w:val="23"/>
          <w:szCs w:val="23"/>
        </w:rPr>
      </w:pPr>
      <w:r w:rsidRPr="001163E6">
        <w:rPr>
          <w:i/>
          <w:sz w:val="23"/>
          <w:szCs w:val="23"/>
        </w:rPr>
        <w:t>В сфере банковской статистики и отчётности:</w:t>
      </w:r>
    </w:p>
    <w:p w:rsidR="004E2069" w:rsidRPr="001163E6" w:rsidRDefault="004E2069" w:rsidP="00753D00">
      <w:pPr>
        <w:pStyle w:val="ListParagraph"/>
        <w:numPr>
          <w:ilvl w:val="0"/>
          <w:numId w:val="14"/>
        </w:numPr>
        <w:ind w:left="0" w:firstLine="425"/>
        <w:contextualSpacing/>
        <w:jc w:val="both"/>
        <w:rPr>
          <w:sz w:val="23"/>
          <w:szCs w:val="23"/>
        </w:rPr>
      </w:pPr>
      <w:r w:rsidRPr="001163E6">
        <w:rPr>
          <w:sz w:val="23"/>
          <w:szCs w:val="23"/>
        </w:rPr>
        <w:t xml:space="preserve">Указание Приднестровского республиканского банка от 25 апреля 2017 года </w:t>
      </w:r>
      <w:r w:rsidRPr="001163E6">
        <w:rPr>
          <w:sz w:val="23"/>
          <w:szCs w:val="23"/>
        </w:rPr>
        <w:br/>
        <w:t xml:space="preserve">№ 982-У «О внесении изменения в Указание Приднестровского республиканского банка от </w:t>
      </w:r>
      <w:r w:rsidRPr="001163E6">
        <w:rPr>
          <w:sz w:val="23"/>
          <w:szCs w:val="23"/>
        </w:rPr>
        <w:br/>
        <w:t>3 марта 2011 года № 441-У «О порядке составления и представления отчётности в Приднестровский республиканский банк»;</w:t>
      </w:r>
    </w:p>
    <w:p w:rsidR="004E2069" w:rsidRPr="001163E6" w:rsidRDefault="004E2069" w:rsidP="00753D00">
      <w:pPr>
        <w:pStyle w:val="ListParagraph"/>
        <w:numPr>
          <w:ilvl w:val="0"/>
          <w:numId w:val="14"/>
        </w:numPr>
        <w:ind w:left="0" w:firstLine="425"/>
        <w:contextualSpacing/>
        <w:jc w:val="both"/>
        <w:rPr>
          <w:sz w:val="23"/>
          <w:szCs w:val="23"/>
        </w:rPr>
      </w:pPr>
      <w:r w:rsidRPr="001163E6">
        <w:rPr>
          <w:sz w:val="23"/>
          <w:szCs w:val="23"/>
        </w:rPr>
        <w:t xml:space="preserve">Указание Приднестровского республиканского банка от 26 апреля 2017 года </w:t>
      </w:r>
      <w:r w:rsidRPr="001163E6">
        <w:rPr>
          <w:sz w:val="23"/>
          <w:szCs w:val="23"/>
        </w:rPr>
        <w:br/>
        <w:t xml:space="preserve">№ 984-У «О внесении дополнения в Указание Приднестровского республиканского банка от </w:t>
      </w:r>
      <w:r>
        <w:rPr>
          <w:sz w:val="23"/>
          <w:szCs w:val="23"/>
        </w:rPr>
        <w:br/>
      </w:r>
      <w:r w:rsidRPr="001163E6">
        <w:rPr>
          <w:sz w:val="23"/>
          <w:szCs w:val="23"/>
        </w:rPr>
        <w:t>3 марта 2011 года № 441-У «О порядке составления и представления отчётности в Приднестровский республиканский банк»;</w:t>
      </w:r>
    </w:p>
    <w:p w:rsidR="004E2069" w:rsidRPr="001163E6" w:rsidRDefault="004E2069" w:rsidP="00A061A3">
      <w:pPr>
        <w:pStyle w:val="ListParagraph"/>
        <w:numPr>
          <w:ilvl w:val="0"/>
          <w:numId w:val="14"/>
        </w:numPr>
        <w:ind w:left="0" w:firstLine="425"/>
        <w:contextualSpacing/>
        <w:jc w:val="both"/>
        <w:rPr>
          <w:sz w:val="23"/>
          <w:szCs w:val="23"/>
        </w:rPr>
      </w:pPr>
      <w:r w:rsidRPr="001163E6">
        <w:rPr>
          <w:sz w:val="23"/>
          <w:szCs w:val="23"/>
        </w:rPr>
        <w:t xml:space="preserve">Указание Приднестровского республиканского банка от 13 октября 2017 года </w:t>
      </w:r>
      <w:r w:rsidRPr="001163E6">
        <w:rPr>
          <w:sz w:val="23"/>
          <w:szCs w:val="23"/>
        </w:rPr>
        <w:br/>
        <w:t>№ 1018-У «О внесении изменения в Инструкцию Приднестровского республиканского банка от 2 июля 2008 года № 25-И «О порядке представления кредитными организациями отдельных форм отчётности в Приднестровский республиканский банк»;</w:t>
      </w:r>
    </w:p>
    <w:p w:rsidR="004E2069" w:rsidRPr="001163E6" w:rsidRDefault="004E2069" w:rsidP="00A061A3">
      <w:pPr>
        <w:pStyle w:val="ListParagraph"/>
        <w:numPr>
          <w:ilvl w:val="0"/>
          <w:numId w:val="14"/>
        </w:numPr>
        <w:ind w:left="0" w:firstLine="425"/>
        <w:contextualSpacing/>
        <w:jc w:val="both"/>
        <w:rPr>
          <w:sz w:val="23"/>
          <w:szCs w:val="23"/>
        </w:rPr>
      </w:pPr>
      <w:r w:rsidRPr="001163E6">
        <w:rPr>
          <w:sz w:val="23"/>
          <w:szCs w:val="23"/>
        </w:rPr>
        <w:t xml:space="preserve">Указание Приднестровского республиканского банка от 24 октября 2017 года </w:t>
      </w:r>
      <w:r w:rsidRPr="001163E6">
        <w:rPr>
          <w:sz w:val="23"/>
          <w:szCs w:val="23"/>
        </w:rPr>
        <w:br/>
        <w:t>№ 1019-У «О внесении изменений и дополнений в Инструкцию Приднестровского республиканского банка от 26 марта 2008 года № 24-И «О порядке представления отчётности для составления платёжного баланса Приднестровской Молдавской Республики».</w:t>
      </w:r>
    </w:p>
    <w:p w:rsidR="004E2069" w:rsidRPr="001163E6" w:rsidRDefault="004E2069" w:rsidP="00980420">
      <w:pPr>
        <w:spacing w:before="120" w:after="120"/>
        <w:ind w:firstLine="425"/>
        <w:jc w:val="both"/>
        <w:rPr>
          <w:i/>
          <w:snapToGrid w:val="0"/>
          <w:sz w:val="23"/>
          <w:szCs w:val="23"/>
        </w:rPr>
      </w:pPr>
      <w:r w:rsidRPr="001163E6">
        <w:rPr>
          <w:i/>
          <w:snapToGrid w:val="0"/>
          <w:sz w:val="23"/>
          <w:szCs w:val="23"/>
        </w:rPr>
        <w:t>В сфере общих вопросов деятельности кредитных организаций:</w:t>
      </w:r>
    </w:p>
    <w:p w:rsidR="004E2069" w:rsidRPr="001163E6" w:rsidRDefault="004E2069" w:rsidP="00E90743">
      <w:pPr>
        <w:pStyle w:val="ListParagraph"/>
        <w:numPr>
          <w:ilvl w:val="0"/>
          <w:numId w:val="16"/>
        </w:numPr>
        <w:autoSpaceDE w:val="0"/>
        <w:autoSpaceDN w:val="0"/>
        <w:adjustRightInd w:val="0"/>
        <w:spacing w:before="120"/>
        <w:ind w:left="0" w:firstLine="426"/>
        <w:contextualSpacing/>
        <w:jc w:val="both"/>
        <w:rPr>
          <w:sz w:val="23"/>
          <w:szCs w:val="23"/>
        </w:rPr>
      </w:pPr>
      <w:r w:rsidRPr="001163E6">
        <w:rPr>
          <w:sz w:val="23"/>
          <w:szCs w:val="23"/>
        </w:rPr>
        <w:t xml:space="preserve">Указание Приднестровского республиканского банка от 10 февраля 2017 года </w:t>
      </w:r>
      <w:r w:rsidRPr="001163E6">
        <w:rPr>
          <w:sz w:val="23"/>
          <w:szCs w:val="23"/>
        </w:rPr>
        <w:br/>
        <w:t xml:space="preserve">№ 955-У «О внесении изменений в Инструкцию Приднестровского республиканского банка от </w:t>
      </w:r>
      <w:r>
        <w:rPr>
          <w:sz w:val="23"/>
          <w:szCs w:val="23"/>
        </w:rPr>
        <w:br/>
      </w:r>
      <w:r w:rsidRPr="001163E6">
        <w:rPr>
          <w:sz w:val="23"/>
          <w:szCs w:val="23"/>
        </w:rPr>
        <w:t>8 августа 2006 года № 17-И «О порядке открытия, ведения, переоформления и закрытия счетов в банках Приднестровской Молдавской Республики»;</w:t>
      </w:r>
    </w:p>
    <w:p w:rsidR="004E2069" w:rsidRPr="001163E6" w:rsidRDefault="004E2069" w:rsidP="00E90743">
      <w:pPr>
        <w:pStyle w:val="ListParagraph"/>
        <w:numPr>
          <w:ilvl w:val="0"/>
          <w:numId w:val="16"/>
        </w:numPr>
        <w:autoSpaceDE w:val="0"/>
        <w:autoSpaceDN w:val="0"/>
        <w:adjustRightInd w:val="0"/>
        <w:spacing w:before="120"/>
        <w:ind w:left="0" w:firstLine="426"/>
        <w:contextualSpacing/>
        <w:jc w:val="both"/>
        <w:rPr>
          <w:sz w:val="23"/>
          <w:szCs w:val="23"/>
        </w:rPr>
      </w:pPr>
      <w:r w:rsidRPr="001163E6">
        <w:rPr>
          <w:sz w:val="23"/>
          <w:szCs w:val="23"/>
        </w:rPr>
        <w:t xml:space="preserve">Указание Приднестровского республиканского банка от 2 марта 2017 года № 963-У </w:t>
      </w:r>
      <w:r>
        <w:rPr>
          <w:sz w:val="23"/>
          <w:szCs w:val="23"/>
        </w:rPr>
        <w:br/>
      </w:r>
      <w:r w:rsidRPr="001163E6">
        <w:rPr>
          <w:sz w:val="23"/>
          <w:szCs w:val="23"/>
        </w:rPr>
        <w:t xml:space="preserve">«Об отмене Указания Приднестровского республиканского банка от 15 июня 2015 года </w:t>
      </w:r>
      <w:r w:rsidRPr="001163E6">
        <w:rPr>
          <w:sz w:val="23"/>
          <w:szCs w:val="23"/>
        </w:rPr>
        <w:br/>
        <w:t>№ 850-У «О правилах Национальной платёжной системы»;</w:t>
      </w:r>
    </w:p>
    <w:p w:rsidR="004E2069" w:rsidRPr="001163E6" w:rsidRDefault="004E2069" w:rsidP="00E90743">
      <w:pPr>
        <w:pStyle w:val="ListParagraph"/>
        <w:numPr>
          <w:ilvl w:val="0"/>
          <w:numId w:val="16"/>
        </w:numPr>
        <w:autoSpaceDE w:val="0"/>
        <w:autoSpaceDN w:val="0"/>
        <w:adjustRightInd w:val="0"/>
        <w:spacing w:before="120"/>
        <w:ind w:left="0" w:firstLine="426"/>
        <w:contextualSpacing/>
        <w:jc w:val="both"/>
        <w:rPr>
          <w:sz w:val="23"/>
          <w:szCs w:val="23"/>
        </w:rPr>
      </w:pPr>
      <w:r w:rsidRPr="001163E6">
        <w:rPr>
          <w:sz w:val="23"/>
          <w:szCs w:val="23"/>
        </w:rPr>
        <w:t xml:space="preserve">Указание Приднестровского республиканского банка от 7 марта 2017 года № 964-У </w:t>
      </w:r>
      <w:r>
        <w:rPr>
          <w:sz w:val="23"/>
          <w:szCs w:val="23"/>
        </w:rPr>
        <w:br/>
      </w:r>
      <w:r w:rsidRPr="001163E6">
        <w:rPr>
          <w:sz w:val="23"/>
          <w:szCs w:val="23"/>
        </w:rPr>
        <w:t xml:space="preserve">«О внесении изменений в Положение Приднестровского республиканского банка от </w:t>
      </w:r>
      <w:r w:rsidRPr="001163E6">
        <w:rPr>
          <w:sz w:val="23"/>
          <w:szCs w:val="23"/>
        </w:rPr>
        <w:br/>
        <w:t xml:space="preserve">25 апреля 2007 года № 72-П «О порядке эмиссии банковских карт и об операциях, совершаемых с использованием платёжных карт»; </w:t>
      </w:r>
    </w:p>
    <w:p w:rsidR="004E2069" w:rsidRPr="001163E6" w:rsidRDefault="004E2069" w:rsidP="00E90743">
      <w:pPr>
        <w:pStyle w:val="ListParagraph"/>
        <w:numPr>
          <w:ilvl w:val="0"/>
          <w:numId w:val="16"/>
        </w:numPr>
        <w:autoSpaceDE w:val="0"/>
        <w:autoSpaceDN w:val="0"/>
        <w:adjustRightInd w:val="0"/>
        <w:spacing w:before="120"/>
        <w:ind w:left="0" w:firstLine="426"/>
        <w:contextualSpacing/>
        <w:jc w:val="both"/>
        <w:rPr>
          <w:sz w:val="23"/>
          <w:szCs w:val="23"/>
        </w:rPr>
      </w:pPr>
      <w:r w:rsidRPr="001163E6">
        <w:rPr>
          <w:sz w:val="23"/>
          <w:szCs w:val="23"/>
        </w:rPr>
        <w:t xml:space="preserve">Указание Приднестровского республиканского банка от 31 марта 2017 года </w:t>
      </w:r>
      <w:r w:rsidRPr="001163E6">
        <w:rPr>
          <w:sz w:val="23"/>
          <w:szCs w:val="23"/>
        </w:rPr>
        <w:br/>
        <w:t xml:space="preserve">№ 978-У «О внесении изменения в Указание Приднестровского республиканского </w:t>
      </w:r>
      <w:r w:rsidRPr="001163E6">
        <w:rPr>
          <w:sz w:val="23"/>
          <w:szCs w:val="23"/>
        </w:rPr>
        <w:br/>
        <w:t xml:space="preserve">банка от 26 июня 2012 года № 555-У «Об опубликовании информации </w:t>
      </w:r>
      <w:r w:rsidRPr="001163E6">
        <w:rPr>
          <w:sz w:val="23"/>
          <w:szCs w:val="23"/>
        </w:rPr>
        <w:br/>
        <w:t>о деятельности кредитных организаций»;</w:t>
      </w:r>
    </w:p>
    <w:p w:rsidR="004E2069" w:rsidRPr="001163E6" w:rsidRDefault="004E2069" w:rsidP="00E90743">
      <w:pPr>
        <w:pStyle w:val="ListParagraph"/>
        <w:numPr>
          <w:ilvl w:val="0"/>
          <w:numId w:val="16"/>
        </w:numPr>
        <w:autoSpaceDE w:val="0"/>
        <w:autoSpaceDN w:val="0"/>
        <w:adjustRightInd w:val="0"/>
        <w:spacing w:before="120"/>
        <w:ind w:left="0" w:firstLine="426"/>
        <w:contextualSpacing/>
        <w:jc w:val="both"/>
        <w:rPr>
          <w:sz w:val="23"/>
          <w:szCs w:val="23"/>
        </w:rPr>
      </w:pPr>
      <w:r w:rsidRPr="001163E6">
        <w:rPr>
          <w:sz w:val="23"/>
          <w:szCs w:val="23"/>
        </w:rPr>
        <w:t>Указание Приднестровского республиканского банка от 7 июня 2017 года № 986-У</w:t>
      </w:r>
      <w:r>
        <w:rPr>
          <w:sz w:val="23"/>
          <w:szCs w:val="23"/>
        </w:rPr>
        <w:t xml:space="preserve"> </w:t>
      </w:r>
      <w:r>
        <w:rPr>
          <w:sz w:val="23"/>
          <w:szCs w:val="23"/>
        </w:rPr>
        <w:br/>
      </w:r>
      <w:r w:rsidRPr="001163E6">
        <w:rPr>
          <w:sz w:val="23"/>
          <w:szCs w:val="23"/>
        </w:rPr>
        <w:t xml:space="preserve">«О внесении изменений в Инструкцию Приднестровского республиканского банка от </w:t>
      </w:r>
      <w:r w:rsidRPr="001163E6">
        <w:rPr>
          <w:sz w:val="23"/>
          <w:szCs w:val="23"/>
        </w:rPr>
        <w:br/>
        <w:t>12 ноября 2002 года № 9-И «О безналичных расчётах в Приднестровской Молдавской Республике»;</w:t>
      </w:r>
    </w:p>
    <w:p w:rsidR="004E2069" w:rsidRPr="001163E6" w:rsidRDefault="004E2069" w:rsidP="00E90743">
      <w:pPr>
        <w:pStyle w:val="ListParagraph"/>
        <w:numPr>
          <w:ilvl w:val="0"/>
          <w:numId w:val="16"/>
        </w:numPr>
        <w:autoSpaceDE w:val="0"/>
        <w:autoSpaceDN w:val="0"/>
        <w:adjustRightInd w:val="0"/>
        <w:spacing w:before="120"/>
        <w:ind w:left="0" w:firstLine="426"/>
        <w:contextualSpacing/>
        <w:jc w:val="both"/>
        <w:rPr>
          <w:sz w:val="23"/>
          <w:szCs w:val="23"/>
        </w:rPr>
      </w:pPr>
      <w:r w:rsidRPr="001163E6">
        <w:rPr>
          <w:sz w:val="23"/>
          <w:szCs w:val="23"/>
        </w:rPr>
        <w:t>Указание Приднестровского республиканского банка от 7 июня 2017 года № 987-У</w:t>
      </w:r>
      <w:r>
        <w:rPr>
          <w:sz w:val="23"/>
          <w:szCs w:val="23"/>
        </w:rPr>
        <w:t xml:space="preserve"> </w:t>
      </w:r>
      <w:r>
        <w:rPr>
          <w:sz w:val="23"/>
          <w:szCs w:val="23"/>
        </w:rPr>
        <w:br/>
      </w:r>
      <w:r w:rsidRPr="001163E6">
        <w:rPr>
          <w:sz w:val="23"/>
          <w:szCs w:val="23"/>
        </w:rPr>
        <w:t xml:space="preserve">«О внесении изменений в Инструкцию Приднестровского республиканского банка от </w:t>
      </w:r>
      <w:r w:rsidRPr="001163E6">
        <w:rPr>
          <w:sz w:val="23"/>
          <w:szCs w:val="23"/>
        </w:rPr>
        <w:br/>
        <w:t>3 апреля 2007 года № 19-И «О порядке кассового исполнения государственного бюджета Приднестровской Молдавской Республики»;</w:t>
      </w:r>
    </w:p>
    <w:p w:rsidR="004E2069" w:rsidRPr="001163E6" w:rsidRDefault="004E2069" w:rsidP="00E90743">
      <w:pPr>
        <w:pStyle w:val="ListParagraph"/>
        <w:numPr>
          <w:ilvl w:val="0"/>
          <w:numId w:val="16"/>
        </w:numPr>
        <w:autoSpaceDE w:val="0"/>
        <w:autoSpaceDN w:val="0"/>
        <w:adjustRightInd w:val="0"/>
        <w:spacing w:before="120"/>
        <w:ind w:left="0" w:firstLine="426"/>
        <w:contextualSpacing/>
        <w:jc w:val="both"/>
        <w:rPr>
          <w:sz w:val="23"/>
          <w:szCs w:val="23"/>
        </w:rPr>
      </w:pPr>
      <w:r w:rsidRPr="001163E6">
        <w:rPr>
          <w:sz w:val="23"/>
          <w:szCs w:val="23"/>
        </w:rPr>
        <w:t xml:space="preserve">Указание Приднестровского республиканского банка от 5 июля 2017 года № </w:t>
      </w:r>
      <w:hyperlink r:id="rId12" w:history="1">
        <w:r w:rsidRPr="001163E6">
          <w:rPr>
            <w:sz w:val="23"/>
            <w:szCs w:val="23"/>
          </w:rPr>
          <w:t>9</w:t>
        </w:r>
      </w:hyperlink>
      <w:r w:rsidRPr="001163E6">
        <w:rPr>
          <w:sz w:val="23"/>
          <w:szCs w:val="23"/>
        </w:rPr>
        <w:t xml:space="preserve">95-У </w:t>
      </w:r>
      <w:r>
        <w:rPr>
          <w:sz w:val="23"/>
          <w:szCs w:val="23"/>
        </w:rPr>
        <w:br/>
      </w:r>
      <w:r w:rsidRPr="001163E6">
        <w:rPr>
          <w:sz w:val="23"/>
          <w:szCs w:val="23"/>
        </w:rPr>
        <w:t>«О внесении изменений и дополнений в Положение Приднестровского республиканского банка от 11 апреля 2012 года № 109-П «О правилах организации наличного денежного обращения на территории Приднестровской Молдавской Республики»;</w:t>
      </w:r>
    </w:p>
    <w:p w:rsidR="004E2069" w:rsidRPr="001163E6" w:rsidRDefault="004E2069" w:rsidP="00E90743">
      <w:pPr>
        <w:pStyle w:val="ListParagraph"/>
        <w:numPr>
          <w:ilvl w:val="0"/>
          <w:numId w:val="16"/>
        </w:numPr>
        <w:autoSpaceDE w:val="0"/>
        <w:autoSpaceDN w:val="0"/>
        <w:adjustRightInd w:val="0"/>
        <w:spacing w:before="120"/>
        <w:ind w:left="0" w:firstLine="426"/>
        <w:contextualSpacing/>
        <w:jc w:val="both"/>
        <w:rPr>
          <w:sz w:val="23"/>
          <w:szCs w:val="23"/>
        </w:rPr>
      </w:pPr>
      <w:r w:rsidRPr="001163E6">
        <w:rPr>
          <w:sz w:val="23"/>
          <w:szCs w:val="23"/>
        </w:rPr>
        <w:t xml:space="preserve">Указание Приднестровского республиканского банка от 6 июля 2017 года № </w:t>
      </w:r>
      <w:hyperlink r:id="rId13" w:history="1">
        <w:hyperlink r:id="rId14" w:history="1">
          <w:r w:rsidRPr="001163E6">
            <w:rPr>
              <w:sz w:val="23"/>
              <w:szCs w:val="23"/>
            </w:rPr>
            <w:t>99</w:t>
          </w:r>
        </w:hyperlink>
        <w:r w:rsidRPr="001163E6">
          <w:rPr>
            <w:sz w:val="23"/>
            <w:szCs w:val="23"/>
          </w:rPr>
          <w:t>8</w:t>
        </w:r>
      </w:hyperlink>
      <w:r w:rsidRPr="001163E6">
        <w:rPr>
          <w:sz w:val="23"/>
          <w:szCs w:val="23"/>
        </w:rPr>
        <w:t xml:space="preserve">-У </w:t>
      </w:r>
      <w:r>
        <w:rPr>
          <w:sz w:val="23"/>
          <w:szCs w:val="23"/>
        </w:rPr>
        <w:br/>
      </w:r>
      <w:r w:rsidRPr="001163E6">
        <w:rPr>
          <w:sz w:val="23"/>
          <w:szCs w:val="23"/>
        </w:rPr>
        <w:t xml:space="preserve">«Об отмене Указания Приднестровского республиканского банка от 7 июня 2017 года </w:t>
      </w:r>
      <w:r w:rsidRPr="001163E6">
        <w:rPr>
          <w:sz w:val="23"/>
          <w:szCs w:val="23"/>
        </w:rPr>
        <w:br/>
        <w:t>№ 986-У «О внесении изменений в Инструкцию Приднестровского республиканского банка от 12 ноября 2002 года № 9-И «О безналичных расчётах в Приднестровской Молдавской Республике»;</w:t>
      </w:r>
    </w:p>
    <w:p w:rsidR="004E2069" w:rsidRPr="001163E6" w:rsidRDefault="004E2069" w:rsidP="00E90743">
      <w:pPr>
        <w:pStyle w:val="ListParagraph"/>
        <w:numPr>
          <w:ilvl w:val="0"/>
          <w:numId w:val="16"/>
        </w:numPr>
        <w:autoSpaceDE w:val="0"/>
        <w:autoSpaceDN w:val="0"/>
        <w:adjustRightInd w:val="0"/>
        <w:spacing w:before="120"/>
        <w:ind w:left="0" w:firstLine="426"/>
        <w:contextualSpacing/>
        <w:jc w:val="both"/>
        <w:rPr>
          <w:sz w:val="23"/>
          <w:szCs w:val="23"/>
        </w:rPr>
      </w:pPr>
      <w:r w:rsidRPr="001163E6">
        <w:rPr>
          <w:sz w:val="23"/>
          <w:szCs w:val="23"/>
        </w:rPr>
        <w:t xml:space="preserve">Указание Приднестровского республиканского банка от 6 июля 2017 года </w:t>
      </w:r>
      <w:r w:rsidRPr="001163E6">
        <w:rPr>
          <w:sz w:val="23"/>
          <w:szCs w:val="23"/>
        </w:rPr>
        <w:br/>
        <w:t xml:space="preserve">№ </w:t>
      </w:r>
      <w:hyperlink r:id="rId15" w:history="1">
        <w:r w:rsidRPr="001163E6">
          <w:rPr>
            <w:sz w:val="23"/>
            <w:szCs w:val="23"/>
          </w:rPr>
          <w:t>1005-У</w:t>
        </w:r>
      </w:hyperlink>
      <w:r w:rsidRPr="001163E6">
        <w:rPr>
          <w:sz w:val="23"/>
          <w:szCs w:val="23"/>
        </w:rPr>
        <w:t xml:space="preserve"> от 3 августа 2017 года «О внесении изменений и дополнения в Инструкцию Приднестровского республиканского банка от 8 августа 2006 года № 17-И «О порядке открытия, ведения, переоформления и закрытия счетов в банках Приднестровской Молдавской Республики»;</w:t>
      </w:r>
    </w:p>
    <w:p w:rsidR="004E2069" w:rsidRPr="001163E6" w:rsidRDefault="004E2069" w:rsidP="00E90743">
      <w:pPr>
        <w:pStyle w:val="ListParagraph"/>
        <w:numPr>
          <w:ilvl w:val="0"/>
          <w:numId w:val="16"/>
        </w:numPr>
        <w:tabs>
          <w:tab w:val="left" w:pos="709"/>
          <w:tab w:val="left" w:pos="851"/>
        </w:tabs>
        <w:autoSpaceDE w:val="0"/>
        <w:autoSpaceDN w:val="0"/>
        <w:adjustRightInd w:val="0"/>
        <w:spacing w:before="120"/>
        <w:ind w:left="0" w:firstLine="426"/>
        <w:contextualSpacing/>
        <w:jc w:val="both"/>
        <w:rPr>
          <w:sz w:val="23"/>
          <w:szCs w:val="23"/>
        </w:rPr>
      </w:pPr>
      <w:r w:rsidRPr="001163E6">
        <w:rPr>
          <w:sz w:val="23"/>
          <w:szCs w:val="23"/>
        </w:rPr>
        <w:t xml:space="preserve">Указание Приднестровского республиканского банка от 10 августа 2017 года </w:t>
      </w:r>
      <w:r w:rsidRPr="001163E6">
        <w:rPr>
          <w:sz w:val="23"/>
          <w:szCs w:val="23"/>
        </w:rPr>
        <w:br/>
        <w:t>№ 1007-У «О внесении изменения в Инструкцию Приднестровского республиканского банка от 12 ноября 2002 года № 9-И «О безналичных расчётах в Приднестровской Молдавской Республике».</w:t>
      </w:r>
    </w:p>
    <w:p w:rsidR="004E2069" w:rsidRPr="001163E6" w:rsidRDefault="004E2069" w:rsidP="00980420">
      <w:pPr>
        <w:widowControl w:val="0"/>
        <w:spacing w:before="120" w:after="120"/>
        <w:ind w:left="28" w:firstLine="425"/>
        <w:jc w:val="both"/>
        <w:rPr>
          <w:i/>
          <w:iCs/>
          <w:sz w:val="23"/>
          <w:szCs w:val="23"/>
        </w:rPr>
      </w:pPr>
      <w:r w:rsidRPr="001163E6">
        <w:rPr>
          <w:i/>
          <w:iCs/>
          <w:sz w:val="23"/>
          <w:szCs w:val="23"/>
        </w:rPr>
        <w:t>Межведомственное взаимодействие:</w:t>
      </w:r>
    </w:p>
    <w:p w:rsidR="004E2069" w:rsidRPr="001163E6" w:rsidRDefault="004E2069" w:rsidP="00E90743">
      <w:pPr>
        <w:pStyle w:val="111"/>
        <w:numPr>
          <w:ilvl w:val="0"/>
          <w:numId w:val="18"/>
        </w:numPr>
        <w:spacing w:before="0" w:after="0"/>
        <w:ind w:left="0" w:firstLine="426"/>
        <w:jc w:val="both"/>
        <w:rPr>
          <w:sz w:val="23"/>
          <w:szCs w:val="23"/>
        </w:rPr>
      </w:pPr>
      <w:r w:rsidRPr="001163E6">
        <w:rPr>
          <w:sz w:val="23"/>
          <w:szCs w:val="23"/>
        </w:rPr>
        <w:t xml:space="preserve">Приказ Государственного таможенного комитета Приднестровской Молдавской Республики и Приднестровского республиканского банка от 10 января 2017 года </w:t>
      </w:r>
      <w:r w:rsidRPr="001163E6">
        <w:rPr>
          <w:sz w:val="23"/>
          <w:szCs w:val="23"/>
        </w:rPr>
        <w:br/>
        <w:t>№ 01-06/3/10 «О внесении изменений в Приказ Государственного таможенного комитета Приднестровской Молдавской Республики и Приднестровского республиканского банка от 28 марта 2007 года № 85/01-07/38 «О введении в действие Инструкции «О порядке осуществления валютного контроля за поступлением в Приднестровскую Молдавскую Республику товаров и валютной выручки от экспорта товаров, работ, услуг»;</w:t>
      </w:r>
    </w:p>
    <w:p w:rsidR="004E2069" w:rsidRPr="00F82BA2" w:rsidRDefault="004E2069" w:rsidP="00F82BA2">
      <w:pPr>
        <w:pStyle w:val="111"/>
        <w:numPr>
          <w:ilvl w:val="0"/>
          <w:numId w:val="18"/>
        </w:numPr>
        <w:spacing w:before="0" w:after="0"/>
        <w:ind w:left="0" w:firstLine="426"/>
        <w:jc w:val="both"/>
        <w:rPr>
          <w:sz w:val="23"/>
          <w:szCs w:val="23"/>
        </w:rPr>
      </w:pPr>
      <w:r w:rsidRPr="001163E6">
        <w:rPr>
          <w:sz w:val="23"/>
          <w:szCs w:val="23"/>
        </w:rPr>
        <w:t xml:space="preserve">Приказ Государственного таможенного комитета Приднестровской Молдавской Республики и Приднестровского республиканского банка от 17 июля 2017 года </w:t>
      </w:r>
      <w:r w:rsidRPr="001163E6">
        <w:rPr>
          <w:sz w:val="23"/>
          <w:szCs w:val="23"/>
        </w:rPr>
        <w:br/>
      </w:r>
      <w:r>
        <w:rPr>
          <w:sz w:val="23"/>
          <w:szCs w:val="23"/>
        </w:rPr>
        <w:t xml:space="preserve">№ </w:t>
      </w:r>
      <w:r w:rsidRPr="00F82BA2">
        <w:rPr>
          <w:sz w:val="23"/>
          <w:szCs w:val="23"/>
        </w:rPr>
        <w:t xml:space="preserve">276/01-06/134 «О внесении изменений в Приказ Государственного таможенного комитета Приднестровской Молдавской Республики и Приднестровского республиканского банка от </w:t>
      </w:r>
      <w:r w:rsidRPr="00F82BA2">
        <w:rPr>
          <w:sz w:val="23"/>
          <w:szCs w:val="23"/>
        </w:rPr>
        <w:br/>
        <w:t>28 марта 2007 года № 85/01-07/38 «О введении в действие Инструкции «О порядке осуществления валютного контроля за поступлением в Приднестровскую Молдавскую Республику товаров и валютной выручки от экспорта товаров, работ, услуг»;</w:t>
      </w:r>
    </w:p>
    <w:p w:rsidR="004E2069" w:rsidRPr="001163E6" w:rsidRDefault="004E2069" w:rsidP="00E90743">
      <w:pPr>
        <w:pStyle w:val="111"/>
        <w:numPr>
          <w:ilvl w:val="0"/>
          <w:numId w:val="18"/>
        </w:numPr>
        <w:spacing w:before="0" w:after="0"/>
        <w:ind w:left="0" w:firstLine="426"/>
        <w:jc w:val="both"/>
        <w:rPr>
          <w:sz w:val="23"/>
          <w:szCs w:val="23"/>
        </w:rPr>
      </w:pPr>
      <w:r w:rsidRPr="001163E6">
        <w:rPr>
          <w:sz w:val="23"/>
          <w:szCs w:val="23"/>
        </w:rPr>
        <w:t xml:space="preserve">Приказ Приднестровского республиканского банка и Государственного таможенного комитета Приднестровской Молдавской Республики от 28 августа 2017 года </w:t>
      </w:r>
      <w:r w:rsidRPr="001163E6">
        <w:rPr>
          <w:sz w:val="23"/>
          <w:szCs w:val="23"/>
        </w:rPr>
        <w:br/>
        <w:t xml:space="preserve">№ 01-06/164/349 «О внесении изменений в Приказ Приднестровского республиканского банка и Государственного таможенного комитета Приднестровской Молдавской Республики от </w:t>
      </w:r>
      <w:r>
        <w:rPr>
          <w:sz w:val="23"/>
          <w:szCs w:val="23"/>
        </w:rPr>
        <w:br/>
      </w:r>
      <w:r w:rsidRPr="001163E6">
        <w:rPr>
          <w:sz w:val="23"/>
          <w:szCs w:val="23"/>
        </w:rPr>
        <w:t>12 августа 2008 года № 01-07/112/263 «Об информационном взаимодействии Приднестровского республиканского банка и Государственного таможенного комитета Приднестровской Молдавской Республики»;</w:t>
      </w:r>
    </w:p>
    <w:p w:rsidR="004E2069" w:rsidRPr="001163E6" w:rsidRDefault="004E2069" w:rsidP="00E90743">
      <w:pPr>
        <w:pStyle w:val="111"/>
        <w:numPr>
          <w:ilvl w:val="0"/>
          <w:numId w:val="18"/>
        </w:numPr>
        <w:spacing w:before="0" w:after="0"/>
        <w:ind w:left="0" w:firstLine="426"/>
        <w:jc w:val="both"/>
        <w:rPr>
          <w:sz w:val="23"/>
          <w:szCs w:val="23"/>
        </w:rPr>
      </w:pPr>
      <w:r w:rsidRPr="001163E6">
        <w:rPr>
          <w:sz w:val="23"/>
          <w:szCs w:val="23"/>
        </w:rPr>
        <w:t>Приказ Министерства финансов Приднестровской Молдавской Республики и Приднестровского республиканского банка от 31 августа 2017 года</w:t>
      </w:r>
      <w:r>
        <w:rPr>
          <w:sz w:val="23"/>
          <w:szCs w:val="23"/>
        </w:rPr>
        <w:t xml:space="preserve"> № </w:t>
      </w:r>
      <w:r w:rsidRPr="001163E6">
        <w:rPr>
          <w:sz w:val="23"/>
          <w:szCs w:val="23"/>
        </w:rPr>
        <w:t xml:space="preserve">174/01-06/168 </w:t>
      </w:r>
      <w:r>
        <w:rPr>
          <w:sz w:val="23"/>
          <w:szCs w:val="23"/>
        </w:rPr>
        <w:br/>
      </w:r>
      <w:r w:rsidRPr="001163E6">
        <w:rPr>
          <w:sz w:val="23"/>
          <w:szCs w:val="23"/>
        </w:rPr>
        <w:t>«О создании комиссии по приёму-передаче документов из министерства финансов Приднестровской Молдавской Республики в Приднестровский республиканский банк»;</w:t>
      </w:r>
    </w:p>
    <w:p w:rsidR="004E2069" w:rsidRPr="001163E6" w:rsidRDefault="004E2069" w:rsidP="00E90743">
      <w:pPr>
        <w:pStyle w:val="111"/>
        <w:numPr>
          <w:ilvl w:val="0"/>
          <w:numId w:val="18"/>
        </w:numPr>
        <w:spacing w:before="0" w:after="0"/>
        <w:ind w:left="0" w:firstLine="426"/>
        <w:jc w:val="both"/>
        <w:rPr>
          <w:sz w:val="23"/>
          <w:szCs w:val="23"/>
        </w:rPr>
      </w:pPr>
      <w:r w:rsidRPr="001163E6">
        <w:rPr>
          <w:sz w:val="23"/>
          <w:szCs w:val="23"/>
        </w:rPr>
        <w:t xml:space="preserve">Приказ Министерства финансов Приднестровской Молдавской Республики, Министерства внутренних дел Приднестровской Молдавской Республики, Приднестровского республиканского банка от 17 октября 2017 года № 200/540/24-06/10 «О внесении изменений и дополнения в совместный Приказ Министерства финансов Приднестровской Молдавской Республики, Министерства внутренних дел Приднестровской Молдавской Республики, Приднестровского республиканского банка от 11 мая 2012 года </w:t>
      </w:r>
      <w:r w:rsidRPr="001163E6">
        <w:rPr>
          <w:sz w:val="23"/>
          <w:szCs w:val="23"/>
          <w:lang w:eastAsia="en-US"/>
        </w:rPr>
        <w:t xml:space="preserve">№ </w:t>
      </w:r>
      <w:r w:rsidRPr="001163E6">
        <w:rPr>
          <w:sz w:val="23"/>
          <w:szCs w:val="23"/>
        </w:rPr>
        <w:t>67/228/01-05/69 «О порядке обмена информацией между Министерством внутренних дел Приднестровской Молдавской Республики, Министерством финансов Приднестровской Молдавской Республики и Приднестровским республиканским банком» (</w:t>
      </w:r>
      <w:r w:rsidRPr="001163E6">
        <w:rPr>
          <w:bCs/>
          <w:sz w:val="23"/>
          <w:szCs w:val="23"/>
        </w:rPr>
        <w:t xml:space="preserve">регистрационный № 8024 </w:t>
      </w:r>
      <w:r w:rsidRPr="001163E6">
        <w:rPr>
          <w:sz w:val="23"/>
          <w:szCs w:val="23"/>
        </w:rPr>
        <w:t xml:space="preserve">от </w:t>
      </w:r>
      <w:r w:rsidRPr="001163E6">
        <w:rPr>
          <w:bCs/>
          <w:sz w:val="23"/>
          <w:szCs w:val="23"/>
        </w:rPr>
        <w:t>10 ноября 2017 года);</w:t>
      </w:r>
    </w:p>
    <w:p w:rsidR="004E2069" w:rsidRPr="001163E6" w:rsidRDefault="004E2069" w:rsidP="00980420">
      <w:pPr>
        <w:ind w:firstLine="425"/>
        <w:jc w:val="both"/>
        <w:rPr>
          <w:sz w:val="23"/>
          <w:szCs w:val="23"/>
        </w:rPr>
      </w:pPr>
      <w:r w:rsidRPr="001163E6">
        <w:rPr>
          <w:bCs/>
          <w:sz w:val="23"/>
          <w:szCs w:val="23"/>
        </w:rPr>
        <w:t>6.</w:t>
      </w:r>
      <w:r w:rsidRPr="001163E6">
        <w:rPr>
          <w:sz w:val="23"/>
          <w:szCs w:val="23"/>
        </w:rPr>
        <w:t xml:space="preserve"> Приказ Государственного таможенного комитета Приднестровской Молдавской Республики и Приднестровского республиканского банка от 19 декабря 2017 года </w:t>
      </w:r>
      <w:r>
        <w:rPr>
          <w:sz w:val="23"/>
          <w:szCs w:val="23"/>
        </w:rPr>
        <w:br/>
      </w:r>
      <w:r w:rsidRPr="001163E6">
        <w:rPr>
          <w:sz w:val="23"/>
          <w:szCs w:val="23"/>
        </w:rPr>
        <w:t>№ 511/24-06/33 «О внесении изменения в Приказ Государственного таможенного комитета Приднестровской Молдавской Республики и Приднестровского республиканского банка от 28 марта 2007 года № 85/01-07/38 «О введении в действие Инструкции «О порядке осуществления валютного контроля за поступлением в Приднестровскую Молдавскую Республику товаров и валютной выручки от экспорта товаров, работ, услуг» (регистрационный № 8071 от 25 декабря 2017 года).</w:t>
      </w:r>
    </w:p>
    <w:p w:rsidR="004E2069" w:rsidRPr="001163E6" w:rsidRDefault="004E2069" w:rsidP="00980420">
      <w:pPr>
        <w:widowControl w:val="0"/>
        <w:tabs>
          <w:tab w:val="num" w:pos="426"/>
          <w:tab w:val="num" w:pos="540"/>
        </w:tabs>
        <w:autoSpaceDE w:val="0"/>
        <w:autoSpaceDN w:val="0"/>
        <w:adjustRightInd w:val="0"/>
        <w:spacing w:before="120" w:after="120"/>
        <w:ind w:firstLine="425"/>
        <w:jc w:val="both"/>
        <w:rPr>
          <w:i/>
          <w:iCs/>
          <w:sz w:val="23"/>
          <w:szCs w:val="23"/>
        </w:rPr>
      </w:pPr>
      <w:r w:rsidRPr="001163E6">
        <w:rPr>
          <w:i/>
          <w:iCs/>
          <w:sz w:val="23"/>
          <w:szCs w:val="23"/>
        </w:rPr>
        <w:tab/>
        <w:t xml:space="preserve">В области регулирования деятельности Приднестровского республиканского банка </w:t>
      </w:r>
    </w:p>
    <w:p w:rsidR="004E2069" w:rsidRPr="001163E6" w:rsidRDefault="004E2069" w:rsidP="00980420">
      <w:pPr>
        <w:widowControl w:val="0"/>
        <w:ind w:firstLine="425"/>
        <w:jc w:val="both"/>
        <w:rPr>
          <w:sz w:val="23"/>
          <w:szCs w:val="23"/>
        </w:rPr>
      </w:pPr>
      <w:r w:rsidRPr="001163E6">
        <w:rPr>
          <w:sz w:val="23"/>
          <w:szCs w:val="23"/>
        </w:rPr>
        <w:t xml:space="preserve">В целях регулирования внутренней деятельности Приднестровского республиканского банка было принято 32 внутренних нормативных акта. </w:t>
      </w:r>
    </w:p>
    <w:p w:rsidR="004E2069" w:rsidRDefault="004E2069">
      <w:pPr>
        <w:rPr>
          <w:i/>
          <w:iCs/>
          <w:sz w:val="24"/>
          <w:szCs w:val="24"/>
        </w:rPr>
      </w:pPr>
      <w:r>
        <w:rPr>
          <w:i/>
          <w:iCs/>
          <w:sz w:val="24"/>
          <w:szCs w:val="24"/>
        </w:rPr>
        <w:br w:type="page"/>
      </w:r>
    </w:p>
    <w:p w:rsidR="004E2069" w:rsidRPr="003D73E2" w:rsidRDefault="004E2069" w:rsidP="001607D3">
      <w:pPr>
        <w:jc w:val="right"/>
        <w:rPr>
          <w:i/>
          <w:iCs/>
          <w:sz w:val="24"/>
          <w:szCs w:val="24"/>
        </w:rPr>
      </w:pPr>
      <w:r w:rsidRPr="003D73E2">
        <w:rPr>
          <w:i/>
          <w:iCs/>
          <w:sz w:val="24"/>
          <w:szCs w:val="24"/>
        </w:rPr>
        <w:t>ПРИЛОЖЕНИЕ</w:t>
      </w:r>
    </w:p>
    <w:p w:rsidR="004E2069" w:rsidRPr="003D73E2" w:rsidRDefault="004E2069" w:rsidP="001607D3">
      <w:pPr>
        <w:widowControl w:val="0"/>
        <w:jc w:val="center"/>
        <w:rPr>
          <w:b/>
          <w:bCs/>
          <w:i/>
          <w:iCs/>
          <w:sz w:val="24"/>
          <w:szCs w:val="24"/>
        </w:rPr>
      </w:pPr>
      <w:r w:rsidRPr="003D73E2">
        <w:rPr>
          <w:b/>
          <w:bCs/>
          <w:i/>
          <w:iCs/>
          <w:sz w:val="24"/>
          <w:szCs w:val="24"/>
        </w:rPr>
        <w:t xml:space="preserve">Отчёт об исполнении сметы доходов и расходов </w:t>
      </w:r>
    </w:p>
    <w:p w:rsidR="004E2069" w:rsidRPr="003D73E2" w:rsidRDefault="004E2069" w:rsidP="001607D3">
      <w:pPr>
        <w:widowControl w:val="0"/>
        <w:jc w:val="center"/>
        <w:rPr>
          <w:b/>
          <w:bCs/>
          <w:i/>
          <w:iCs/>
          <w:sz w:val="24"/>
          <w:szCs w:val="24"/>
        </w:rPr>
      </w:pPr>
      <w:r w:rsidRPr="003D73E2">
        <w:rPr>
          <w:b/>
          <w:bCs/>
          <w:i/>
          <w:iCs/>
          <w:sz w:val="24"/>
          <w:szCs w:val="24"/>
        </w:rPr>
        <w:t>Приднестровского республиканского банка за 201</w:t>
      </w:r>
      <w:r>
        <w:rPr>
          <w:b/>
          <w:bCs/>
          <w:i/>
          <w:iCs/>
          <w:sz w:val="24"/>
          <w:szCs w:val="24"/>
        </w:rPr>
        <w:t xml:space="preserve">7 </w:t>
      </w:r>
      <w:r w:rsidRPr="003D73E2">
        <w:rPr>
          <w:b/>
          <w:bCs/>
          <w:i/>
          <w:iCs/>
          <w:sz w:val="24"/>
          <w:szCs w:val="24"/>
        </w:rPr>
        <w:t>год</w:t>
      </w:r>
    </w:p>
    <w:p w:rsidR="004E2069" w:rsidRDefault="004E2069" w:rsidP="001607D3">
      <w:pPr>
        <w:widowControl w:val="0"/>
        <w:jc w:val="right"/>
        <w:rPr>
          <w:sz w:val="22"/>
          <w:szCs w:val="22"/>
        </w:rPr>
      </w:pPr>
      <w:r w:rsidRPr="003D73E2">
        <w:rPr>
          <w:b/>
          <w:bCs/>
          <w:i/>
          <w:iCs/>
          <w:sz w:val="22"/>
          <w:szCs w:val="22"/>
        </w:rPr>
        <w:t xml:space="preserve"> </w:t>
      </w:r>
      <w:r w:rsidRPr="003D73E2">
        <w:rPr>
          <w:sz w:val="22"/>
          <w:szCs w:val="22"/>
        </w:rPr>
        <w:t>тыс. руб.</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
        <w:gridCol w:w="5051"/>
        <w:gridCol w:w="1419"/>
        <w:gridCol w:w="1419"/>
        <w:gridCol w:w="1420"/>
      </w:tblGrid>
      <w:tr w:rsidR="004E2069" w:rsidRPr="000A7F1D" w:rsidTr="00EA3AD6">
        <w:tc>
          <w:tcPr>
            <w:tcW w:w="322" w:type="dxa"/>
            <w:shd w:val="clear" w:color="auto" w:fill="B3B3B3"/>
            <w:vAlign w:val="center"/>
          </w:tcPr>
          <w:p w:rsidR="004E2069" w:rsidRPr="000A7F1D" w:rsidRDefault="004E2069" w:rsidP="000A7F1D">
            <w:pPr>
              <w:ind w:left="-57" w:right="-57"/>
              <w:jc w:val="center"/>
              <w:rPr>
                <w:bCs/>
                <w:iCs/>
                <w:sz w:val="22"/>
                <w:szCs w:val="22"/>
              </w:rPr>
            </w:pPr>
            <w:r w:rsidRPr="000A7F1D">
              <w:rPr>
                <w:bCs/>
                <w:iCs/>
                <w:sz w:val="22"/>
                <w:szCs w:val="22"/>
              </w:rPr>
              <w:t>№</w:t>
            </w:r>
          </w:p>
          <w:p w:rsidR="004E2069" w:rsidRPr="000A7F1D" w:rsidRDefault="004E2069" w:rsidP="000A7F1D">
            <w:pPr>
              <w:ind w:left="-57" w:right="-57"/>
              <w:jc w:val="center"/>
              <w:rPr>
                <w:bCs/>
                <w:iCs/>
                <w:sz w:val="22"/>
                <w:szCs w:val="22"/>
              </w:rPr>
            </w:pPr>
            <w:r w:rsidRPr="000A7F1D">
              <w:rPr>
                <w:bCs/>
                <w:iCs/>
                <w:sz w:val="22"/>
                <w:szCs w:val="22"/>
              </w:rPr>
              <w:t>п/п</w:t>
            </w:r>
          </w:p>
        </w:tc>
        <w:tc>
          <w:tcPr>
            <w:tcW w:w="5051" w:type="dxa"/>
            <w:shd w:val="clear" w:color="auto" w:fill="B3B3B3"/>
            <w:vAlign w:val="center"/>
          </w:tcPr>
          <w:p w:rsidR="004E2069" w:rsidRPr="000A7F1D" w:rsidRDefault="004E2069" w:rsidP="000A7F1D">
            <w:pPr>
              <w:jc w:val="center"/>
              <w:rPr>
                <w:bCs/>
                <w:iCs/>
                <w:sz w:val="22"/>
                <w:szCs w:val="22"/>
              </w:rPr>
            </w:pPr>
            <w:r w:rsidRPr="000A7F1D">
              <w:rPr>
                <w:bCs/>
                <w:iCs/>
                <w:sz w:val="22"/>
                <w:szCs w:val="22"/>
              </w:rPr>
              <w:t>Наименование статьи</w:t>
            </w:r>
          </w:p>
        </w:tc>
        <w:tc>
          <w:tcPr>
            <w:tcW w:w="1419" w:type="dxa"/>
            <w:shd w:val="clear" w:color="auto" w:fill="B3B3B3"/>
            <w:vAlign w:val="center"/>
          </w:tcPr>
          <w:p w:rsidR="004E2069" w:rsidRPr="000A7F1D" w:rsidRDefault="004E2069" w:rsidP="000A7F1D">
            <w:pPr>
              <w:ind w:left="-57" w:right="-57"/>
              <w:jc w:val="center"/>
              <w:rPr>
                <w:bCs/>
                <w:iCs/>
                <w:sz w:val="22"/>
                <w:szCs w:val="22"/>
              </w:rPr>
            </w:pPr>
            <w:r w:rsidRPr="000A7F1D">
              <w:rPr>
                <w:bCs/>
                <w:iCs/>
                <w:sz w:val="22"/>
                <w:szCs w:val="22"/>
              </w:rPr>
              <w:t xml:space="preserve">Утверждено на 2017 год </w:t>
            </w:r>
          </w:p>
        </w:tc>
        <w:tc>
          <w:tcPr>
            <w:tcW w:w="1419" w:type="dxa"/>
            <w:shd w:val="clear" w:color="auto" w:fill="B3B3B3"/>
            <w:vAlign w:val="center"/>
          </w:tcPr>
          <w:p w:rsidR="004E2069" w:rsidRPr="000A7F1D" w:rsidRDefault="004E2069" w:rsidP="000A7F1D">
            <w:pPr>
              <w:ind w:left="-114" w:right="-105"/>
              <w:jc w:val="center"/>
              <w:rPr>
                <w:bCs/>
                <w:iCs/>
                <w:sz w:val="22"/>
                <w:szCs w:val="22"/>
              </w:rPr>
            </w:pPr>
            <w:r w:rsidRPr="000A7F1D">
              <w:rPr>
                <w:bCs/>
                <w:iCs/>
                <w:sz w:val="22"/>
                <w:szCs w:val="22"/>
              </w:rPr>
              <w:t xml:space="preserve">Фактическое исполнение за </w:t>
            </w:r>
            <w:r w:rsidRPr="000A7F1D">
              <w:rPr>
                <w:bCs/>
                <w:iCs/>
                <w:sz w:val="22"/>
                <w:szCs w:val="22"/>
              </w:rPr>
              <w:br/>
              <w:t>2017 год</w:t>
            </w:r>
          </w:p>
        </w:tc>
        <w:tc>
          <w:tcPr>
            <w:tcW w:w="1420" w:type="dxa"/>
            <w:shd w:val="clear" w:color="auto" w:fill="B3B3B3"/>
            <w:vAlign w:val="center"/>
          </w:tcPr>
          <w:p w:rsidR="004E2069" w:rsidRPr="000A7F1D" w:rsidRDefault="004E2069" w:rsidP="000A7F1D">
            <w:pPr>
              <w:ind w:left="-57" w:right="-57"/>
              <w:jc w:val="center"/>
              <w:rPr>
                <w:bCs/>
                <w:iCs/>
                <w:sz w:val="22"/>
                <w:szCs w:val="22"/>
              </w:rPr>
            </w:pPr>
            <w:r w:rsidRPr="000A7F1D">
              <w:rPr>
                <w:bCs/>
                <w:iCs/>
                <w:sz w:val="22"/>
                <w:szCs w:val="22"/>
              </w:rPr>
              <w:t>Выполнение плана за отчётный период, %</w:t>
            </w:r>
          </w:p>
        </w:tc>
      </w:tr>
      <w:tr w:rsidR="004E2069" w:rsidRPr="000A7F1D" w:rsidTr="00EA3AD6">
        <w:tc>
          <w:tcPr>
            <w:tcW w:w="322" w:type="dxa"/>
            <w:shd w:val="clear" w:color="auto" w:fill="CCCCCC"/>
          </w:tcPr>
          <w:p w:rsidR="004E2069" w:rsidRPr="000A7F1D" w:rsidRDefault="004E2069" w:rsidP="000A7F1D">
            <w:pPr>
              <w:ind w:left="-57" w:right="-57"/>
              <w:jc w:val="center"/>
              <w:rPr>
                <w:bCs/>
                <w:iCs/>
                <w:sz w:val="22"/>
                <w:szCs w:val="22"/>
              </w:rPr>
            </w:pPr>
          </w:p>
        </w:tc>
        <w:tc>
          <w:tcPr>
            <w:tcW w:w="5051" w:type="dxa"/>
            <w:shd w:val="clear" w:color="auto" w:fill="CCCCCC"/>
          </w:tcPr>
          <w:p w:rsidR="004E2069" w:rsidRPr="000A7F1D" w:rsidRDefault="004E2069" w:rsidP="000A7F1D">
            <w:pPr>
              <w:rPr>
                <w:b/>
                <w:bCs/>
                <w:iCs/>
                <w:sz w:val="22"/>
                <w:szCs w:val="22"/>
              </w:rPr>
            </w:pPr>
            <w:r w:rsidRPr="000A7F1D">
              <w:rPr>
                <w:b/>
                <w:bCs/>
                <w:iCs/>
                <w:sz w:val="22"/>
                <w:szCs w:val="22"/>
              </w:rPr>
              <w:t>Доходы</w:t>
            </w:r>
          </w:p>
        </w:tc>
        <w:tc>
          <w:tcPr>
            <w:tcW w:w="1419" w:type="dxa"/>
            <w:shd w:val="clear" w:color="auto" w:fill="CCCCCC"/>
          </w:tcPr>
          <w:p w:rsidR="004E2069" w:rsidRPr="000A7F1D" w:rsidRDefault="004E2069" w:rsidP="000A7F1D">
            <w:pPr>
              <w:ind w:right="57"/>
              <w:jc w:val="right"/>
              <w:rPr>
                <w:bCs/>
                <w:iCs/>
                <w:sz w:val="22"/>
                <w:szCs w:val="22"/>
              </w:rPr>
            </w:pPr>
          </w:p>
        </w:tc>
        <w:tc>
          <w:tcPr>
            <w:tcW w:w="1419" w:type="dxa"/>
            <w:shd w:val="clear" w:color="auto" w:fill="CCCCCC"/>
          </w:tcPr>
          <w:p w:rsidR="004E2069" w:rsidRPr="000A7F1D" w:rsidRDefault="004E2069" w:rsidP="000A7F1D">
            <w:pPr>
              <w:ind w:right="57"/>
              <w:jc w:val="right"/>
              <w:rPr>
                <w:bCs/>
                <w:iCs/>
                <w:sz w:val="22"/>
                <w:szCs w:val="22"/>
              </w:rPr>
            </w:pPr>
          </w:p>
        </w:tc>
        <w:tc>
          <w:tcPr>
            <w:tcW w:w="1420" w:type="dxa"/>
            <w:shd w:val="clear" w:color="auto" w:fill="CCCCCC"/>
          </w:tcPr>
          <w:p w:rsidR="004E2069" w:rsidRPr="000A7F1D" w:rsidRDefault="004E2069" w:rsidP="000A7F1D">
            <w:pPr>
              <w:ind w:right="57"/>
              <w:jc w:val="right"/>
              <w:rPr>
                <w:bCs/>
                <w:iCs/>
                <w:sz w:val="22"/>
                <w:szCs w:val="22"/>
              </w:rPr>
            </w:pPr>
          </w:p>
        </w:tc>
      </w:tr>
      <w:tr w:rsidR="004E2069" w:rsidRPr="000A7F1D" w:rsidTr="00F82BA2">
        <w:tc>
          <w:tcPr>
            <w:tcW w:w="322" w:type="dxa"/>
          </w:tcPr>
          <w:p w:rsidR="004E2069" w:rsidRPr="000A7F1D" w:rsidRDefault="004E2069" w:rsidP="000A7F1D">
            <w:pPr>
              <w:ind w:left="-57" w:right="-57"/>
              <w:jc w:val="center"/>
              <w:rPr>
                <w:bCs/>
                <w:iCs/>
                <w:sz w:val="22"/>
                <w:szCs w:val="22"/>
              </w:rPr>
            </w:pPr>
            <w:r w:rsidRPr="000A7F1D">
              <w:rPr>
                <w:bCs/>
                <w:iCs/>
                <w:sz w:val="22"/>
                <w:szCs w:val="22"/>
              </w:rPr>
              <w:t>1</w:t>
            </w:r>
          </w:p>
        </w:tc>
        <w:tc>
          <w:tcPr>
            <w:tcW w:w="5051" w:type="dxa"/>
          </w:tcPr>
          <w:p w:rsidR="004E2069" w:rsidRPr="000A7F1D" w:rsidRDefault="004E2069" w:rsidP="000A7F1D">
            <w:pPr>
              <w:rPr>
                <w:color w:val="000000"/>
                <w:sz w:val="22"/>
                <w:szCs w:val="22"/>
              </w:rPr>
            </w:pPr>
            <w:r w:rsidRPr="000A7F1D">
              <w:rPr>
                <w:color w:val="000000"/>
                <w:sz w:val="22"/>
                <w:szCs w:val="22"/>
              </w:rPr>
              <w:t xml:space="preserve">Процентные доходы, </w:t>
            </w:r>
          </w:p>
          <w:p w:rsidR="004E2069" w:rsidRPr="000A7F1D" w:rsidRDefault="004E2069" w:rsidP="000A7F1D">
            <w:pPr>
              <w:rPr>
                <w:bCs/>
                <w:iCs/>
                <w:sz w:val="22"/>
                <w:szCs w:val="22"/>
              </w:rPr>
            </w:pPr>
            <w:r w:rsidRPr="000A7F1D">
              <w:rPr>
                <w:color w:val="000000"/>
                <w:sz w:val="22"/>
                <w:szCs w:val="22"/>
              </w:rPr>
              <w:t>из них:</w:t>
            </w:r>
          </w:p>
        </w:tc>
        <w:tc>
          <w:tcPr>
            <w:tcW w:w="1419" w:type="dxa"/>
          </w:tcPr>
          <w:p w:rsidR="004E2069" w:rsidRPr="000A7F1D" w:rsidRDefault="004E2069" w:rsidP="00F82BA2">
            <w:pPr>
              <w:tabs>
                <w:tab w:val="left" w:pos="742"/>
              </w:tabs>
              <w:ind w:right="57"/>
              <w:jc w:val="right"/>
              <w:rPr>
                <w:sz w:val="22"/>
                <w:szCs w:val="22"/>
              </w:rPr>
            </w:pPr>
            <w:r w:rsidRPr="000A7F1D">
              <w:rPr>
                <w:bCs/>
                <w:iCs/>
                <w:sz w:val="22"/>
                <w:szCs w:val="22"/>
              </w:rPr>
              <w:t>16 403</w:t>
            </w:r>
          </w:p>
        </w:tc>
        <w:tc>
          <w:tcPr>
            <w:tcW w:w="1419" w:type="dxa"/>
          </w:tcPr>
          <w:p w:rsidR="004E2069" w:rsidRPr="000A7F1D" w:rsidRDefault="004E2069" w:rsidP="00F82BA2">
            <w:pPr>
              <w:ind w:right="57"/>
              <w:jc w:val="right"/>
              <w:rPr>
                <w:bCs/>
                <w:iCs/>
                <w:sz w:val="22"/>
                <w:szCs w:val="22"/>
              </w:rPr>
            </w:pPr>
            <w:r w:rsidRPr="000A7F1D">
              <w:rPr>
                <w:bCs/>
                <w:iCs/>
                <w:sz w:val="22"/>
                <w:szCs w:val="22"/>
              </w:rPr>
              <w:t>17 887</w:t>
            </w:r>
          </w:p>
        </w:tc>
        <w:tc>
          <w:tcPr>
            <w:tcW w:w="1420" w:type="dxa"/>
          </w:tcPr>
          <w:p w:rsidR="004E2069" w:rsidRPr="000A7F1D" w:rsidRDefault="004E2069" w:rsidP="00F82BA2">
            <w:pPr>
              <w:ind w:right="57"/>
              <w:jc w:val="right"/>
              <w:rPr>
                <w:bCs/>
                <w:iCs/>
                <w:sz w:val="22"/>
                <w:szCs w:val="22"/>
              </w:rPr>
            </w:pPr>
            <w:r w:rsidRPr="000A7F1D">
              <w:rPr>
                <w:bCs/>
                <w:iCs/>
                <w:sz w:val="22"/>
                <w:szCs w:val="22"/>
              </w:rPr>
              <w:t>109,0</w:t>
            </w:r>
          </w:p>
        </w:tc>
      </w:tr>
      <w:tr w:rsidR="004E2069" w:rsidRPr="000A7F1D" w:rsidTr="00EA3AD6">
        <w:tc>
          <w:tcPr>
            <w:tcW w:w="322" w:type="dxa"/>
          </w:tcPr>
          <w:p w:rsidR="004E2069" w:rsidRPr="000A7F1D" w:rsidRDefault="004E2069" w:rsidP="000A7F1D">
            <w:pPr>
              <w:ind w:left="-57" w:right="-57"/>
              <w:jc w:val="center"/>
              <w:rPr>
                <w:bCs/>
                <w:iCs/>
                <w:sz w:val="22"/>
                <w:szCs w:val="22"/>
              </w:rPr>
            </w:pPr>
          </w:p>
        </w:tc>
        <w:tc>
          <w:tcPr>
            <w:tcW w:w="5051" w:type="dxa"/>
          </w:tcPr>
          <w:p w:rsidR="004E2069" w:rsidRPr="000A7F1D" w:rsidRDefault="004E2069" w:rsidP="000A7F1D">
            <w:pPr>
              <w:ind w:left="138"/>
              <w:rPr>
                <w:bCs/>
                <w:iCs/>
                <w:sz w:val="22"/>
                <w:szCs w:val="22"/>
              </w:rPr>
            </w:pPr>
            <w:r w:rsidRPr="000A7F1D">
              <w:rPr>
                <w:color w:val="000000"/>
                <w:sz w:val="22"/>
                <w:szCs w:val="22"/>
              </w:rPr>
              <w:t>1.1. по ценным бумагам</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30</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30</w:t>
            </w:r>
          </w:p>
        </w:tc>
        <w:tc>
          <w:tcPr>
            <w:tcW w:w="1420" w:type="dxa"/>
            <w:vAlign w:val="bottom"/>
          </w:tcPr>
          <w:p w:rsidR="004E2069" w:rsidRPr="000A7F1D" w:rsidRDefault="004E2069" w:rsidP="000A7F1D">
            <w:pPr>
              <w:ind w:right="57"/>
              <w:jc w:val="right"/>
              <w:rPr>
                <w:bCs/>
                <w:iCs/>
                <w:sz w:val="22"/>
                <w:szCs w:val="22"/>
              </w:rPr>
            </w:pPr>
            <w:r w:rsidRPr="000A7F1D">
              <w:rPr>
                <w:bCs/>
                <w:iCs/>
                <w:sz w:val="22"/>
                <w:szCs w:val="22"/>
              </w:rPr>
              <w:t>100,0</w:t>
            </w:r>
          </w:p>
        </w:tc>
      </w:tr>
      <w:tr w:rsidR="004E2069" w:rsidRPr="000A7F1D" w:rsidTr="00EA3AD6">
        <w:tc>
          <w:tcPr>
            <w:tcW w:w="322" w:type="dxa"/>
          </w:tcPr>
          <w:p w:rsidR="004E2069" w:rsidRPr="000A7F1D" w:rsidRDefault="004E2069" w:rsidP="000A7F1D">
            <w:pPr>
              <w:ind w:left="-57" w:right="-57"/>
              <w:jc w:val="center"/>
              <w:rPr>
                <w:bCs/>
                <w:iCs/>
                <w:sz w:val="22"/>
                <w:szCs w:val="22"/>
              </w:rPr>
            </w:pPr>
          </w:p>
        </w:tc>
        <w:tc>
          <w:tcPr>
            <w:tcW w:w="5051" w:type="dxa"/>
          </w:tcPr>
          <w:p w:rsidR="004E2069" w:rsidRPr="000A7F1D" w:rsidRDefault="004E2069" w:rsidP="000A7F1D">
            <w:pPr>
              <w:ind w:left="138"/>
              <w:rPr>
                <w:bCs/>
                <w:iCs/>
                <w:sz w:val="22"/>
                <w:szCs w:val="22"/>
              </w:rPr>
            </w:pPr>
            <w:r w:rsidRPr="000A7F1D">
              <w:rPr>
                <w:color w:val="000000"/>
                <w:sz w:val="22"/>
                <w:szCs w:val="22"/>
              </w:rPr>
              <w:t>1.2. по размещениям</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15 286</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12 289</w:t>
            </w:r>
          </w:p>
        </w:tc>
        <w:tc>
          <w:tcPr>
            <w:tcW w:w="1420" w:type="dxa"/>
            <w:vAlign w:val="bottom"/>
          </w:tcPr>
          <w:p w:rsidR="004E2069" w:rsidRPr="000A7F1D" w:rsidRDefault="004E2069" w:rsidP="000A7F1D">
            <w:pPr>
              <w:ind w:right="57"/>
              <w:jc w:val="right"/>
              <w:rPr>
                <w:bCs/>
                <w:iCs/>
                <w:sz w:val="22"/>
                <w:szCs w:val="22"/>
              </w:rPr>
            </w:pPr>
            <w:r w:rsidRPr="000A7F1D">
              <w:rPr>
                <w:bCs/>
                <w:iCs/>
                <w:sz w:val="22"/>
                <w:szCs w:val="22"/>
              </w:rPr>
              <w:t>80,4</w:t>
            </w:r>
          </w:p>
        </w:tc>
      </w:tr>
      <w:tr w:rsidR="004E2069" w:rsidRPr="000A7F1D" w:rsidTr="00EA3AD6">
        <w:tc>
          <w:tcPr>
            <w:tcW w:w="322" w:type="dxa"/>
          </w:tcPr>
          <w:p w:rsidR="004E2069" w:rsidRPr="000A7F1D" w:rsidRDefault="004E2069" w:rsidP="000A7F1D">
            <w:pPr>
              <w:ind w:left="-57" w:right="-57"/>
              <w:jc w:val="center"/>
              <w:rPr>
                <w:bCs/>
                <w:iCs/>
                <w:sz w:val="22"/>
                <w:szCs w:val="22"/>
              </w:rPr>
            </w:pPr>
          </w:p>
        </w:tc>
        <w:tc>
          <w:tcPr>
            <w:tcW w:w="5051" w:type="dxa"/>
          </w:tcPr>
          <w:p w:rsidR="004E2069" w:rsidRPr="000A7F1D" w:rsidRDefault="004E2069" w:rsidP="000A7F1D">
            <w:pPr>
              <w:ind w:left="138"/>
              <w:rPr>
                <w:bCs/>
                <w:iCs/>
                <w:sz w:val="22"/>
                <w:szCs w:val="22"/>
              </w:rPr>
            </w:pPr>
            <w:r w:rsidRPr="000A7F1D">
              <w:rPr>
                <w:color w:val="000000"/>
                <w:sz w:val="22"/>
                <w:szCs w:val="22"/>
              </w:rPr>
              <w:t>1.3. по кредитам и прочим размещённым средствам</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1 087</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5 568</w:t>
            </w:r>
          </w:p>
        </w:tc>
        <w:tc>
          <w:tcPr>
            <w:tcW w:w="1420" w:type="dxa"/>
            <w:vAlign w:val="bottom"/>
          </w:tcPr>
          <w:p w:rsidR="004E2069" w:rsidRPr="000A7F1D" w:rsidRDefault="004E2069" w:rsidP="000A7F1D">
            <w:pPr>
              <w:ind w:right="57"/>
              <w:jc w:val="right"/>
              <w:rPr>
                <w:bCs/>
                <w:iCs/>
                <w:sz w:val="22"/>
                <w:szCs w:val="22"/>
              </w:rPr>
            </w:pPr>
            <w:r w:rsidRPr="000A7F1D">
              <w:rPr>
                <w:bCs/>
                <w:iCs/>
                <w:sz w:val="22"/>
                <w:szCs w:val="22"/>
              </w:rPr>
              <w:t>512,2</w:t>
            </w:r>
          </w:p>
        </w:tc>
      </w:tr>
      <w:tr w:rsidR="004E2069" w:rsidRPr="000A7F1D" w:rsidTr="00EA3AD6">
        <w:tc>
          <w:tcPr>
            <w:tcW w:w="322" w:type="dxa"/>
          </w:tcPr>
          <w:p w:rsidR="004E2069" w:rsidRPr="000A7F1D" w:rsidRDefault="004E2069" w:rsidP="000A7F1D">
            <w:pPr>
              <w:ind w:left="-57" w:right="-57"/>
              <w:jc w:val="center"/>
              <w:rPr>
                <w:bCs/>
                <w:iCs/>
                <w:sz w:val="22"/>
                <w:szCs w:val="22"/>
              </w:rPr>
            </w:pPr>
            <w:r w:rsidRPr="000A7F1D">
              <w:rPr>
                <w:bCs/>
                <w:iCs/>
                <w:sz w:val="22"/>
                <w:szCs w:val="22"/>
              </w:rPr>
              <w:t>2</w:t>
            </w:r>
          </w:p>
        </w:tc>
        <w:tc>
          <w:tcPr>
            <w:tcW w:w="5051" w:type="dxa"/>
          </w:tcPr>
          <w:p w:rsidR="004E2069" w:rsidRPr="000A7F1D" w:rsidRDefault="004E2069" w:rsidP="000A7F1D">
            <w:pPr>
              <w:rPr>
                <w:bCs/>
                <w:iCs/>
                <w:sz w:val="22"/>
                <w:szCs w:val="22"/>
              </w:rPr>
            </w:pPr>
            <w:r w:rsidRPr="000A7F1D">
              <w:rPr>
                <w:color w:val="000000"/>
                <w:sz w:val="22"/>
                <w:szCs w:val="22"/>
              </w:rPr>
              <w:t>Доходы от участия в капиталах кредитных и иных организаций</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10 000</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w:t>
            </w:r>
          </w:p>
        </w:tc>
        <w:tc>
          <w:tcPr>
            <w:tcW w:w="1420" w:type="dxa"/>
            <w:vAlign w:val="bottom"/>
          </w:tcPr>
          <w:p w:rsidR="004E2069" w:rsidRPr="000A7F1D" w:rsidRDefault="004E2069" w:rsidP="000A7F1D">
            <w:pPr>
              <w:ind w:right="57"/>
              <w:jc w:val="right"/>
              <w:rPr>
                <w:bCs/>
                <w:iCs/>
                <w:sz w:val="22"/>
                <w:szCs w:val="22"/>
              </w:rPr>
            </w:pPr>
            <w:r w:rsidRPr="000A7F1D">
              <w:rPr>
                <w:bCs/>
                <w:iCs/>
                <w:sz w:val="22"/>
                <w:szCs w:val="22"/>
              </w:rPr>
              <w:t>-</w:t>
            </w:r>
          </w:p>
        </w:tc>
      </w:tr>
      <w:tr w:rsidR="004E2069" w:rsidRPr="000A7F1D" w:rsidTr="00EA3AD6">
        <w:tc>
          <w:tcPr>
            <w:tcW w:w="322" w:type="dxa"/>
          </w:tcPr>
          <w:p w:rsidR="004E2069" w:rsidRPr="000A7F1D" w:rsidRDefault="004E2069" w:rsidP="000A7F1D">
            <w:pPr>
              <w:ind w:left="-57" w:right="-57"/>
              <w:jc w:val="center"/>
              <w:rPr>
                <w:bCs/>
                <w:iCs/>
                <w:sz w:val="22"/>
                <w:szCs w:val="22"/>
              </w:rPr>
            </w:pPr>
            <w:r w:rsidRPr="000A7F1D">
              <w:rPr>
                <w:bCs/>
                <w:iCs/>
                <w:sz w:val="22"/>
                <w:szCs w:val="22"/>
              </w:rPr>
              <w:t>3</w:t>
            </w:r>
          </w:p>
        </w:tc>
        <w:tc>
          <w:tcPr>
            <w:tcW w:w="5051" w:type="dxa"/>
          </w:tcPr>
          <w:p w:rsidR="004E2069" w:rsidRPr="000A7F1D" w:rsidRDefault="004E2069" w:rsidP="000A7F1D">
            <w:pPr>
              <w:rPr>
                <w:color w:val="000000"/>
                <w:sz w:val="22"/>
                <w:szCs w:val="22"/>
              </w:rPr>
            </w:pPr>
            <w:r w:rsidRPr="000A7F1D">
              <w:rPr>
                <w:color w:val="000000"/>
                <w:sz w:val="22"/>
                <w:szCs w:val="22"/>
              </w:rPr>
              <w:t xml:space="preserve">Прочие доходы, </w:t>
            </w:r>
          </w:p>
          <w:p w:rsidR="004E2069" w:rsidRPr="000A7F1D" w:rsidRDefault="004E2069" w:rsidP="000A7F1D">
            <w:pPr>
              <w:rPr>
                <w:bCs/>
                <w:iCs/>
                <w:sz w:val="22"/>
                <w:szCs w:val="22"/>
              </w:rPr>
            </w:pPr>
            <w:r w:rsidRPr="000A7F1D">
              <w:rPr>
                <w:color w:val="000000"/>
                <w:sz w:val="22"/>
                <w:szCs w:val="22"/>
              </w:rPr>
              <w:t>из них:</w:t>
            </w:r>
          </w:p>
        </w:tc>
        <w:tc>
          <w:tcPr>
            <w:tcW w:w="1419" w:type="dxa"/>
          </w:tcPr>
          <w:p w:rsidR="004E2069" w:rsidRPr="000A7F1D" w:rsidRDefault="004E2069" w:rsidP="00F82BA2">
            <w:pPr>
              <w:ind w:right="57"/>
              <w:jc w:val="right"/>
              <w:rPr>
                <w:bCs/>
                <w:iCs/>
                <w:sz w:val="22"/>
                <w:szCs w:val="22"/>
              </w:rPr>
            </w:pPr>
            <w:r w:rsidRPr="000A7F1D">
              <w:rPr>
                <w:bCs/>
                <w:iCs/>
                <w:sz w:val="22"/>
                <w:szCs w:val="22"/>
              </w:rPr>
              <w:t>30 914</w:t>
            </w:r>
          </w:p>
        </w:tc>
        <w:tc>
          <w:tcPr>
            <w:tcW w:w="1419" w:type="dxa"/>
          </w:tcPr>
          <w:p w:rsidR="004E2069" w:rsidRPr="000A7F1D" w:rsidRDefault="004E2069" w:rsidP="00F82BA2">
            <w:pPr>
              <w:ind w:right="57"/>
              <w:jc w:val="right"/>
              <w:rPr>
                <w:bCs/>
                <w:iCs/>
                <w:sz w:val="22"/>
                <w:szCs w:val="22"/>
              </w:rPr>
            </w:pPr>
            <w:r w:rsidRPr="000A7F1D">
              <w:rPr>
                <w:bCs/>
                <w:iCs/>
                <w:sz w:val="22"/>
                <w:szCs w:val="22"/>
              </w:rPr>
              <w:t>387 171</w:t>
            </w:r>
          </w:p>
        </w:tc>
        <w:tc>
          <w:tcPr>
            <w:tcW w:w="1420" w:type="dxa"/>
          </w:tcPr>
          <w:p w:rsidR="004E2069" w:rsidRPr="000A7F1D" w:rsidRDefault="004E2069" w:rsidP="00F82BA2">
            <w:pPr>
              <w:ind w:right="57"/>
              <w:jc w:val="right"/>
              <w:rPr>
                <w:bCs/>
                <w:iCs/>
                <w:sz w:val="22"/>
                <w:szCs w:val="22"/>
              </w:rPr>
            </w:pPr>
            <w:r w:rsidRPr="000A7F1D">
              <w:rPr>
                <w:bCs/>
                <w:iCs/>
                <w:sz w:val="22"/>
                <w:szCs w:val="22"/>
              </w:rPr>
              <w:t>1 252,4</w:t>
            </w:r>
          </w:p>
        </w:tc>
      </w:tr>
      <w:tr w:rsidR="004E2069" w:rsidRPr="000A7F1D" w:rsidTr="00EA3AD6">
        <w:tc>
          <w:tcPr>
            <w:tcW w:w="322" w:type="dxa"/>
          </w:tcPr>
          <w:p w:rsidR="004E2069" w:rsidRPr="000A7F1D" w:rsidRDefault="004E2069" w:rsidP="000A7F1D">
            <w:pPr>
              <w:ind w:left="-57" w:right="-57"/>
              <w:jc w:val="center"/>
              <w:rPr>
                <w:bCs/>
                <w:iCs/>
                <w:sz w:val="22"/>
                <w:szCs w:val="22"/>
              </w:rPr>
            </w:pPr>
          </w:p>
        </w:tc>
        <w:tc>
          <w:tcPr>
            <w:tcW w:w="5051" w:type="dxa"/>
          </w:tcPr>
          <w:p w:rsidR="004E2069" w:rsidRPr="000A7F1D" w:rsidRDefault="004E2069" w:rsidP="000A7F1D">
            <w:pPr>
              <w:ind w:left="152"/>
              <w:rPr>
                <w:bCs/>
                <w:iCs/>
                <w:sz w:val="22"/>
                <w:szCs w:val="22"/>
              </w:rPr>
            </w:pPr>
            <w:r w:rsidRPr="000A7F1D">
              <w:rPr>
                <w:color w:val="000000"/>
                <w:sz w:val="22"/>
                <w:szCs w:val="22"/>
              </w:rPr>
              <w:t>3.1. доходы от операций с иностранной валютой</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28 000</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35 878</w:t>
            </w:r>
          </w:p>
        </w:tc>
        <w:tc>
          <w:tcPr>
            <w:tcW w:w="1420" w:type="dxa"/>
            <w:vAlign w:val="bottom"/>
          </w:tcPr>
          <w:p w:rsidR="004E2069" w:rsidRPr="000A7F1D" w:rsidRDefault="004E2069" w:rsidP="000A7F1D">
            <w:pPr>
              <w:ind w:right="57"/>
              <w:jc w:val="right"/>
              <w:rPr>
                <w:bCs/>
                <w:iCs/>
                <w:sz w:val="22"/>
                <w:szCs w:val="22"/>
              </w:rPr>
            </w:pPr>
            <w:r w:rsidRPr="000A7F1D">
              <w:rPr>
                <w:bCs/>
                <w:iCs/>
                <w:sz w:val="22"/>
                <w:szCs w:val="22"/>
              </w:rPr>
              <w:t>128,1</w:t>
            </w:r>
          </w:p>
        </w:tc>
      </w:tr>
      <w:tr w:rsidR="004E2069" w:rsidRPr="000A7F1D" w:rsidTr="00EA3AD6">
        <w:tc>
          <w:tcPr>
            <w:tcW w:w="322" w:type="dxa"/>
          </w:tcPr>
          <w:p w:rsidR="004E2069" w:rsidRPr="000A7F1D" w:rsidRDefault="004E2069" w:rsidP="000A7F1D">
            <w:pPr>
              <w:ind w:left="-57" w:right="-57"/>
              <w:jc w:val="center"/>
              <w:rPr>
                <w:bCs/>
                <w:iCs/>
                <w:sz w:val="22"/>
                <w:szCs w:val="22"/>
              </w:rPr>
            </w:pPr>
          </w:p>
        </w:tc>
        <w:tc>
          <w:tcPr>
            <w:tcW w:w="5051" w:type="dxa"/>
          </w:tcPr>
          <w:p w:rsidR="004E2069" w:rsidRPr="000A7F1D" w:rsidRDefault="004E2069" w:rsidP="000A7F1D">
            <w:pPr>
              <w:ind w:left="152"/>
              <w:rPr>
                <w:color w:val="000000"/>
                <w:sz w:val="22"/>
                <w:szCs w:val="22"/>
              </w:rPr>
            </w:pPr>
            <w:r w:rsidRPr="000A7F1D">
              <w:rPr>
                <w:color w:val="000000"/>
                <w:sz w:val="22"/>
                <w:szCs w:val="22"/>
              </w:rPr>
              <w:t>3.2. комиссионные доходы</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1 236</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13 399</w:t>
            </w:r>
          </w:p>
        </w:tc>
        <w:tc>
          <w:tcPr>
            <w:tcW w:w="1420" w:type="dxa"/>
            <w:vAlign w:val="bottom"/>
          </w:tcPr>
          <w:p w:rsidR="004E2069" w:rsidRPr="000A7F1D" w:rsidRDefault="004E2069" w:rsidP="000A7F1D">
            <w:pPr>
              <w:ind w:right="57"/>
              <w:jc w:val="right"/>
              <w:rPr>
                <w:bCs/>
                <w:iCs/>
                <w:sz w:val="22"/>
                <w:szCs w:val="22"/>
              </w:rPr>
            </w:pPr>
            <w:r w:rsidRPr="000A7F1D">
              <w:rPr>
                <w:bCs/>
                <w:iCs/>
                <w:sz w:val="22"/>
                <w:szCs w:val="22"/>
              </w:rPr>
              <w:t>1 084,1</w:t>
            </w:r>
          </w:p>
        </w:tc>
      </w:tr>
      <w:tr w:rsidR="004E2069" w:rsidRPr="000A7F1D" w:rsidTr="00EA3AD6">
        <w:tc>
          <w:tcPr>
            <w:tcW w:w="322" w:type="dxa"/>
          </w:tcPr>
          <w:p w:rsidR="004E2069" w:rsidRPr="000A7F1D" w:rsidRDefault="004E2069" w:rsidP="000A7F1D">
            <w:pPr>
              <w:ind w:left="-57" w:right="-57"/>
              <w:jc w:val="center"/>
              <w:rPr>
                <w:bCs/>
                <w:iCs/>
                <w:sz w:val="22"/>
                <w:szCs w:val="22"/>
              </w:rPr>
            </w:pPr>
          </w:p>
        </w:tc>
        <w:tc>
          <w:tcPr>
            <w:tcW w:w="5051" w:type="dxa"/>
          </w:tcPr>
          <w:p w:rsidR="004E2069" w:rsidRPr="000A7F1D" w:rsidRDefault="004E2069" w:rsidP="000A7F1D">
            <w:pPr>
              <w:ind w:left="152"/>
              <w:rPr>
                <w:bCs/>
                <w:iCs/>
                <w:sz w:val="22"/>
                <w:szCs w:val="22"/>
              </w:rPr>
            </w:pPr>
            <w:r w:rsidRPr="000A7F1D">
              <w:rPr>
                <w:color w:val="000000"/>
                <w:sz w:val="22"/>
                <w:szCs w:val="22"/>
              </w:rPr>
              <w:t>3.3. доходы по операциям с памятными (юбилейными) банкнотами и монетами</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1 473</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1 541</w:t>
            </w:r>
          </w:p>
        </w:tc>
        <w:tc>
          <w:tcPr>
            <w:tcW w:w="1420" w:type="dxa"/>
            <w:vAlign w:val="bottom"/>
          </w:tcPr>
          <w:p w:rsidR="004E2069" w:rsidRPr="000A7F1D" w:rsidRDefault="004E2069" w:rsidP="000A7F1D">
            <w:pPr>
              <w:ind w:right="57"/>
              <w:jc w:val="right"/>
              <w:rPr>
                <w:bCs/>
                <w:iCs/>
                <w:sz w:val="22"/>
                <w:szCs w:val="22"/>
              </w:rPr>
            </w:pPr>
            <w:r w:rsidRPr="000A7F1D">
              <w:rPr>
                <w:bCs/>
                <w:iCs/>
                <w:sz w:val="22"/>
                <w:szCs w:val="22"/>
              </w:rPr>
              <w:t>104,6</w:t>
            </w:r>
          </w:p>
        </w:tc>
      </w:tr>
      <w:tr w:rsidR="004E2069" w:rsidRPr="000A7F1D" w:rsidTr="00EA3AD6">
        <w:tc>
          <w:tcPr>
            <w:tcW w:w="322" w:type="dxa"/>
          </w:tcPr>
          <w:p w:rsidR="004E2069" w:rsidRPr="000A7F1D" w:rsidRDefault="004E2069" w:rsidP="000A7F1D">
            <w:pPr>
              <w:ind w:left="-57" w:right="-57"/>
              <w:jc w:val="center"/>
              <w:rPr>
                <w:bCs/>
                <w:iCs/>
                <w:sz w:val="22"/>
                <w:szCs w:val="22"/>
              </w:rPr>
            </w:pPr>
          </w:p>
        </w:tc>
        <w:tc>
          <w:tcPr>
            <w:tcW w:w="5051" w:type="dxa"/>
          </w:tcPr>
          <w:p w:rsidR="004E2069" w:rsidRPr="000A7F1D" w:rsidRDefault="004E2069" w:rsidP="000A7F1D">
            <w:pPr>
              <w:ind w:left="152"/>
              <w:rPr>
                <w:bCs/>
                <w:iCs/>
                <w:sz w:val="22"/>
                <w:szCs w:val="22"/>
              </w:rPr>
            </w:pPr>
            <w:r w:rsidRPr="000A7F1D">
              <w:rPr>
                <w:color w:val="000000"/>
                <w:sz w:val="22"/>
                <w:szCs w:val="22"/>
              </w:rPr>
              <w:t>3.4. доходы от аренды и финансовой аренды (лизинга)</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38</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7</w:t>
            </w:r>
          </w:p>
        </w:tc>
        <w:tc>
          <w:tcPr>
            <w:tcW w:w="1420" w:type="dxa"/>
            <w:vAlign w:val="bottom"/>
          </w:tcPr>
          <w:p w:rsidR="004E2069" w:rsidRPr="000A7F1D" w:rsidRDefault="004E2069" w:rsidP="000A7F1D">
            <w:pPr>
              <w:ind w:right="57"/>
              <w:jc w:val="right"/>
              <w:rPr>
                <w:bCs/>
                <w:iCs/>
                <w:sz w:val="22"/>
                <w:szCs w:val="22"/>
              </w:rPr>
            </w:pPr>
            <w:r w:rsidRPr="000A7F1D">
              <w:rPr>
                <w:bCs/>
                <w:iCs/>
                <w:sz w:val="22"/>
                <w:szCs w:val="22"/>
              </w:rPr>
              <w:t>18,4</w:t>
            </w:r>
          </w:p>
        </w:tc>
      </w:tr>
      <w:tr w:rsidR="004E2069" w:rsidRPr="000A7F1D" w:rsidTr="00EA3AD6">
        <w:tc>
          <w:tcPr>
            <w:tcW w:w="322" w:type="dxa"/>
          </w:tcPr>
          <w:p w:rsidR="004E2069" w:rsidRPr="000A7F1D" w:rsidRDefault="004E2069" w:rsidP="000A7F1D">
            <w:pPr>
              <w:ind w:left="-57" w:right="-57"/>
              <w:jc w:val="center"/>
              <w:rPr>
                <w:bCs/>
                <w:iCs/>
                <w:sz w:val="22"/>
                <w:szCs w:val="22"/>
              </w:rPr>
            </w:pPr>
          </w:p>
        </w:tc>
        <w:tc>
          <w:tcPr>
            <w:tcW w:w="5051" w:type="dxa"/>
          </w:tcPr>
          <w:p w:rsidR="004E2069" w:rsidRPr="000A7F1D" w:rsidRDefault="004E2069" w:rsidP="000A7F1D">
            <w:pPr>
              <w:ind w:left="152"/>
              <w:rPr>
                <w:bCs/>
                <w:iCs/>
                <w:sz w:val="22"/>
                <w:szCs w:val="22"/>
              </w:rPr>
            </w:pPr>
            <w:r w:rsidRPr="000A7F1D">
              <w:rPr>
                <w:color w:val="000000"/>
                <w:sz w:val="22"/>
                <w:szCs w:val="22"/>
              </w:rPr>
              <w:t>3.5. доходы от выбытия (реализации) активов</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145</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149</w:t>
            </w:r>
          </w:p>
        </w:tc>
        <w:tc>
          <w:tcPr>
            <w:tcW w:w="1420" w:type="dxa"/>
            <w:vAlign w:val="bottom"/>
          </w:tcPr>
          <w:p w:rsidR="004E2069" w:rsidRPr="000A7F1D" w:rsidRDefault="004E2069" w:rsidP="000A7F1D">
            <w:pPr>
              <w:ind w:right="57"/>
              <w:jc w:val="right"/>
              <w:rPr>
                <w:bCs/>
                <w:iCs/>
                <w:sz w:val="22"/>
                <w:szCs w:val="22"/>
              </w:rPr>
            </w:pPr>
            <w:r w:rsidRPr="000A7F1D">
              <w:rPr>
                <w:bCs/>
                <w:iCs/>
                <w:sz w:val="22"/>
                <w:szCs w:val="22"/>
              </w:rPr>
              <w:t>102,8</w:t>
            </w:r>
          </w:p>
        </w:tc>
      </w:tr>
      <w:tr w:rsidR="004E2069" w:rsidRPr="000A7F1D" w:rsidTr="00EA3AD6">
        <w:tc>
          <w:tcPr>
            <w:tcW w:w="322" w:type="dxa"/>
          </w:tcPr>
          <w:p w:rsidR="004E2069" w:rsidRPr="000A7F1D" w:rsidRDefault="004E2069" w:rsidP="000A7F1D">
            <w:pPr>
              <w:ind w:left="-57" w:right="-57"/>
              <w:jc w:val="center"/>
              <w:rPr>
                <w:bCs/>
                <w:iCs/>
                <w:sz w:val="22"/>
                <w:szCs w:val="22"/>
              </w:rPr>
            </w:pPr>
          </w:p>
        </w:tc>
        <w:tc>
          <w:tcPr>
            <w:tcW w:w="5051" w:type="dxa"/>
          </w:tcPr>
          <w:p w:rsidR="004E2069" w:rsidRPr="000A7F1D" w:rsidRDefault="004E2069" w:rsidP="000A7F1D">
            <w:pPr>
              <w:ind w:left="152"/>
              <w:rPr>
                <w:bCs/>
                <w:iCs/>
                <w:sz w:val="22"/>
                <w:szCs w:val="22"/>
              </w:rPr>
            </w:pPr>
            <w:r w:rsidRPr="000A7F1D">
              <w:rPr>
                <w:color w:val="000000"/>
                <w:sz w:val="22"/>
                <w:szCs w:val="22"/>
              </w:rPr>
              <w:t>3.6. другие доходы</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22</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336 197</w:t>
            </w:r>
          </w:p>
        </w:tc>
        <w:tc>
          <w:tcPr>
            <w:tcW w:w="1420" w:type="dxa"/>
            <w:vAlign w:val="bottom"/>
          </w:tcPr>
          <w:p w:rsidR="004E2069" w:rsidRPr="000A7F1D" w:rsidRDefault="004E2069" w:rsidP="000A7F1D">
            <w:pPr>
              <w:ind w:right="57"/>
              <w:jc w:val="right"/>
              <w:rPr>
                <w:bCs/>
                <w:iCs/>
                <w:sz w:val="22"/>
                <w:szCs w:val="22"/>
              </w:rPr>
            </w:pPr>
            <w:r w:rsidRPr="000A7F1D">
              <w:rPr>
                <w:bCs/>
                <w:iCs/>
                <w:sz w:val="22"/>
                <w:szCs w:val="22"/>
              </w:rPr>
              <w:t>1 528 168</w:t>
            </w:r>
          </w:p>
        </w:tc>
      </w:tr>
      <w:tr w:rsidR="004E2069" w:rsidRPr="000A7F1D" w:rsidTr="00EA3AD6">
        <w:tc>
          <w:tcPr>
            <w:tcW w:w="322" w:type="dxa"/>
          </w:tcPr>
          <w:p w:rsidR="004E2069" w:rsidRPr="000A7F1D" w:rsidRDefault="004E2069" w:rsidP="000A7F1D">
            <w:pPr>
              <w:ind w:left="-57" w:right="-57"/>
              <w:jc w:val="center"/>
              <w:rPr>
                <w:bCs/>
                <w:iCs/>
                <w:sz w:val="22"/>
                <w:szCs w:val="22"/>
              </w:rPr>
            </w:pPr>
          </w:p>
        </w:tc>
        <w:tc>
          <w:tcPr>
            <w:tcW w:w="5051" w:type="dxa"/>
          </w:tcPr>
          <w:p w:rsidR="004E2069" w:rsidRPr="000A7F1D" w:rsidRDefault="004E2069" w:rsidP="000A7F1D">
            <w:pPr>
              <w:ind w:left="152"/>
              <w:rPr>
                <w:bCs/>
                <w:iCs/>
                <w:sz w:val="22"/>
                <w:szCs w:val="22"/>
              </w:rPr>
            </w:pPr>
            <w:r w:rsidRPr="000A7F1D">
              <w:rPr>
                <w:b/>
                <w:bCs/>
                <w:color w:val="000000"/>
                <w:sz w:val="22"/>
                <w:szCs w:val="22"/>
              </w:rPr>
              <w:t>Итого доходов</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57 317</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405 058</w:t>
            </w:r>
          </w:p>
        </w:tc>
        <w:tc>
          <w:tcPr>
            <w:tcW w:w="1420" w:type="dxa"/>
            <w:vAlign w:val="bottom"/>
          </w:tcPr>
          <w:p w:rsidR="004E2069" w:rsidRPr="000A7F1D" w:rsidRDefault="004E2069" w:rsidP="000A7F1D">
            <w:pPr>
              <w:ind w:right="57"/>
              <w:jc w:val="right"/>
              <w:rPr>
                <w:bCs/>
                <w:iCs/>
                <w:sz w:val="22"/>
                <w:szCs w:val="22"/>
              </w:rPr>
            </w:pPr>
            <w:r w:rsidRPr="000A7F1D">
              <w:rPr>
                <w:bCs/>
                <w:iCs/>
                <w:sz w:val="22"/>
                <w:szCs w:val="22"/>
              </w:rPr>
              <w:t>706,7</w:t>
            </w:r>
          </w:p>
        </w:tc>
      </w:tr>
      <w:tr w:rsidR="004E2069" w:rsidRPr="000A7F1D" w:rsidTr="00EA3AD6">
        <w:tc>
          <w:tcPr>
            <w:tcW w:w="322" w:type="dxa"/>
            <w:shd w:val="clear" w:color="auto" w:fill="CCCCCC"/>
          </w:tcPr>
          <w:p w:rsidR="004E2069" w:rsidRPr="000A7F1D" w:rsidRDefault="004E2069" w:rsidP="000A7F1D">
            <w:pPr>
              <w:ind w:left="-57" w:right="-57"/>
              <w:jc w:val="center"/>
              <w:rPr>
                <w:bCs/>
                <w:iCs/>
                <w:sz w:val="22"/>
                <w:szCs w:val="22"/>
              </w:rPr>
            </w:pPr>
          </w:p>
        </w:tc>
        <w:tc>
          <w:tcPr>
            <w:tcW w:w="5051" w:type="dxa"/>
            <w:shd w:val="clear" w:color="auto" w:fill="CCCCCC"/>
          </w:tcPr>
          <w:p w:rsidR="004E2069" w:rsidRPr="000A7F1D" w:rsidRDefault="004E2069" w:rsidP="000A7F1D">
            <w:pPr>
              <w:rPr>
                <w:b/>
                <w:bCs/>
                <w:iCs/>
                <w:sz w:val="22"/>
                <w:szCs w:val="22"/>
              </w:rPr>
            </w:pPr>
            <w:r w:rsidRPr="000A7F1D">
              <w:rPr>
                <w:b/>
                <w:bCs/>
                <w:iCs/>
                <w:sz w:val="22"/>
                <w:szCs w:val="22"/>
              </w:rPr>
              <w:t>Расходы</w:t>
            </w:r>
          </w:p>
        </w:tc>
        <w:tc>
          <w:tcPr>
            <w:tcW w:w="1419" w:type="dxa"/>
            <w:shd w:val="clear" w:color="auto" w:fill="CCCCCC"/>
            <w:vAlign w:val="bottom"/>
          </w:tcPr>
          <w:p w:rsidR="004E2069" w:rsidRPr="000A7F1D" w:rsidRDefault="004E2069" w:rsidP="000A7F1D">
            <w:pPr>
              <w:ind w:right="57"/>
              <w:jc w:val="right"/>
              <w:rPr>
                <w:bCs/>
                <w:iCs/>
                <w:sz w:val="22"/>
                <w:szCs w:val="22"/>
              </w:rPr>
            </w:pPr>
          </w:p>
        </w:tc>
        <w:tc>
          <w:tcPr>
            <w:tcW w:w="1419" w:type="dxa"/>
            <w:shd w:val="clear" w:color="auto" w:fill="CCCCCC"/>
            <w:vAlign w:val="bottom"/>
          </w:tcPr>
          <w:p w:rsidR="004E2069" w:rsidRPr="000A7F1D" w:rsidRDefault="004E2069" w:rsidP="000A7F1D">
            <w:pPr>
              <w:ind w:right="57"/>
              <w:jc w:val="right"/>
              <w:rPr>
                <w:bCs/>
                <w:iCs/>
                <w:sz w:val="22"/>
                <w:szCs w:val="22"/>
              </w:rPr>
            </w:pPr>
          </w:p>
        </w:tc>
        <w:tc>
          <w:tcPr>
            <w:tcW w:w="1420" w:type="dxa"/>
            <w:shd w:val="clear" w:color="auto" w:fill="CCCCCC"/>
            <w:vAlign w:val="bottom"/>
          </w:tcPr>
          <w:p w:rsidR="004E2069" w:rsidRPr="000A7F1D" w:rsidRDefault="004E2069" w:rsidP="000A7F1D">
            <w:pPr>
              <w:ind w:right="57"/>
              <w:jc w:val="right"/>
              <w:rPr>
                <w:bCs/>
                <w:iCs/>
                <w:sz w:val="22"/>
                <w:szCs w:val="22"/>
              </w:rPr>
            </w:pPr>
          </w:p>
        </w:tc>
      </w:tr>
      <w:tr w:rsidR="004E2069" w:rsidRPr="000A7F1D" w:rsidTr="00EA3AD6">
        <w:tc>
          <w:tcPr>
            <w:tcW w:w="322" w:type="dxa"/>
          </w:tcPr>
          <w:p w:rsidR="004E2069" w:rsidRPr="000A7F1D" w:rsidRDefault="004E2069" w:rsidP="000A7F1D">
            <w:pPr>
              <w:ind w:left="-57" w:right="-57"/>
              <w:jc w:val="center"/>
              <w:rPr>
                <w:bCs/>
                <w:iCs/>
                <w:sz w:val="22"/>
                <w:szCs w:val="22"/>
              </w:rPr>
            </w:pPr>
            <w:r w:rsidRPr="000A7F1D">
              <w:rPr>
                <w:bCs/>
                <w:iCs/>
                <w:sz w:val="22"/>
                <w:szCs w:val="22"/>
              </w:rPr>
              <w:t>4</w:t>
            </w:r>
          </w:p>
        </w:tc>
        <w:tc>
          <w:tcPr>
            <w:tcW w:w="5051" w:type="dxa"/>
          </w:tcPr>
          <w:p w:rsidR="004E2069" w:rsidRPr="000A7F1D" w:rsidRDefault="004E2069" w:rsidP="000A7F1D">
            <w:pPr>
              <w:ind w:left="152"/>
              <w:rPr>
                <w:bCs/>
                <w:iCs/>
                <w:sz w:val="22"/>
                <w:szCs w:val="22"/>
              </w:rPr>
            </w:pPr>
            <w:r w:rsidRPr="000A7F1D">
              <w:rPr>
                <w:color w:val="000000"/>
                <w:sz w:val="22"/>
                <w:szCs w:val="22"/>
              </w:rPr>
              <w:t>Процентные расходы</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14</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6</w:t>
            </w:r>
          </w:p>
        </w:tc>
        <w:tc>
          <w:tcPr>
            <w:tcW w:w="1420" w:type="dxa"/>
            <w:vAlign w:val="bottom"/>
          </w:tcPr>
          <w:p w:rsidR="004E2069" w:rsidRPr="000A7F1D" w:rsidRDefault="004E2069" w:rsidP="000A7F1D">
            <w:pPr>
              <w:ind w:right="57"/>
              <w:jc w:val="right"/>
              <w:rPr>
                <w:bCs/>
                <w:iCs/>
                <w:sz w:val="22"/>
                <w:szCs w:val="22"/>
              </w:rPr>
            </w:pPr>
            <w:r w:rsidRPr="000A7F1D">
              <w:rPr>
                <w:bCs/>
                <w:iCs/>
                <w:sz w:val="22"/>
                <w:szCs w:val="22"/>
              </w:rPr>
              <w:t>42,9</w:t>
            </w:r>
          </w:p>
        </w:tc>
      </w:tr>
      <w:tr w:rsidR="004E2069" w:rsidRPr="000A7F1D" w:rsidTr="00EA3AD6">
        <w:tc>
          <w:tcPr>
            <w:tcW w:w="322" w:type="dxa"/>
          </w:tcPr>
          <w:p w:rsidR="004E2069" w:rsidRPr="000A7F1D" w:rsidRDefault="004E2069" w:rsidP="000A7F1D">
            <w:pPr>
              <w:ind w:left="-57" w:right="-57"/>
              <w:jc w:val="center"/>
              <w:rPr>
                <w:bCs/>
                <w:iCs/>
                <w:sz w:val="22"/>
                <w:szCs w:val="22"/>
              </w:rPr>
            </w:pPr>
            <w:r w:rsidRPr="000A7F1D">
              <w:rPr>
                <w:bCs/>
                <w:iCs/>
                <w:sz w:val="22"/>
                <w:szCs w:val="22"/>
              </w:rPr>
              <w:t>5</w:t>
            </w:r>
          </w:p>
        </w:tc>
        <w:tc>
          <w:tcPr>
            <w:tcW w:w="5051" w:type="dxa"/>
          </w:tcPr>
          <w:p w:rsidR="004E2069" w:rsidRPr="000A7F1D" w:rsidRDefault="004E2069" w:rsidP="000A7F1D">
            <w:pPr>
              <w:ind w:left="152"/>
              <w:rPr>
                <w:bCs/>
                <w:iCs/>
                <w:sz w:val="22"/>
                <w:szCs w:val="22"/>
              </w:rPr>
            </w:pPr>
            <w:r w:rsidRPr="000A7F1D">
              <w:rPr>
                <w:color w:val="000000"/>
                <w:sz w:val="22"/>
                <w:szCs w:val="22"/>
              </w:rPr>
              <w:t>Расходы по организации наличного денежного обращения</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3 764</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3 842</w:t>
            </w:r>
          </w:p>
        </w:tc>
        <w:tc>
          <w:tcPr>
            <w:tcW w:w="1420" w:type="dxa"/>
            <w:vAlign w:val="bottom"/>
          </w:tcPr>
          <w:p w:rsidR="004E2069" w:rsidRPr="000A7F1D" w:rsidRDefault="004E2069" w:rsidP="000A7F1D">
            <w:pPr>
              <w:ind w:right="57"/>
              <w:jc w:val="right"/>
              <w:rPr>
                <w:bCs/>
                <w:iCs/>
                <w:sz w:val="22"/>
                <w:szCs w:val="22"/>
              </w:rPr>
            </w:pPr>
            <w:r w:rsidRPr="000A7F1D">
              <w:rPr>
                <w:bCs/>
                <w:iCs/>
                <w:sz w:val="22"/>
                <w:szCs w:val="22"/>
              </w:rPr>
              <w:t>102,1</w:t>
            </w:r>
          </w:p>
        </w:tc>
      </w:tr>
      <w:tr w:rsidR="004E2069" w:rsidRPr="000A7F1D" w:rsidTr="00EA3AD6">
        <w:tc>
          <w:tcPr>
            <w:tcW w:w="322" w:type="dxa"/>
          </w:tcPr>
          <w:p w:rsidR="004E2069" w:rsidRPr="000A7F1D" w:rsidRDefault="004E2069" w:rsidP="000A7F1D">
            <w:pPr>
              <w:ind w:left="-57" w:right="-57"/>
              <w:jc w:val="center"/>
              <w:rPr>
                <w:bCs/>
                <w:iCs/>
                <w:sz w:val="22"/>
                <w:szCs w:val="22"/>
              </w:rPr>
            </w:pPr>
            <w:r w:rsidRPr="000A7F1D">
              <w:rPr>
                <w:bCs/>
                <w:iCs/>
                <w:sz w:val="22"/>
                <w:szCs w:val="22"/>
              </w:rPr>
              <w:t>6</w:t>
            </w:r>
          </w:p>
        </w:tc>
        <w:tc>
          <w:tcPr>
            <w:tcW w:w="5051" w:type="dxa"/>
          </w:tcPr>
          <w:p w:rsidR="004E2069" w:rsidRPr="000A7F1D" w:rsidRDefault="004E2069" w:rsidP="000A7F1D">
            <w:pPr>
              <w:rPr>
                <w:bCs/>
                <w:iCs/>
                <w:sz w:val="22"/>
                <w:szCs w:val="22"/>
              </w:rPr>
            </w:pPr>
            <w:r w:rsidRPr="000A7F1D">
              <w:rPr>
                <w:color w:val="000000"/>
                <w:sz w:val="22"/>
                <w:szCs w:val="22"/>
              </w:rPr>
              <w:t>Чистые расходы от формирования резервов</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1 567</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311 226</w:t>
            </w:r>
          </w:p>
        </w:tc>
        <w:tc>
          <w:tcPr>
            <w:tcW w:w="1420" w:type="dxa"/>
            <w:vAlign w:val="bottom"/>
          </w:tcPr>
          <w:p w:rsidR="004E2069" w:rsidRPr="000A7F1D" w:rsidRDefault="004E2069" w:rsidP="000A7F1D">
            <w:pPr>
              <w:ind w:right="57"/>
              <w:jc w:val="right"/>
              <w:rPr>
                <w:bCs/>
                <w:iCs/>
                <w:sz w:val="22"/>
                <w:szCs w:val="22"/>
              </w:rPr>
            </w:pPr>
            <w:r w:rsidRPr="000A7F1D">
              <w:rPr>
                <w:bCs/>
                <w:iCs/>
                <w:sz w:val="22"/>
                <w:szCs w:val="22"/>
              </w:rPr>
              <w:t>19 861,3</w:t>
            </w:r>
          </w:p>
        </w:tc>
      </w:tr>
      <w:tr w:rsidR="004E2069" w:rsidRPr="000A7F1D" w:rsidTr="00EA3AD6">
        <w:tc>
          <w:tcPr>
            <w:tcW w:w="322" w:type="dxa"/>
          </w:tcPr>
          <w:p w:rsidR="004E2069" w:rsidRPr="000A7F1D" w:rsidRDefault="004E2069" w:rsidP="000A7F1D">
            <w:pPr>
              <w:ind w:left="-57" w:right="-57"/>
              <w:jc w:val="center"/>
              <w:rPr>
                <w:bCs/>
                <w:iCs/>
                <w:sz w:val="22"/>
                <w:szCs w:val="22"/>
              </w:rPr>
            </w:pPr>
            <w:r w:rsidRPr="000A7F1D">
              <w:rPr>
                <w:bCs/>
                <w:iCs/>
                <w:sz w:val="22"/>
                <w:szCs w:val="22"/>
              </w:rPr>
              <w:t>7</w:t>
            </w:r>
          </w:p>
        </w:tc>
        <w:tc>
          <w:tcPr>
            <w:tcW w:w="5051" w:type="dxa"/>
          </w:tcPr>
          <w:p w:rsidR="004E2069" w:rsidRPr="000A7F1D" w:rsidRDefault="004E2069" w:rsidP="000A7F1D">
            <w:pPr>
              <w:rPr>
                <w:color w:val="000000"/>
                <w:sz w:val="22"/>
                <w:szCs w:val="22"/>
              </w:rPr>
            </w:pPr>
            <w:r w:rsidRPr="000A7F1D">
              <w:rPr>
                <w:color w:val="000000"/>
                <w:sz w:val="22"/>
                <w:szCs w:val="22"/>
              </w:rPr>
              <w:t xml:space="preserve">Прочие расходы, </w:t>
            </w:r>
          </w:p>
          <w:p w:rsidR="004E2069" w:rsidRPr="000A7F1D" w:rsidRDefault="004E2069" w:rsidP="000A7F1D">
            <w:pPr>
              <w:rPr>
                <w:b/>
                <w:bCs/>
                <w:iCs/>
                <w:sz w:val="22"/>
                <w:szCs w:val="22"/>
              </w:rPr>
            </w:pPr>
            <w:r w:rsidRPr="000A7F1D">
              <w:rPr>
                <w:color w:val="000000"/>
                <w:sz w:val="22"/>
                <w:szCs w:val="22"/>
              </w:rPr>
              <w:t>из них:</w:t>
            </w:r>
          </w:p>
        </w:tc>
        <w:tc>
          <w:tcPr>
            <w:tcW w:w="1419" w:type="dxa"/>
          </w:tcPr>
          <w:p w:rsidR="004E2069" w:rsidRPr="000A7F1D" w:rsidRDefault="004E2069" w:rsidP="00F82BA2">
            <w:pPr>
              <w:ind w:right="57"/>
              <w:jc w:val="right"/>
              <w:rPr>
                <w:bCs/>
                <w:iCs/>
                <w:sz w:val="22"/>
                <w:szCs w:val="22"/>
              </w:rPr>
            </w:pPr>
            <w:r w:rsidRPr="000A7F1D">
              <w:rPr>
                <w:bCs/>
                <w:iCs/>
                <w:sz w:val="22"/>
                <w:szCs w:val="22"/>
              </w:rPr>
              <w:t>42 203</w:t>
            </w:r>
          </w:p>
        </w:tc>
        <w:tc>
          <w:tcPr>
            <w:tcW w:w="1419" w:type="dxa"/>
          </w:tcPr>
          <w:p w:rsidR="004E2069" w:rsidRPr="000A7F1D" w:rsidRDefault="004E2069" w:rsidP="00F82BA2">
            <w:pPr>
              <w:ind w:right="57"/>
              <w:jc w:val="right"/>
              <w:rPr>
                <w:bCs/>
                <w:iCs/>
                <w:sz w:val="22"/>
                <w:szCs w:val="22"/>
              </w:rPr>
            </w:pPr>
            <w:r w:rsidRPr="000A7F1D">
              <w:rPr>
                <w:bCs/>
                <w:iCs/>
                <w:sz w:val="22"/>
                <w:szCs w:val="22"/>
              </w:rPr>
              <w:t>39 885</w:t>
            </w:r>
          </w:p>
        </w:tc>
        <w:tc>
          <w:tcPr>
            <w:tcW w:w="1420" w:type="dxa"/>
          </w:tcPr>
          <w:p w:rsidR="004E2069" w:rsidRPr="000A7F1D" w:rsidRDefault="004E2069" w:rsidP="00F82BA2">
            <w:pPr>
              <w:ind w:right="57"/>
              <w:jc w:val="right"/>
              <w:rPr>
                <w:bCs/>
                <w:iCs/>
                <w:sz w:val="22"/>
                <w:szCs w:val="22"/>
              </w:rPr>
            </w:pPr>
            <w:r w:rsidRPr="000A7F1D">
              <w:rPr>
                <w:bCs/>
                <w:iCs/>
                <w:sz w:val="22"/>
                <w:szCs w:val="22"/>
              </w:rPr>
              <w:t>94,5</w:t>
            </w:r>
          </w:p>
        </w:tc>
      </w:tr>
      <w:tr w:rsidR="004E2069" w:rsidRPr="000A7F1D" w:rsidTr="00EA3AD6">
        <w:tc>
          <w:tcPr>
            <w:tcW w:w="322" w:type="dxa"/>
          </w:tcPr>
          <w:p w:rsidR="004E2069" w:rsidRPr="000A7F1D" w:rsidRDefault="004E2069" w:rsidP="000A7F1D">
            <w:pPr>
              <w:ind w:left="-57" w:right="-57"/>
              <w:jc w:val="center"/>
              <w:rPr>
                <w:bCs/>
                <w:iCs/>
                <w:sz w:val="22"/>
                <w:szCs w:val="22"/>
              </w:rPr>
            </w:pPr>
          </w:p>
        </w:tc>
        <w:tc>
          <w:tcPr>
            <w:tcW w:w="5051" w:type="dxa"/>
          </w:tcPr>
          <w:p w:rsidR="004E2069" w:rsidRPr="000A7F1D" w:rsidRDefault="004E2069" w:rsidP="000A7F1D">
            <w:pPr>
              <w:ind w:left="152"/>
              <w:rPr>
                <w:bCs/>
                <w:iCs/>
                <w:sz w:val="22"/>
                <w:szCs w:val="22"/>
              </w:rPr>
            </w:pPr>
            <w:r w:rsidRPr="000A7F1D">
              <w:rPr>
                <w:color w:val="000000"/>
                <w:sz w:val="22"/>
                <w:szCs w:val="22"/>
              </w:rPr>
              <w:t>7.1. административно-хозяйственные расходы</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11 844</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9 461</w:t>
            </w:r>
          </w:p>
        </w:tc>
        <w:tc>
          <w:tcPr>
            <w:tcW w:w="1420" w:type="dxa"/>
            <w:vAlign w:val="bottom"/>
          </w:tcPr>
          <w:p w:rsidR="004E2069" w:rsidRPr="000A7F1D" w:rsidRDefault="004E2069" w:rsidP="000A7F1D">
            <w:pPr>
              <w:ind w:right="57"/>
              <w:jc w:val="right"/>
              <w:rPr>
                <w:bCs/>
                <w:iCs/>
                <w:sz w:val="22"/>
                <w:szCs w:val="22"/>
              </w:rPr>
            </w:pPr>
            <w:r w:rsidRPr="000A7F1D">
              <w:rPr>
                <w:bCs/>
                <w:iCs/>
                <w:sz w:val="22"/>
                <w:szCs w:val="22"/>
              </w:rPr>
              <w:t>79,9</w:t>
            </w:r>
          </w:p>
        </w:tc>
      </w:tr>
      <w:tr w:rsidR="004E2069" w:rsidRPr="000A7F1D" w:rsidTr="00EA3AD6">
        <w:tc>
          <w:tcPr>
            <w:tcW w:w="322" w:type="dxa"/>
          </w:tcPr>
          <w:p w:rsidR="004E2069" w:rsidRPr="000A7F1D" w:rsidRDefault="004E2069" w:rsidP="000A7F1D">
            <w:pPr>
              <w:ind w:left="-57" w:right="-57"/>
              <w:jc w:val="center"/>
              <w:rPr>
                <w:bCs/>
                <w:iCs/>
                <w:sz w:val="22"/>
                <w:szCs w:val="22"/>
              </w:rPr>
            </w:pPr>
          </w:p>
        </w:tc>
        <w:tc>
          <w:tcPr>
            <w:tcW w:w="5051" w:type="dxa"/>
          </w:tcPr>
          <w:p w:rsidR="004E2069" w:rsidRPr="000A7F1D" w:rsidRDefault="004E2069" w:rsidP="000A7F1D">
            <w:pPr>
              <w:ind w:left="152"/>
              <w:rPr>
                <w:bCs/>
                <w:iCs/>
                <w:sz w:val="22"/>
                <w:szCs w:val="22"/>
              </w:rPr>
            </w:pPr>
            <w:r w:rsidRPr="000A7F1D">
              <w:rPr>
                <w:color w:val="000000"/>
                <w:sz w:val="22"/>
                <w:szCs w:val="22"/>
              </w:rPr>
              <w:t>7.2. расходы на содержание служащих</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28 900</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28 900</w:t>
            </w:r>
          </w:p>
        </w:tc>
        <w:tc>
          <w:tcPr>
            <w:tcW w:w="1420" w:type="dxa"/>
            <w:vAlign w:val="bottom"/>
          </w:tcPr>
          <w:p w:rsidR="004E2069" w:rsidRPr="000A7F1D" w:rsidRDefault="004E2069" w:rsidP="000A7F1D">
            <w:pPr>
              <w:ind w:right="57"/>
              <w:jc w:val="right"/>
              <w:rPr>
                <w:bCs/>
                <w:iCs/>
                <w:sz w:val="22"/>
                <w:szCs w:val="22"/>
              </w:rPr>
            </w:pPr>
            <w:r w:rsidRPr="000A7F1D">
              <w:rPr>
                <w:bCs/>
                <w:iCs/>
                <w:sz w:val="22"/>
                <w:szCs w:val="22"/>
              </w:rPr>
              <w:t>100,0</w:t>
            </w:r>
          </w:p>
        </w:tc>
      </w:tr>
      <w:tr w:rsidR="004E2069" w:rsidRPr="000A7F1D" w:rsidTr="00EA3AD6">
        <w:tc>
          <w:tcPr>
            <w:tcW w:w="322" w:type="dxa"/>
          </w:tcPr>
          <w:p w:rsidR="004E2069" w:rsidRPr="000A7F1D" w:rsidRDefault="004E2069" w:rsidP="000A7F1D">
            <w:pPr>
              <w:ind w:left="-57" w:right="-57"/>
              <w:jc w:val="center"/>
              <w:rPr>
                <w:bCs/>
                <w:iCs/>
                <w:sz w:val="22"/>
                <w:szCs w:val="22"/>
              </w:rPr>
            </w:pPr>
          </w:p>
        </w:tc>
        <w:tc>
          <w:tcPr>
            <w:tcW w:w="5051" w:type="dxa"/>
          </w:tcPr>
          <w:p w:rsidR="004E2069" w:rsidRPr="000A7F1D" w:rsidRDefault="004E2069" w:rsidP="000A7F1D">
            <w:pPr>
              <w:ind w:left="152"/>
              <w:rPr>
                <w:bCs/>
                <w:iCs/>
                <w:sz w:val="22"/>
                <w:szCs w:val="22"/>
              </w:rPr>
            </w:pPr>
            <w:r w:rsidRPr="000A7F1D">
              <w:rPr>
                <w:color w:val="000000"/>
                <w:sz w:val="22"/>
                <w:szCs w:val="22"/>
              </w:rPr>
              <w:t>7.3. другие расходы</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1 459</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1 524</w:t>
            </w:r>
          </w:p>
        </w:tc>
        <w:tc>
          <w:tcPr>
            <w:tcW w:w="1420" w:type="dxa"/>
            <w:vAlign w:val="bottom"/>
          </w:tcPr>
          <w:p w:rsidR="004E2069" w:rsidRPr="000A7F1D" w:rsidRDefault="004E2069" w:rsidP="000A7F1D">
            <w:pPr>
              <w:ind w:right="57"/>
              <w:jc w:val="right"/>
              <w:rPr>
                <w:bCs/>
                <w:iCs/>
                <w:sz w:val="22"/>
                <w:szCs w:val="22"/>
              </w:rPr>
            </w:pPr>
            <w:r w:rsidRPr="000A7F1D">
              <w:rPr>
                <w:bCs/>
                <w:iCs/>
                <w:sz w:val="22"/>
                <w:szCs w:val="22"/>
              </w:rPr>
              <w:t>104,5</w:t>
            </w:r>
          </w:p>
        </w:tc>
      </w:tr>
      <w:tr w:rsidR="004E2069" w:rsidRPr="000A7F1D" w:rsidTr="00EA3AD6">
        <w:tc>
          <w:tcPr>
            <w:tcW w:w="322" w:type="dxa"/>
          </w:tcPr>
          <w:p w:rsidR="004E2069" w:rsidRPr="000A7F1D" w:rsidRDefault="004E2069" w:rsidP="000A7F1D">
            <w:pPr>
              <w:ind w:left="-57" w:right="-57"/>
              <w:jc w:val="center"/>
              <w:rPr>
                <w:bCs/>
                <w:iCs/>
                <w:sz w:val="22"/>
                <w:szCs w:val="22"/>
              </w:rPr>
            </w:pPr>
          </w:p>
        </w:tc>
        <w:tc>
          <w:tcPr>
            <w:tcW w:w="5051" w:type="dxa"/>
          </w:tcPr>
          <w:p w:rsidR="004E2069" w:rsidRPr="000A7F1D" w:rsidRDefault="004E2069" w:rsidP="000A7F1D">
            <w:pPr>
              <w:rPr>
                <w:bCs/>
                <w:iCs/>
                <w:sz w:val="22"/>
                <w:szCs w:val="22"/>
              </w:rPr>
            </w:pPr>
            <w:r w:rsidRPr="000A7F1D">
              <w:rPr>
                <w:b/>
                <w:bCs/>
                <w:color w:val="000000"/>
                <w:sz w:val="22"/>
                <w:szCs w:val="22"/>
              </w:rPr>
              <w:t>Итого расходов</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47 548</w:t>
            </w:r>
          </w:p>
        </w:tc>
        <w:tc>
          <w:tcPr>
            <w:tcW w:w="1419" w:type="dxa"/>
            <w:vAlign w:val="bottom"/>
          </w:tcPr>
          <w:p w:rsidR="004E2069" w:rsidRPr="000A7F1D" w:rsidRDefault="004E2069" w:rsidP="000A7F1D">
            <w:pPr>
              <w:ind w:right="57"/>
              <w:jc w:val="right"/>
              <w:rPr>
                <w:bCs/>
                <w:iCs/>
                <w:sz w:val="22"/>
                <w:szCs w:val="22"/>
              </w:rPr>
            </w:pPr>
            <w:r w:rsidRPr="000A7F1D">
              <w:rPr>
                <w:bCs/>
                <w:iCs/>
                <w:sz w:val="22"/>
                <w:szCs w:val="22"/>
              </w:rPr>
              <w:t>354 959</w:t>
            </w:r>
          </w:p>
        </w:tc>
        <w:tc>
          <w:tcPr>
            <w:tcW w:w="1420" w:type="dxa"/>
            <w:vAlign w:val="bottom"/>
          </w:tcPr>
          <w:p w:rsidR="004E2069" w:rsidRPr="000A7F1D" w:rsidRDefault="004E2069" w:rsidP="000A7F1D">
            <w:pPr>
              <w:ind w:right="57"/>
              <w:jc w:val="right"/>
              <w:rPr>
                <w:bCs/>
                <w:iCs/>
                <w:sz w:val="22"/>
                <w:szCs w:val="22"/>
              </w:rPr>
            </w:pPr>
            <w:r w:rsidRPr="000A7F1D">
              <w:rPr>
                <w:bCs/>
                <w:iCs/>
                <w:sz w:val="22"/>
                <w:szCs w:val="22"/>
              </w:rPr>
              <w:t>746,5</w:t>
            </w:r>
          </w:p>
        </w:tc>
      </w:tr>
      <w:tr w:rsidR="004E2069" w:rsidRPr="000A7F1D" w:rsidTr="00EA3AD6">
        <w:tc>
          <w:tcPr>
            <w:tcW w:w="322" w:type="dxa"/>
            <w:shd w:val="clear" w:color="auto" w:fill="CCCCCC"/>
          </w:tcPr>
          <w:p w:rsidR="004E2069" w:rsidRPr="000A7F1D" w:rsidRDefault="004E2069" w:rsidP="000A7F1D">
            <w:pPr>
              <w:ind w:left="-57" w:right="-57"/>
              <w:jc w:val="center"/>
              <w:rPr>
                <w:bCs/>
                <w:iCs/>
                <w:sz w:val="22"/>
                <w:szCs w:val="22"/>
              </w:rPr>
            </w:pPr>
          </w:p>
        </w:tc>
        <w:tc>
          <w:tcPr>
            <w:tcW w:w="5051" w:type="dxa"/>
            <w:shd w:val="clear" w:color="auto" w:fill="CCCCCC"/>
          </w:tcPr>
          <w:p w:rsidR="004E2069" w:rsidRPr="000A7F1D" w:rsidRDefault="004E2069" w:rsidP="000A7F1D">
            <w:pPr>
              <w:rPr>
                <w:b/>
                <w:bCs/>
                <w:iCs/>
                <w:sz w:val="22"/>
                <w:szCs w:val="22"/>
              </w:rPr>
            </w:pPr>
            <w:r w:rsidRPr="000A7F1D">
              <w:rPr>
                <w:b/>
                <w:bCs/>
                <w:iCs/>
                <w:sz w:val="22"/>
                <w:szCs w:val="22"/>
              </w:rPr>
              <w:t>Балансовая прибыль (убыток)</w:t>
            </w:r>
          </w:p>
        </w:tc>
        <w:tc>
          <w:tcPr>
            <w:tcW w:w="1419" w:type="dxa"/>
            <w:shd w:val="clear" w:color="auto" w:fill="CCCCCC"/>
            <w:vAlign w:val="bottom"/>
          </w:tcPr>
          <w:p w:rsidR="004E2069" w:rsidRPr="000A7F1D" w:rsidRDefault="004E2069" w:rsidP="000A7F1D">
            <w:pPr>
              <w:ind w:right="57"/>
              <w:jc w:val="right"/>
              <w:rPr>
                <w:bCs/>
                <w:iCs/>
                <w:sz w:val="22"/>
                <w:szCs w:val="22"/>
              </w:rPr>
            </w:pPr>
            <w:r w:rsidRPr="000A7F1D">
              <w:rPr>
                <w:bCs/>
                <w:iCs/>
                <w:sz w:val="22"/>
                <w:szCs w:val="22"/>
              </w:rPr>
              <w:t>9 769</w:t>
            </w:r>
          </w:p>
        </w:tc>
        <w:tc>
          <w:tcPr>
            <w:tcW w:w="1419" w:type="dxa"/>
            <w:shd w:val="clear" w:color="auto" w:fill="CCCCCC"/>
            <w:vAlign w:val="bottom"/>
          </w:tcPr>
          <w:p w:rsidR="004E2069" w:rsidRPr="000A7F1D" w:rsidRDefault="004E2069" w:rsidP="000A7F1D">
            <w:pPr>
              <w:ind w:right="57"/>
              <w:jc w:val="right"/>
              <w:rPr>
                <w:bCs/>
                <w:iCs/>
                <w:sz w:val="22"/>
                <w:szCs w:val="22"/>
              </w:rPr>
            </w:pPr>
            <w:r w:rsidRPr="000A7F1D">
              <w:rPr>
                <w:bCs/>
                <w:iCs/>
                <w:sz w:val="22"/>
                <w:szCs w:val="22"/>
              </w:rPr>
              <w:t>50 099</w:t>
            </w:r>
          </w:p>
        </w:tc>
        <w:tc>
          <w:tcPr>
            <w:tcW w:w="1420" w:type="dxa"/>
            <w:shd w:val="clear" w:color="auto" w:fill="CCCCCC"/>
            <w:vAlign w:val="bottom"/>
          </w:tcPr>
          <w:p w:rsidR="004E2069" w:rsidRPr="000A7F1D" w:rsidRDefault="004E2069" w:rsidP="000A7F1D">
            <w:pPr>
              <w:ind w:right="57"/>
              <w:jc w:val="right"/>
              <w:rPr>
                <w:bCs/>
                <w:iCs/>
                <w:sz w:val="22"/>
                <w:szCs w:val="22"/>
              </w:rPr>
            </w:pPr>
            <w:r w:rsidRPr="000A7F1D">
              <w:rPr>
                <w:bCs/>
                <w:iCs/>
                <w:sz w:val="22"/>
                <w:szCs w:val="22"/>
              </w:rPr>
              <w:t>512,8</w:t>
            </w:r>
          </w:p>
        </w:tc>
      </w:tr>
    </w:tbl>
    <w:p w:rsidR="004E2069" w:rsidRDefault="004E2069" w:rsidP="001607D3">
      <w:pPr>
        <w:widowControl w:val="0"/>
        <w:jc w:val="right"/>
        <w:rPr>
          <w:sz w:val="22"/>
          <w:szCs w:val="22"/>
        </w:rPr>
      </w:pPr>
    </w:p>
    <w:p w:rsidR="004E2069" w:rsidRDefault="004E2069" w:rsidP="001607D3">
      <w:pPr>
        <w:widowControl w:val="0"/>
        <w:tabs>
          <w:tab w:val="left" w:pos="8222"/>
        </w:tabs>
        <w:spacing w:before="120"/>
        <w:rPr>
          <w:sz w:val="24"/>
          <w:szCs w:val="24"/>
        </w:rPr>
      </w:pPr>
      <w:r w:rsidRPr="003D73E2">
        <w:rPr>
          <w:sz w:val="24"/>
          <w:szCs w:val="24"/>
        </w:rPr>
        <w:t>Председатель</w:t>
      </w:r>
      <w:r w:rsidRPr="003D73E2">
        <w:rPr>
          <w:sz w:val="24"/>
          <w:szCs w:val="24"/>
        </w:rPr>
        <w:tab/>
        <w:t>В.С. Тидва</w:t>
      </w:r>
    </w:p>
    <w:p w:rsidR="004E2069" w:rsidRPr="003D73E2" w:rsidRDefault="004E2069" w:rsidP="001607D3">
      <w:pPr>
        <w:widowControl w:val="0"/>
        <w:tabs>
          <w:tab w:val="left" w:pos="8222"/>
        </w:tabs>
        <w:spacing w:before="120"/>
        <w:rPr>
          <w:sz w:val="24"/>
          <w:szCs w:val="24"/>
        </w:rPr>
      </w:pPr>
    </w:p>
    <w:p w:rsidR="004E2069" w:rsidRDefault="004E2069" w:rsidP="001607D3">
      <w:pPr>
        <w:widowControl w:val="0"/>
        <w:tabs>
          <w:tab w:val="left" w:pos="8222"/>
        </w:tabs>
        <w:spacing w:line="238" w:lineRule="auto"/>
        <w:jc w:val="both"/>
        <w:rPr>
          <w:sz w:val="24"/>
          <w:szCs w:val="24"/>
        </w:rPr>
      </w:pPr>
      <w:r w:rsidRPr="003D73E2">
        <w:rPr>
          <w:sz w:val="24"/>
          <w:szCs w:val="24"/>
        </w:rPr>
        <w:t>Главный бухгалтер</w:t>
      </w:r>
      <w:r w:rsidRPr="003D73E2">
        <w:rPr>
          <w:sz w:val="24"/>
          <w:szCs w:val="24"/>
        </w:rPr>
        <w:tab/>
        <w:t>О.И. Плешко</w:t>
      </w:r>
    </w:p>
    <w:p w:rsidR="004E2069" w:rsidRDefault="004E2069" w:rsidP="001607D3">
      <w:pPr>
        <w:widowControl w:val="0"/>
        <w:tabs>
          <w:tab w:val="left" w:pos="8222"/>
        </w:tabs>
        <w:spacing w:line="238" w:lineRule="auto"/>
        <w:jc w:val="both"/>
        <w:rPr>
          <w:sz w:val="24"/>
          <w:szCs w:val="24"/>
        </w:rPr>
      </w:pPr>
    </w:p>
    <w:p w:rsidR="004E2069" w:rsidRDefault="004E2069" w:rsidP="001607D3">
      <w:pPr>
        <w:widowControl w:val="0"/>
        <w:tabs>
          <w:tab w:val="left" w:pos="8222"/>
        </w:tabs>
        <w:spacing w:line="238" w:lineRule="auto"/>
        <w:jc w:val="both"/>
        <w:rPr>
          <w:sz w:val="24"/>
          <w:szCs w:val="24"/>
        </w:rPr>
      </w:pPr>
    </w:p>
    <w:p w:rsidR="004E2069" w:rsidRDefault="004E2069" w:rsidP="001607D3">
      <w:pPr>
        <w:widowControl w:val="0"/>
        <w:tabs>
          <w:tab w:val="left" w:pos="8222"/>
        </w:tabs>
        <w:spacing w:line="238" w:lineRule="auto"/>
        <w:jc w:val="both"/>
        <w:rPr>
          <w:sz w:val="24"/>
          <w:szCs w:val="24"/>
        </w:rPr>
      </w:pPr>
    </w:p>
    <w:p w:rsidR="004E2069" w:rsidRPr="000A5B19" w:rsidRDefault="004E2069" w:rsidP="00584251">
      <w:pPr>
        <w:ind w:firstLine="540"/>
        <w:jc w:val="both"/>
        <w:rPr>
          <w:rStyle w:val="FontStyle11"/>
          <w:sz w:val="25"/>
          <w:szCs w:val="25"/>
        </w:rPr>
      </w:pPr>
      <w:r w:rsidRPr="000A5B19">
        <w:rPr>
          <w:rStyle w:val="FontStyle11"/>
          <w:sz w:val="25"/>
          <w:szCs w:val="25"/>
        </w:rPr>
        <w:t>Примечание.</w:t>
      </w:r>
    </w:p>
    <w:p w:rsidR="004E2069" w:rsidRPr="000A5B19" w:rsidRDefault="004E2069" w:rsidP="00584251">
      <w:pPr>
        <w:ind w:firstLine="540"/>
        <w:jc w:val="both"/>
        <w:rPr>
          <w:rStyle w:val="FontStyle11"/>
          <w:sz w:val="25"/>
          <w:szCs w:val="25"/>
        </w:rPr>
      </w:pPr>
      <w:r w:rsidRPr="000A5B19">
        <w:rPr>
          <w:rStyle w:val="FontStyle11"/>
          <w:sz w:val="25"/>
          <w:szCs w:val="25"/>
        </w:rPr>
        <w:t>Информация, указанная в настоящем Приложении, изложена в редакции</w:t>
      </w:r>
      <w:r>
        <w:rPr>
          <w:rStyle w:val="FontStyle11"/>
          <w:sz w:val="25"/>
          <w:szCs w:val="25"/>
        </w:rPr>
        <w:t>,</w:t>
      </w:r>
      <w:r w:rsidRPr="000A5B19">
        <w:rPr>
          <w:rStyle w:val="FontStyle11"/>
          <w:sz w:val="25"/>
          <w:szCs w:val="25"/>
        </w:rPr>
        <w:t xml:space="preserve"> представленной </w:t>
      </w:r>
      <w:r w:rsidRPr="000A5B19">
        <w:rPr>
          <w:sz w:val="25"/>
          <w:szCs w:val="25"/>
        </w:rPr>
        <w:t>Приднестровск</w:t>
      </w:r>
      <w:r>
        <w:rPr>
          <w:sz w:val="25"/>
          <w:szCs w:val="25"/>
        </w:rPr>
        <w:t>им</w:t>
      </w:r>
      <w:r w:rsidRPr="000A5B19">
        <w:rPr>
          <w:sz w:val="25"/>
          <w:szCs w:val="25"/>
        </w:rPr>
        <w:t xml:space="preserve"> </w:t>
      </w:r>
      <w:r>
        <w:rPr>
          <w:sz w:val="25"/>
          <w:szCs w:val="25"/>
        </w:rPr>
        <w:t>р</w:t>
      </w:r>
      <w:r w:rsidRPr="000A5B19">
        <w:rPr>
          <w:sz w:val="25"/>
          <w:szCs w:val="25"/>
        </w:rPr>
        <w:t>еспублик</w:t>
      </w:r>
      <w:r>
        <w:rPr>
          <w:sz w:val="25"/>
          <w:szCs w:val="25"/>
        </w:rPr>
        <w:t>анским банком</w:t>
      </w:r>
      <w:r w:rsidRPr="000A5B19">
        <w:rPr>
          <w:sz w:val="25"/>
          <w:szCs w:val="25"/>
        </w:rPr>
        <w:t>.</w:t>
      </w:r>
    </w:p>
    <w:p w:rsidR="004E2069" w:rsidRDefault="004E2069" w:rsidP="00BF235E">
      <w:pPr>
        <w:widowControl w:val="0"/>
        <w:tabs>
          <w:tab w:val="num" w:pos="426"/>
          <w:tab w:val="num" w:pos="540"/>
        </w:tabs>
        <w:autoSpaceDE w:val="0"/>
        <w:autoSpaceDN w:val="0"/>
        <w:adjustRightInd w:val="0"/>
        <w:spacing w:before="120" w:after="120"/>
        <w:ind w:firstLine="425"/>
        <w:jc w:val="both"/>
        <w:rPr>
          <w:b/>
          <w:bCs/>
          <w:sz w:val="24"/>
          <w:szCs w:val="24"/>
        </w:rPr>
      </w:pPr>
    </w:p>
    <w:p w:rsidR="004E2069" w:rsidRDefault="004E2069" w:rsidP="00BF235E">
      <w:pPr>
        <w:widowControl w:val="0"/>
        <w:tabs>
          <w:tab w:val="num" w:pos="426"/>
          <w:tab w:val="num" w:pos="540"/>
        </w:tabs>
        <w:autoSpaceDE w:val="0"/>
        <w:autoSpaceDN w:val="0"/>
        <w:adjustRightInd w:val="0"/>
        <w:spacing w:before="120" w:after="120"/>
        <w:ind w:firstLine="425"/>
        <w:jc w:val="both"/>
        <w:rPr>
          <w:b/>
          <w:bCs/>
          <w:sz w:val="24"/>
          <w:szCs w:val="24"/>
        </w:rPr>
      </w:pPr>
    </w:p>
    <w:p w:rsidR="004E2069" w:rsidRDefault="004E2069" w:rsidP="00BF235E">
      <w:pPr>
        <w:widowControl w:val="0"/>
        <w:tabs>
          <w:tab w:val="num" w:pos="426"/>
          <w:tab w:val="num" w:pos="540"/>
        </w:tabs>
        <w:autoSpaceDE w:val="0"/>
        <w:autoSpaceDN w:val="0"/>
        <w:adjustRightInd w:val="0"/>
        <w:spacing w:before="120" w:after="120"/>
        <w:ind w:firstLine="425"/>
        <w:jc w:val="both"/>
        <w:rPr>
          <w:b/>
          <w:bCs/>
          <w:sz w:val="24"/>
          <w:szCs w:val="24"/>
        </w:rPr>
      </w:pPr>
    </w:p>
    <w:sectPr w:rsidR="004E2069" w:rsidSect="005528E8">
      <w:footnotePr>
        <w:numRestart w:val="eachSect"/>
      </w:footnotePr>
      <w:pgSz w:w="11906" w:h="16838" w:code="9"/>
      <w:pgMar w:top="1134" w:right="851" w:bottom="1134" w:left="1418" w:header="992" w:footer="873"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069" w:rsidRDefault="004E2069">
      <w:r>
        <w:separator/>
      </w:r>
    </w:p>
  </w:endnote>
  <w:endnote w:type="continuationSeparator" w:id="0">
    <w:p w:rsidR="004E2069" w:rsidRDefault="004E20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FreeSetC">
    <w:altName w:val="FreeSetC"/>
    <w:panose1 w:val="00000000000000000000"/>
    <w:charset w:val="CC"/>
    <w:family w:val="auto"/>
    <w:notTrueType/>
    <w:pitch w:val="default"/>
    <w:sig w:usb0="00000201" w:usb1="00000000" w:usb2="00000000" w:usb3="00000000" w:csb0="00000004"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069" w:rsidRPr="008E7F6E" w:rsidRDefault="004E2069" w:rsidP="00BF235E">
    <w:pPr>
      <w:pStyle w:val="Footer"/>
      <w:framePr w:w="374" w:wrap="auto" w:vAnchor="text" w:hAnchor="page" w:x="5974" w:y="15"/>
      <w:jc w:val="center"/>
      <w:rPr>
        <w:rStyle w:val="PageNumber"/>
        <w:sz w:val="22"/>
        <w:szCs w:val="22"/>
      </w:rPr>
    </w:pPr>
    <w:r w:rsidRPr="008E7F6E">
      <w:rPr>
        <w:rStyle w:val="PageNumber"/>
        <w:sz w:val="22"/>
        <w:szCs w:val="22"/>
      </w:rPr>
      <w:fldChar w:fldCharType="begin"/>
    </w:r>
    <w:r w:rsidRPr="008E7F6E">
      <w:rPr>
        <w:rStyle w:val="PageNumber"/>
        <w:sz w:val="22"/>
        <w:szCs w:val="22"/>
      </w:rPr>
      <w:instrText xml:space="preserve">PAGE  </w:instrText>
    </w:r>
    <w:r w:rsidRPr="008E7F6E">
      <w:rPr>
        <w:rStyle w:val="PageNumber"/>
        <w:sz w:val="22"/>
        <w:szCs w:val="22"/>
      </w:rPr>
      <w:fldChar w:fldCharType="separate"/>
    </w:r>
    <w:r>
      <w:rPr>
        <w:rStyle w:val="PageNumber"/>
        <w:noProof/>
        <w:sz w:val="22"/>
        <w:szCs w:val="22"/>
      </w:rPr>
      <w:t>50</w:t>
    </w:r>
    <w:r w:rsidRPr="008E7F6E">
      <w:rPr>
        <w:rStyle w:val="PageNumber"/>
        <w:sz w:val="22"/>
        <w:szCs w:val="22"/>
      </w:rPr>
      <w:fldChar w:fldCharType="end"/>
    </w:r>
  </w:p>
  <w:p w:rsidR="004E2069" w:rsidRPr="003326A1" w:rsidRDefault="004E2069" w:rsidP="003326A1">
    <w:pPr>
      <w:pStyle w:val="Footer"/>
      <w:ind w:left="-142"/>
      <w:jc w:val="center"/>
    </w:pPr>
    <w:r>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069" w:rsidRDefault="004E2069">
      <w:r>
        <w:separator/>
      </w:r>
    </w:p>
  </w:footnote>
  <w:footnote w:type="continuationSeparator" w:id="0">
    <w:p w:rsidR="004E2069" w:rsidRDefault="004E2069">
      <w:r>
        <w:continuationSeparator/>
      </w:r>
    </w:p>
  </w:footnote>
  <w:footnote w:id="1">
    <w:p w:rsidR="004E2069" w:rsidRDefault="004E2069" w:rsidP="00DC0A7D">
      <w:pPr>
        <w:pStyle w:val="FootnoteText"/>
        <w:jc w:val="both"/>
      </w:pPr>
      <w:r w:rsidRPr="00910C68">
        <w:rPr>
          <w:sz w:val="22"/>
          <w:szCs w:val="22"/>
          <w:vertAlign w:val="superscript"/>
        </w:rPr>
        <w:footnoteRef/>
      </w:r>
      <w:r w:rsidRPr="00910C68">
        <w:rPr>
          <w:sz w:val="22"/>
          <w:szCs w:val="22"/>
          <w:vertAlign w:val="superscript"/>
        </w:rPr>
        <w:t xml:space="preserve"> </w:t>
      </w:r>
      <w:r w:rsidRPr="00910C68">
        <w:rPr>
          <w:sz w:val="22"/>
          <w:szCs w:val="22"/>
        </w:rPr>
        <w:t>показатель изменения международных цен на корзину продовольственных сырьевых товаров, рассчитываемый Продовольственной и сельскохозяйственной организацией (ФАО) ООН</w:t>
      </w:r>
    </w:p>
  </w:footnote>
  <w:footnote w:id="2">
    <w:p w:rsidR="004E2069" w:rsidRDefault="004E2069" w:rsidP="00DC0A7D">
      <w:pPr>
        <w:pStyle w:val="FootnoteText"/>
        <w:jc w:val="both"/>
      </w:pPr>
      <w:r w:rsidRPr="00C5283B">
        <w:rPr>
          <w:rStyle w:val="FootnoteReference"/>
          <w:sz w:val="22"/>
          <w:szCs w:val="22"/>
        </w:rPr>
        <w:footnoteRef/>
      </w:r>
      <w:r w:rsidRPr="00C5283B">
        <w:rPr>
          <w:sz w:val="22"/>
          <w:szCs w:val="22"/>
        </w:rPr>
        <w:t xml:space="preserve"> без учёта субъектов малого предпринимательства, промышленных подразделений при непромышленных организациях</w:t>
      </w:r>
    </w:p>
  </w:footnote>
  <w:footnote w:id="3">
    <w:p w:rsidR="004E2069" w:rsidRDefault="004E2069" w:rsidP="00DC0A7D">
      <w:pPr>
        <w:pStyle w:val="FootnoteText"/>
      </w:pPr>
      <w:r w:rsidRPr="00C5283B">
        <w:rPr>
          <w:rStyle w:val="FootnoteReference"/>
          <w:sz w:val="22"/>
          <w:szCs w:val="22"/>
        </w:rPr>
        <w:footnoteRef/>
      </w:r>
      <w:r w:rsidRPr="00C5283B">
        <w:rPr>
          <w:sz w:val="22"/>
          <w:szCs w:val="22"/>
        </w:rPr>
        <w:t xml:space="preserve"> </w:t>
      </w:r>
      <w:r w:rsidRPr="00C5283B">
        <w:rPr>
          <w:snapToGrid w:val="0"/>
          <w:sz w:val="22"/>
          <w:szCs w:val="22"/>
        </w:rPr>
        <w:t>в сопоставимых ценах</w:t>
      </w:r>
      <w:r w:rsidRPr="00C5283B">
        <w:rPr>
          <w:sz w:val="22"/>
          <w:szCs w:val="22"/>
        </w:rPr>
        <w:t xml:space="preserve"> к предыдущему году</w:t>
      </w:r>
    </w:p>
  </w:footnote>
  <w:footnote w:id="4">
    <w:p w:rsidR="004E2069" w:rsidRDefault="004E2069" w:rsidP="00DC0A7D">
      <w:pPr>
        <w:pStyle w:val="FootnoteText"/>
        <w:jc w:val="both"/>
      </w:pPr>
      <w:r w:rsidRPr="00D84063">
        <w:rPr>
          <w:rStyle w:val="FootnoteReference"/>
          <w:sz w:val="22"/>
          <w:szCs w:val="22"/>
        </w:rPr>
        <w:footnoteRef/>
      </w:r>
      <w:r w:rsidRPr="00D84063">
        <w:rPr>
          <w:sz w:val="22"/>
          <w:szCs w:val="22"/>
        </w:rPr>
        <w:t xml:space="preserve"> в таблицах 1.2 и 1.3 данные приведены по отношению к декабрю предыдущего года</w:t>
      </w:r>
    </w:p>
  </w:footnote>
  <w:footnote w:id="5">
    <w:p w:rsidR="004E2069" w:rsidRDefault="004E2069" w:rsidP="00DC0A7D">
      <w:pPr>
        <w:tabs>
          <w:tab w:val="left" w:pos="1134"/>
        </w:tabs>
        <w:jc w:val="both"/>
      </w:pPr>
      <w:r w:rsidRPr="00D84063">
        <w:rPr>
          <w:rStyle w:val="FootnoteReference"/>
          <w:sz w:val="22"/>
          <w:szCs w:val="22"/>
        </w:rPr>
        <w:footnoteRef/>
      </w:r>
      <w:r w:rsidRPr="00D84063">
        <w:rPr>
          <w:sz w:val="22"/>
          <w:szCs w:val="22"/>
        </w:rPr>
        <w:t xml:space="preserve"> базовый индекс потребительских цен (базовая инфляция) отражает долгосрочную динамику изменения цен, не подверженную влиянию факторов административного и сезонного характера</w:t>
      </w:r>
    </w:p>
  </w:footnote>
  <w:footnote w:id="6">
    <w:p w:rsidR="004E2069" w:rsidRDefault="004E2069" w:rsidP="00DC0A7D">
      <w:pPr>
        <w:tabs>
          <w:tab w:val="left" w:pos="1134"/>
        </w:tabs>
        <w:jc w:val="both"/>
      </w:pPr>
      <w:r w:rsidRPr="00D84063">
        <w:rPr>
          <w:rStyle w:val="FootnoteReference"/>
          <w:sz w:val="22"/>
          <w:szCs w:val="22"/>
        </w:rPr>
        <w:footnoteRef/>
      </w:r>
      <w:r w:rsidRPr="00D84063">
        <w:rPr>
          <w:sz w:val="22"/>
          <w:szCs w:val="22"/>
        </w:rPr>
        <w:t xml:space="preserve"> небазовая инфляция рассчитывается по товарам и услугам, цены на которые формируются под влиянием административного регулирования и подвержены сезонным колебаниям</w:t>
      </w:r>
    </w:p>
  </w:footnote>
  <w:footnote w:id="7">
    <w:p w:rsidR="004E2069" w:rsidRDefault="004E2069" w:rsidP="00DC0A7D">
      <w:pPr>
        <w:pStyle w:val="FootnoteText"/>
      </w:pPr>
      <w:r w:rsidRPr="00155A8E">
        <w:rPr>
          <w:rStyle w:val="FootnoteReference"/>
          <w:sz w:val="22"/>
          <w:szCs w:val="22"/>
        </w:rPr>
        <w:footnoteRef/>
      </w:r>
      <w:r w:rsidRPr="00155A8E">
        <w:rPr>
          <w:sz w:val="22"/>
          <w:szCs w:val="22"/>
        </w:rPr>
        <w:t xml:space="preserve"> данные за январь-сентябрь 201</w:t>
      </w:r>
      <w:r>
        <w:rPr>
          <w:sz w:val="22"/>
          <w:szCs w:val="22"/>
        </w:rPr>
        <w:t>7</w:t>
      </w:r>
      <w:r w:rsidRPr="00155A8E">
        <w:rPr>
          <w:sz w:val="22"/>
          <w:szCs w:val="22"/>
        </w:rPr>
        <w:t xml:space="preserve"> года</w:t>
      </w:r>
    </w:p>
  </w:footnote>
  <w:footnote w:id="8">
    <w:p w:rsidR="004E2069" w:rsidRDefault="004E2069" w:rsidP="00DC0A7D">
      <w:pPr>
        <w:pStyle w:val="FootnoteText"/>
        <w:jc w:val="both"/>
      </w:pPr>
      <w:r w:rsidRPr="008C1A32">
        <w:rPr>
          <w:rStyle w:val="FootnoteReference"/>
          <w:sz w:val="22"/>
        </w:rPr>
        <w:footnoteRef/>
      </w:r>
      <w:r w:rsidRPr="008C1A32">
        <w:rPr>
          <w:sz w:val="22"/>
        </w:rPr>
        <w:t xml:space="preserve"> дефлятор равен 1,0699 (изменение среднего уровня потребительских цен в январе-сентябре</w:t>
      </w:r>
      <w:r>
        <w:rPr>
          <w:sz w:val="22"/>
        </w:rPr>
        <w:br/>
      </w:r>
      <w:r w:rsidRPr="008C1A32">
        <w:rPr>
          <w:sz w:val="22"/>
        </w:rPr>
        <w:t>2017 года к сопоставимому показателю предыдущего года)</w:t>
      </w:r>
    </w:p>
  </w:footnote>
  <w:footnote w:id="9">
    <w:p w:rsidR="004E2069" w:rsidRDefault="004E2069" w:rsidP="00DC0A7D">
      <w:pPr>
        <w:pStyle w:val="FootnoteText"/>
      </w:pPr>
      <w:r w:rsidRPr="008C1A32">
        <w:rPr>
          <w:rStyle w:val="FootnoteReference"/>
          <w:sz w:val="22"/>
        </w:rPr>
        <w:footnoteRef/>
      </w:r>
      <w:r w:rsidRPr="008C1A32">
        <w:rPr>
          <w:sz w:val="22"/>
        </w:rPr>
        <w:t xml:space="preserve"> </w:t>
      </w:r>
      <w:r w:rsidRPr="008C1A32">
        <w:rPr>
          <w:iCs/>
          <w:color w:val="000000"/>
          <w:sz w:val="22"/>
        </w:rPr>
        <w:t>объём денежных доходов за вычетом обязательных платежей и разнообразных взносов</w:t>
      </w:r>
    </w:p>
  </w:footnote>
  <w:footnote w:id="10">
    <w:p w:rsidR="004E2069" w:rsidRDefault="004E2069" w:rsidP="00DC0A7D">
      <w:pPr>
        <w:pStyle w:val="FootnoteText"/>
      </w:pPr>
      <w:r w:rsidRPr="008C1A32">
        <w:rPr>
          <w:rStyle w:val="FootnoteReference"/>
          <w:sz w:val="22"/>
        </w:rPr>
        <w:footnoteRef/>
      </w:r>
      <w:r w:rsidRPr="008C1A32">
        <w:rPr>
          <w:sz w:val="22"/>
        </w:rPr>
        <w:t xml:space="preserve"> согласно данным Единого Государственного фонда социального страхования ПМР </w:t>
      </w:r>
    </w:p>
  </w:footnote>
  <w:footnote w:id="11">
    <w:p w:rsidR="004E2069" w:rsidRDefault="004E2069" w:rsidP="00181171">
      <w:pPr>
        <w:pStyle w:val="FootnoteText"/>
        <w:jc w:val="both"/>
      </w:pPr>
      <w:r w:rsidRPr="00C47A35">
        <w:rPr>
          <w:rStyle w:val="FootnoteReference"/>
        </w:rPr>
        <w:footnoteRef/>
      </w:r>
      <w:r w:rsidRPr="00C47A35">
        <w:t xml:space="preserve"> </w:t>
      </w:r>
      <w:r w:rsidRPr="00C47A35">
        <w:rPr>
          <w:sz w:val="22"/>
        </w:rPr>
        <w:t>здесь и далее доходы консолидированного бюджета приводятся без учёта операций с ценными бумагами и соответствующих сумм в расходах консолидированного бюджета</w:t>
      </w:r>
    </w:p>
  </w:footnote>
  <w:footnote w:id="12">
    <w:p w:rsidR="004E2069" w:rsidRDefault="004E2069" w:rsidP="00181171">
      <w:pPr>
        <w:pStyle w:val="FootnoteText"/>
        <w:jc w:val="both"/>
      </w:pPr>
      <w:r w:rsidRPr="0029187C">
        <w:rPr>
          <w:rStyle w:val="FootnoteReference"/>
          <w:sz w:val="22"/>
          <w:szCs w:val="22"/>
        </w:rPr>
        <w:footnoteRef/>
      </w:r>
      <w:r w:rsidRPr="0029187C">
        <w:rPr>
          <w:sz w:val="22"/>
          <w:szCs w:val="22"/>
        </w:rPr>
        <w:t xml:space="preserve"> </w:t>
      </w:r>
      <w:r w:rsidRPr="0029187C">
        <w:rPr>
          <w:spacing w:val="-4"/>
          <w:sz w:val="22"/>
          <w:szCs w:val="22"/>
        </w:rPr>
        <w:t xml:space="preserve">без учёта расходов, осуществлённых учреждениями из средств от оказания ими платных услуг </w:t>
      </w:r>
      <w:r w:rsidRPr="0029187C">
        <w:rPr>
          <w:bCs/>
          <w:sz w:val="22"/>
          <w:szCs w:val="22"/>
        </w:rPr>
        <w:t xml:space="preserve">и гуманитарной помощи </w:t>
      </w:r>
    </w:p>
  </w:footnote>
  <w:footnote w:id="13">
    <w:p w:rsidR="004E2069" w:rsidRDefault="004E2069" w:rsidP="00181171">
      <w:pPr>
        <w:pStyle w:val="FootnoteText"/>
        <w:jc w:val="both"/>
      </w:pPr>
      <w:r w:rsidRPr="005B7A96">
        <w:rPr>
          <w:rStyle w:val="FootnoteReference"/>
          <w:sz w:val="22"/>
          <w:szCs w:val="22"/>
        </w:rPr>
        <w:footnoteRef/>
      </w:r>
      <w:r w:rsidRPr="005B7A96">
        <w:rPr>
          <w:sz w:val="22"/>
          <w:szCs w:val="22"/>
        </w:rPr>
        <w:t xml:space="preserve"> государственные расходы на образование, здрав</w:t>
      </w:r>
      <w:r>
        <w:rPr>
          <w:sz w:val="22"/>
          <w:szCs w:val="22"/>
        </w:rPr>
        <w:t>оохранение, культуру, искусство и</w:t>
      </w:r>
      <w:r w:rsidRPr="005B7A96">
        <w:rPr>
          <w:sz w:val="22"/>
          <w:szCs w:val="22"/>
        </w:rPr>
        <w:t xml:space="preserve"> социальную политику </w:t>
      </w:r>
    </w:p>
  </w:footnote>
  <w:footnote w:id="14">
    <w:p w:rsidR="004E2069" w:rsidRDefault="004E2069" w:rsidP="009E52B4">
      <w:pPr>
        <w:pStyle w:val="FootnoteText"/>
      </w:pPr>
      <w:r w:rsidRPr="00E31B4D">
        <w:rPr>
          <w:rStyle w:val="FootnoteReference"/>
          <w:sz w:val="22"/>
          <w:szCs w:val="22"/>
        </w:rPr>
        <w:footnoteRef/>
      </w:r>
      <w:r w:rsidRPr="00E31B4D">
        <w:rPr>
          <w:sz w:val="22"/>
          <w:szCs w:val="22"/>
        </w:rPr>
        <w:t xml:space="preserve"> </w:t>
      </w:r>
      <w:r>
        <w:rPr>
          <w:sz w:val="22"/>
          <w:szCs w:val="22"/>
        </w:rPr>
        <w:t xml:space="preserve">здесь и далее </w:t>
      </w:r>
      <w:r w:rsidRPr="00E31B4D">
        <w:rPr>
          <w:sz w:val="22"/>
          <w:szCs w:val="22"/>
        </w:rPr>
        <w:t>без учёта ЗАО «Банк сельхозразвития»</w:t>
      </w:r>
    </w:p>
  </w:footnote>
  <w:footnote w:id="15">
    <w:p w:rsidR="004E2069" w:rsidRDefault="004E2069" w:rsidP="00DC0A7D">
      <w:pPr>
        <w:pStyle w:val="FootnoteText"/>
        <w:spacing w:line="235" w:lineRule="auto"/>
        <w:jc w:val="both"/>
      </w:pPr>
      <w:r w:rsidRPr="00E31B4D">
        <w:rPr>
          <w:rStyle w:val="FootnoteReference"/>
          <w:sz w:val="22"/>
        </w:rPr>
        <w:footnoteRef/>
      </w:r>
      <w:r w:rsidRPr="00E31B4D">
        <w:t xml:space="preserve"> </w:t>
      </w:r>
      <w:r w:rsidRPr="00E31B4D">
        <w:rPr>
          <w:sz w:val="22"/>
        </w:rPr>
        <w:t>(задолженность по кредитам – просроченная задолженность по кредитам) / задолженность по кредитам</w:t>
      </w:r>
    </w:p>
  </w:footnote>
  <w:footnote w:id="16">
    <w:p w:rsidR="004E2069" w:rsidRDefault="004E2069" w:rsidP="00076A4C">
      <w:pPr>
        <w:pStyle w:val="FootnoteText"/>
        <w:jc w:val="both"/>
      </w:pPr>
      <w:r>
        <w:rPr>
          <w:rStyle w:val="FootnoteReference"/>
        </w:rPr>
        <w:footnoteRef/>
      </w:r>
      <w:r>
        <w:t xml:space="preserve"> </w:t>
      </w:r>
      <w:r w:rsidRPr="00AB77B5">
        <w:rPr>
          <w:sz w:val="22"/>
        </w:rPr>
        <w:t xml:space="preserve">значение меньше 100% означает снижение курса приднестровского рубля в реальном выражении относительно курсов валют стран - основных торговых партнёров и, соответственно, повышение конкурентоспособности приднестровских товаров на рынках этих стран </w:t>
      </w:r>
    </w:p>
  </w:footnote>
  <w:footnote w:id="17">
    <w:p w:rsidR="004E2069" w:rsidRDefault="004E2069" w:rsidP="009C03C6">
      <w:pPr>
        <w:pStyle w:val="FootnoteText"/>
        <w:jc w:val="both"/>
      </w:pPr>
      <w:r>
        <w:rPr>
          <w:rStyle w:val="FootnoteReference"/>
        </w:rPr>
        <w:footnoteRef/>
      </w:r>
      <w:r>
        <w:t xml:space="preserve"> </w:t>
      </w:r>
      <w:r w:rsidRPr="00AB77B5">
        <w:rPr>
          <w:sz w:val="22"/>
        </w:rPr>
        <w:t>значение больше 100% означает повышение курса приднестровского рубля в реальном выражении относительно курсов валют стран - основных торговых партнёров и, соответственно, снижение конкурентоспособности приднестровских товаров на рынках этих стран</w:t>
      </w:r>
    </w:p>
  </w:footnote>
  <w:footnote w:id="18">
    <w:p w:rsidR="004E2069" w:rsidRDefault="004E2069" w:rsidP="00BD53C3">
      <w:pPr>
        <w:pStyle w:val="FootnoteText"/>
        <w:jc w:val="both"/>
      </w:pPr>
      <w:r w:rsidRPr="001F5012">
        <w:rPr>
          <w:rStyle w:val="FootnoteReference"/>
          <w:sz w:val="22"/>
          <w:szCs w:val="22"/>
        </w:rPr>
        <w:footnoteRef/>
      </w:r>
      <w:r w:rsidRPr="001F5012">
        <w:rPr>
          <w:sz w:val="22"/>
          <w:szCs w:val="22"/>
        </w:rPr>
        <w:t xml:space="preserve"> по методике платёжного баланса из показателя, предоставляемого ГТК ПМР,</w:t>
      </w:r>
      <w:r w:rsidRPr="001F5012">
        <w:rPr>
          <w:color w:val="000000"/>
          <w:sz w:val="22"/>
          <w:szCs w:val="22"/>
        </w:rPr>
        <w:t xml:space="preserve"> исключены временный и обратный ввоз (вывоз) товаров, ввоз сырья для переработки под таможенным контролем на территории ПМР и вывоз сырья для переработки вне таможенной территории ПМР, ввоз (вывоз) продуктов переработки, а также товары, пересекающие таможенную границу ПМР без перехода прав собственности от резидента к нерезиденту, в том числе отремонтированное (модернизированное) оборудование, товары, поставленные по гарантийному обслуживанию, включая возврат (замену) товаров по рекламации, образцы и т.п. </w:t>
      </w:r>
    </w:p>
  </w:footnote>
  <w:footnote w:id="19">
    <w:p w:rsidR="004E2069" w:rsidRDefault="004E2069" w:rsidP="001F3121">
      <w:pPr>
        <w:pStyle w:val="FootnoteText"/>
      </w:pPr>
      <w:r w:rsidRPr="005B2B16">
        <w:rPr>
          <w:rStyle w:val="FootnoteReference"/>
          <w:sz w:val="22"/>
          <w:szCs w:val="22"/>
        </w:rPr>
        <w:footnoteRef/>
      </w:r>
      <w:r w:rsidRPr="005B2B16">
        <w:rPr>
          <w:sz w:val="22"/>
          <w:szCs w:val="22"/>
        </w:rPr>
        <w:t xml:space="preserve"> данные за 2015 и 2016 год</w:t>
      </w:r>
      <w:r>
        <w:rPr>
          <w:sz w:val="22"/>
          <w:szCs w:val="22"/>
        </w:rPr>
        <w:t>ы</w:t>
      </w:r>
      <w:r w:rsidRPr="005B2B16">
        <w:rPr>
          <w:sz w:val="22"/>
          <w:szCs w:val="22"/>
        </w:rPr>
        <w:t xml:space="preserve"> уточнены</w:t>
      </w:r>
    </w:p>
  </w:footnote>
  <w:footnote w:id="20">
    <w:p w:rsidR="004E2069" w:rsidRDefault="004E2069" w:rsidP="001F3121">
      <w:pPr>
        <w:pStyle w:val="FootnoteText"/>
        <w:jc w:val="both"/>
      </w:pPr>
      <w:r w:rsidRPr="005B2B16">
        <w:rPr>
          <w:rStyle w:val="FootnoteReference"/>
          <w:sz w:val="22"/>
          <w:szCs w:val="22"/>
        </w:rPr>
        <w:footnoteRef/>
      </w:r>
      <w:r w:rsidRPr="005B2B16">
        <w:rPr>
          <w:sz w:val="22"/>
          <w:szCs w:val="22"/>
        </w:rPr>
        <w:t xml:space="preserve"> в некоторых случаях незначительные расхождения между показателями объясняются округлением величин</w:t>
      </w:r>
    </w:p>
  </w:footnote>
  <w:footnote w:id="21">
    <w:p w:rsidR="004E2069" w:rsidRDefault="004E2069" w:rsidP="001F3121">
      <w:pPr>
        <w:pStyle w:val="FootnoteText"/>
      </w:pPr>
      <w:r w:rsidRPr="005B2B16">
        <w:rPr>
          <w:rStyle w:val="FootnoteReference"/>
          <w:sz w:val="22"/>
          <w:szCs w:val="22"/>
        </w:rPr>
        <w:footnoteRef/>
      </w:r>
      <w:r w:rsidRPr="005B2B16">
        <w:rPr>
          <w:sz w:val="22"/>
          <w:szCs w:val="22"/>
        </w:rPr>
        <w:t xml:space="preserve"> включают резервные и другие валюты</w:t>
      </w:r>
    </w:p>
  </w:footnote>
  <w:footnote w:id="22">
    <w:p w:rsidR="004E2069" w:rsidRDefault="004E2069" w:rsidP="00151E78">
      <w:pPr>
        <w:pStyle w:val="FootnoteText"/>
        <w:jc w:val="both"/>
      </w:pPr>
      <w:r w:rsidRPr="00D96FF7">
        <w:rPr>
          <w:rStyle w:val="FootnoteReference"/>
          <w:sz w:val="22"/>
          <w:szCs w:val="22"/>
        </w:rPr>
        <w:footnoteRef/>
      </w:r>
      <w:r w:rsidRPr="00D96FF7">
        <w:rPr>
          <w:sz w:val="22"/>
          <w:szCs w:val="22"/>
        </w:rPr>
        <w:t xml:space="preserve"> без уч</w:t>
      </w:r>
      <w:r>
        <w:rPr>
          <w:sz w:val="22"/>
          <w:szCs w:val="22"/>
        </w:rPr>
        <w:t>ё</w:t>
      </w:r>
      <w:r w:rsidRPr="00D96FF7">
        <w:rPr>
          <w:sz w:val="22"/>
          <w:szCs w:val="22"/>
        </w:rPr>
        <w:t>та привлеч</w:t>
      </w:r>
      <w:r>
        <w:rPr>
          <w:sz w:val="22"/>
          <w:szCs w:val="22"/>
        </w:rPr>
        <w:t>ё</w:t>
      </w:r>
      <w:r w:rsidRPr="00D96FF7">
        <w:rPr>
          <w:sz w:val="22"/>
          <w:szCs w:val="22"/>
        </w:rPr>
        <w:t>нных кредитов (ссуд), займов</w:t>
      </w:r>
    </w:p>
  </w:footnote>
  <w:footnote w:id="23">
    <w:p w:rsidR="004E2069" w:rsidRDefault="004E2069" w:rsidP="00151E78">
      <w:pPr>
        <w:pStyle w:val="FootnoteText"/>
        <w:jc w:val="both"/>
      </w:pPr>
      <w:r w:rsidRPr="00D96FF7">
        <w:rPr>
          <w:rStyle w:val="FootnoteReference"/>
          <w:sz w:val="22"/>
          <w:szCs w:val="22"/>
        </w:rPr>
        <w:footnoteRef/>
      </w:r>
      <w:r w:rsidRPr="00D96FF7">
        <w:rPr>
          <w:sz w:val="22"/>
          <w:szCs w:val="22"/>
        </w:rPr>
        <w:t xml:space="preserve"> в расходах 201</w:t>
      </w:r>
      <w:r>
        <w:rPr>
          <w:sz w:val="22"/>
          <w:szCs w:val="22"/>
        </w:rPr>
        <w:t>7</w:t>
      </w:r>
      <w:r w:rsidRPr="00D96FF7">
        <w:rPr>
          <w:sz w:val="22"/>
          <w:szCs w:val="22"/>
        </w:rPr>
        <w:t xml:space="preserve"> года не учитываются средства, направленные на возврат кредитов по государственному долгу и процентов по ним</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9639"/>
    </w:tblGrid>
    <w:tr w:rsidR="004E2069">
      <w:tc>
        <w:tcPr>
          <w:tcW w:w="9639" w:type="dxa"/>
          <w:tcBorders>
            <w:bottom w:val="double" w:sz="6" w:space="0" w:color="auto"/>
          </w:tcBorders>
        </w:tcPr>
        <w:p w:rsidR="004E2069" w:rsidRDefault="004E2069" w:rsidP="00BF235E">
          <w:pPr>
            <w:pStyle w:val="Header"/>
            <w:jc w:val="center"/>
            <w:rPr>
              <w:rFonts w:ascii="Verdana" w:hAnsi="Verdana" w:cs="Verdana"/>
              <w:b/>
              <w:bCs/>
              <w:i/>
              <w:iCs/>
              <w:color w:val="C0C0C0"/>
              <w:sz w:val="24"/>
              <w:szCs w:val="24"/>
            </w:rPr>
          </w:pPr>
          <w:r>
            <w:rPr>
              <w:b/>
              <w:bCs/>
              <w:i/>
              <w:iCs/>
              <w:color w:val="C0C0C0"/>
              <w:sz w:val="24"/>
              <w:szCs w:val="24"/>
            </w:rPr>
            <w:t>Годовой отчёт Приднестровского республиканского банка за 2017 год</w:t>
          </w:r>
        </w:p>
      </w:tc>
    </w:tr>
  </w:tbl>
  <w:p w:rsidR="004E2069" w:rsidRPr="00AD4E1E" w:rsidRDefault="004E2069">
    <w:pPr>
      <w:pStyle w:val="Header"/>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5F45"/>
    <w:multiLevelType w:val="hybridMultilevel"/>
    <w:tmpl w:val="6D7EF5B8"/>
    <w:lvl w:ilvl="0" w:tplc="04190019">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D29177A"/>
    <w:multiLevelType w:val="hybridMultilevel"/>
    <w:tmpl w:val="C54C9BF6"/>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2">
    <w:nsid w:val="0D983AEB"/>
    <w:multiLevelType w:val="hybridMultilevel"/>
    <w:tmpl w:val="0A967C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D77503"/>
    <w:multiLevelType w:val="hybridMultilevel"/>
    <w:tmpl w:val="AB0C720A"/>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4">
    <w:nsid w:val="120500CD"/>
    <w:multiLevelType w:val="hybridMultilevel"/>
    <w:tmpl w:val="B098517A"/>
    <w:lvl w:ilvl="0" w:tplc="25F44E10">
      <w:start w:val="1"/>
      <w:numFmt w:val="bullet"/>
      <w:lvlText w:val=""/>
      <w:lvlJc w:val="left"/>
      <w:pPr>
        <w:tabs>
          <w:tab w:val="num" w:pos="1531"/>
        </w:tabs>
        <w:ind w:left="1531" w:hanging="360"/>
      </w:pPr>
      <w:rPr>
        <w:rFonts w:ascii="Symbol" w:hAnsi="Symbol" w:hint="default"/>
      </w:rPr>
    </w:lvl>
    <w:lvl w:ilvl="1" w:tplc="04190003" w:tentative="1">
      <w:start w:val="1"/>
      <w:numFmt w:val="bullet"/>
      <w:lvlText w:val="o"/>
      <w:lvlJc w:val="left"/>
      <w:pPr>
        <w:tabs>
          <w:tab w:val="num" w:pos="1542"/>
        </w:tabs>
        <w:ind w:left="1542" w:hanging="360"/>
      </w:pPr>
      <w:rPr>
        <w:rFonts w:ascii="Courier New" w:hAnsi="Courier New" w:hint="default"/>
      </w:rPr>
    </w:lvl>
    <w:lvl w:ilvl="2" w:tplc="04190005" w:tentative="1">
      <w:start w:val="1"/>
      <w:numFmt w:val="bullet"/>
      <w:lvlText w:val=""/>
      <w:lvlJc w:val="left"/>
      <w:pPr>
        <w:tabs>
          <w:tab w:val="num" w:pos="2262"/>
        </w:tabs>
        <w:ind w:left="2262" w:hanging="360"/>
      </w:pPr>
      <w:rPr>
        <w:rFonts w:ascii="Wingdings" w:hAnsi="Wingdings" w:hint="default"/>
      </w:rPr>
    </w:lvl>
    <w:lvl w:ilvl="3" w:tplc="04190001" w:tentative="1">
      <w:start w:val="1"/>
      <w:numFmt w:val="bullet"/>
      <w:lvlText w:val=""/>
      <w:lvlJc w:val="left"/>
      <w:pPr>
        <w:tabs>
          <w:tab w:val="num" w:pos="2982"/>
        </w:tabs>
        <w:ind w:left="2982" w:hanging="360"/>
      </w:pPr>
      <w:rPr>
        <w:rFonts w:ascii="Symbol" w:hAnsi="Symbol" w:hint="default"/>
      </w:rPr>
    </w:lvl>
    <w:lvl w:ilvl="4" w:tplc="04190003" w:tentative="1">
      <w:start w:val="1"/>
      <w:numFmt w:val="bullet"/>
      <w:lvlText w:val="o"/>
      <w:lvlJc w:val="left"/>
      <w:pPr>
        <w:tabs>
          <w:tab w:val="num" w:pos="3702"/>
        </w:tabs>
        <w:ind w:left="3702" w:hanging="360"/>
      </w:pPr>
      <w:rPr>
        <w:rFonts w:ascii="Courier New" w:hAnsi="Courier New" w:hint="default"/>
      </w:rPr>
    </w:lvl>
    <w:lvl w:ilvl="5" w:tplc="04190005" w:tentative="1">
      <w:start w:val="1"/>
      <w:numFmt w:val="bullet"/>
      <w:lvlText w:val=""/>
      <w:lvlJc w:val="left"/>
      <w:pPr>
        <w:tabs>
          <w:tab w:val="num" w:pos="4422"/>
        </w:tabs>
        <w:ind w:left="4422" w:hanging="360"/>
      </w:pPr>
      <w:rPr>
        <w:rFonts w:ascii="Wingdings" w:hAnsi="Wingdings" w:hint="default"/>
      </w:rPr>
    </w:lvl>
    <w:lvl w:ilvl="6" w:tplc="04190001" w:tentative="1">
      <w:start w:val="1"/>
      <w:numFmt w:val="bullet"/>
      <w:lvlText w:val=""/>
      <w:lvlJc w:val="left"/>
      <w:pPr>
        <w:tabs>
          <w:tab w:val="num" w:pos="5142"/>
        </w:tabs>
        <w:ind w:left="5142" w:hanging="360"/>
      </w:pPr>
      <w:rPr>
        <w:rFonts w:ascii="Symbol" w:hAnsi="Symbol" w:hint="default"/>
      </w:rPr>
    </w:lvl>
    <w:lvl w:ilvl="7" w:tplc="04190003" w:tentative="1">
      <w:start w:val="1"/>
      <w:numFmt w:val="bullet"/>
      <w:lvlText w:val="o"/>
      <w:lvlJc w:val="left"/>
      <w:pPr>
        <w:tabs>
          <w:tab w:val="num" w:pos="5862"/>
        </w:tabs>
        <w:ind w:left="5862" w:hanging="360"/>
      </w:pPr>
      <w:rPr>
        <w:rFonts w:ascii="Courier New" w:hAnsi="Courier New" w:hint="default"/>
      </w:rPr>
    </w:lvl>
    <w:lvl w:ilvl="8" w:tplc="04190005" w:tentative="1">
      <w:start w:val="1"/>
      <w:numFmt w:val="bullet"/>
      <w:lvlText w:val=""/>
      <w:lvlJc w:val="left"/>
      <w:pPr>
        <w:tabs>
          <w:tab w:val="num" w:pos="6582"/>
        </w:tabs>
        <w:ind w:left="6582" w:hanging="360"/>
      </w:pPr>
      <w:rPr>
        <w:rFonts w:ascii="Wingdings" w:hAnsi="Wingdings" w:hint="default"/>
      </w:rPr>
    </w:lvl>
  </w:abstractNum>
  <w:abstractNum w:abstractNumId="5">
    <w:nsid w:val="14BE0310"/>
    <w:multiLevelType w:val="hybridMultilevel"/>
    <w:tmpl w:val="60B200B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5B45407"/>
    <w:multiLevelType w:val="hybridMultilevel"/>
    <w:tmpl w:val="6E30A246"/>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7">
    <w:nsid w:val="192962B4"/>
    <w:multiLevelType w:val="hybridMultilevel"/>
    <w:tmpl w:val="ADE2244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C2E4770"/>
    <w:multiLevelType w:val="hybridMultilevel"/>
    <w:tmpl w:val="A2260022"/>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9">
    <w:nsid w:val="246A39CC"/>
    <w:multiLevelType w:val="hybridMultilevel"/>
    <w:tmpl w:val="F6A0EE60"/>
    <w:lvl w:ilvl="0" w:tplc="B9768E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530046"/>
    <w:multiLevelType w:val="hybridMultilevel"/>
    <w:tmpl w:val="4B2EB2E2"/>
    <w:lvl w:ilvl="0" w:tplc="0419000F">
      <w:start w:val="1"/>
      <w:numFmt w:val="decimal"/>
      <w:lvlText w:val="%1."/>
      <w:lvlJc w:val="left"/>
      <w:pPr>
        <w:ind w:left="1070" w:hanging="645"/>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1">
    <w:nsid w:val="2EB1040F"/>
    <w:multiLevelType w:val="hybridMultilevel"/>
    <w:tmpl w:val="B31A93A4"/>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12">
    <w:nsid w:val="34EC06F2"/>
    <w:multiLevelType w:val="hybridMultilevel"/>
    <w:tmpl w:val="548AC0B2"/>
    <w:lvl w:ilvl="0" w:tplc="B9768EC4">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nsid w:val="36B32845"/>
    <w:multiLevelType w:val="hybridMultilevel"/>
    <w:tmpl w:val="53322F26"/>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14">
    <w:nsid w:val="3A8A02DF"/>
    <w:multiLevelType w:val="multilevel"/>
    <w:tmpl w:val="1CE49E8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C1941F8"/>
    <w:multiLevelType w:val="hybridMultilevel"/>
    <w:tmpl w:val="1718715A"/>
    <w:lvl w:ilvl="0" w:tplc="B9768EC4">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3D006B12"/>
    <w:multiLevelType w:val="multilevel"/>
    <w:tmpl w:val="DFC63ACA"/>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A7700F5"/>
    <w:multiLevelType w:val="hybridMultilevel"/>
    <w:tmpl w:val="A9B87654"/>
    <w:lvl w:ilvl="0" w:tplc="B9768E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0CB3FA7"/>
    <w:multiLevelType w:val="multilevel"/>
    <w:tmpl w:val="CF7C5E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5E5703B6"/>
    <w:multiLevelType w:val="hybridMultilevel"/>
    <w:tmpl w:val="F52881B6"/>
    <w:lvl w:ilvl="0" w:tplc="25F44E10">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20">
    <w:nsid w:val="60C0679D"/>
    <w:multiLevelType w:val="hybridMultilevel"/>
    <w:tmpl w:val="71C40BF8"/>
    <w:lvl w:ilvl="0" w:tplc="9B988D18">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6212215E"/>
    <w:multiLevelType w:val="hybridMultilevel"/>
    <w:tmpl w:val="7D606F3C"/>
    <w:lvl w:ilvl="0" w:tplc="25F44E10">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638E04F1"/>
    <w:multiLevelType w:val="hybridMultilevel"/>
    <w:tmpl w:val="B7EC802A"/>
    <w:lvl w:ilvl="0" w:tplc="797865C6">
      <w:start w:val="1"/>
      <w:numFmt w:val="russianLow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732A65B9"/>
    <w:multiLevelType w:val="hybridMultilevel"/>
    <w:tmpl w:val="3926AFB0"/>
    <w:lvl w:ilvl="0" w:tplc="4BE01D9C">
      <w:start w:val="1"/>
      <w:numFmt w:val="decimal"/>
      <w:lvlText w:val="%1."/>
      <w:lvlJc w:val="left"/>
      <w:pPr>
        <w:ind w:left="1175" w:hanging="750"/>
      </w:pPr>
      <w:rPr>
        <w:rFonts w:cs="Times New Roman" w:hint="default"/>
        <w:color w:val="auto"/>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24">
    <w:nsid w:val="75731CE5"/>
    <w:multiLevelType w:val="hybridMultilevel"/>
    <w:tmpl w:val="7332C16C"/>
    <w:lvl w:ilvl="0" w:tplc="25F44E10">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25">
    <w:nsid w:val="76707CD9"/>
    <w:multiLevelType w:val="hybridMultilevel"/>
    <w:tmpl w:val="A3022EF4"/>
    <w:lvl w:ilvl="0" w:tplc="D1C88F30">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26">
    <w:nsid w:val="79C55B2B"/>
    <w:multiLevelType w:val="hybridMultilevel"/>
    <w:tmpl w:val="9CEC77F2"/>
    <w:lvl w:ilvl="0" w:tplc="B9768E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A2C39BF"/>
    <w:multiLevelType w:val="hybridMultilevel"/>
    <w:tmpl w:val="7A92A9A0"/>
    <w:lvl w:ilvl="0" w:tplc="0419000F">
      <w:start w:val="1"/>
      <w:numFmt w:val="decimal"/>
      <w:lvlText w:val="%1."/>
      <w:lvlJc w:val="left"/>
      <w:pPr>
        <w:tabs>
          <w:tab w:val="num" w:pos="785"/>
        </w:tabs>
        <w:ind w:left="785" w:hanging="360"/>
      </w:pPr>
      <w:rPr>
        <w:rFonts w:cs="Times New Roman" w:hint="default"/>
      </w:rPr>
    </w:lvl>
    <w:lvl w:ilvl="1" w:tplc="04190019">
      <w:start w:val="1"/>
      <w:numFmt w:val="lowerLetter"/>
      <w:lvlText w:val="%2."/>
      <w:lvlJc w:val="left"/>
      <w:pPr>
        <w:tabs>
          <w:tab w:val="num" w:pos="1505"/>
        </w:tabs>
        <w:ind w:left="1505" w:hanging="360"/>
      </w:pPr>
      <w:rPr>
        <w:rFonts w:cs="Times New Roman"/>
      </w:rPr>
    </w:lvl>
    <w:lvl w:ilvl="2" w:tplc="0419001B">
      <w:start w:val="1"/>
      <w:numFmt w:val="lowerRoman"/>
      <w:lvlText w:val="%3."/>
      <w:lvlJc w:val="right"/>
      <w:pPr>
        <w:tabs>
          <w:tab w:val="num" w:pos="2225"/>
        </w:tabs>
        <w:ind w:left="2225" w:hanging="180"/>
      </w:pPr>
      <w:rPr>
        <w:rFonts w:cs="Times New Roman"/>
      </w:rPr>
    </w:lvl>
    <w:lvl w:ilvl="3" w:tplc="0419000F">
      <w:start w:val="1"/>
      <w:numFmt w:val="decimal"/>
      <w:lvlText w:val="%4."/>
      <w:lvlJc w:val="left"/>
      <w:pPr>
        <w:tabs>
          <w:tab w:val="num" w:pos="2945"/>
        </w:tabs>
        <w:ind w:left="2945" w:hanging="360"/>
      </w:pPr>
      <w:rPr>
        <w:rFonts w:cs="Times New Roman"/>
      </w:rPr>
    </w:lvl>
    <w:lvl w:ilvl="4" w:tplc="04190019">
      <w:start w:val="1"/>
      <w:numFmt w:val="lowerLetter"/>
      <w:lvlText w:val="%5."/>
      <w:lvlJc w:val="left"/>
      <w:pPr>
        <w:tabs>
          <w:tab w:val="num" w:pos="3665"/>
        </w:tabs>
        <w:ind w:left="3665" w:hanging="360"/>
      </w:pPr>
      <w:rPr>
        <w:rFonts w:cs="Times New Roman"/>
      </w:rPr>
    </w:lvl>
    <w:lvl w:ilvl="5" w:tplc="0419001B">
      <w:start w:val="1"/>
      <w:numFmt w:val="lowerRoman"/>
      <w:lvlText w:val="%6."/>
      <w:lvlJc w:val="right"/>
      <w:pPr>
        <w:tabs>
          <w:tab w:val="num" w:pos="4385"/>
        </w:tabs>
        <w:ind w:left="4385" w:hanging="180"/>
      </w:pPr>
      <w:rPr>
        <w:rFonts w:cs="Times New Roman"/>
      </w:rPr>
    </w:lvl>
    <w:lvl w:ilvl="6" w:tplc="0419000F">
      <w:start w:val="1"/>
      <w:numFmt w:val="decimal"/>
      <w:lvlText w:val="%7."/>
      <w:lvlJc w:val="left"/>
      <w:pPr>
        <w:tabs>
          <w:tab w:val="num" w:pos="5105"/>
        </w:tabs>
        <w:ind w:left="5105" w:hanging="360"/>
      </w:pPr>
      <w:rPr>
        <w:rFonts w:cs="Times New Roman"/>
      </w:rPr>
    </w:lvl>
    <w:lvl w:ilvl="7" w:tplc="04190019">
      <w:start w:val="1"/>
      <w:numFmt w:val="lowerLetter"/>
      <w:lvlText w:val="%8."/>
      <w:lvlJc w:val="left"/>
      <w:pPr>
        <w:tabs>
          <w:tab w:val="num" w:pos="5825"/>
        </w:tabs>
        <w:ind w:left="5825" w:hanging="360"/>
      </w:pPr>
      <w:rPr>
        <w:rFonts w:cs="Times New Roman"/>
      </w:rPr>
    </w:lvl>
    <w:lvl w:ilvl="8" w:tplc="0419001B">
      <w:start w:val="1"/>
      <w:numFmt w:val="lowerRoman"/>
      <w:lvlText w:val="%9."/>
      <w:lvlJc w:val="right"/>
      <w:pPr>
        <w:tabs>
          <w:tab w:val="num" w:pos="6545"/>
        </w:tabs>
        <w:ind w:left="6545" w:hanging="180"/>
      </w:pPr>
      <w:rPr>
        <w:rFonts w:cs="Times New Roman"/>
      </w:rPr>
    </w:lvl>
  </w:abstractNum>
  <w:num w:numId="1">
    <w:abstractNumId w:val="18"/>
  </w:num>
  <w:num w:numId="2">
    <w:abstractNumId w:val="14"/>
  </w:num>
  <w:num w:numId="3">
    <w:abstractNumId w:val="16"/>
  </w:num>
  <w:num w:numId="4">
    <w:abstractNumId w:val="27"/>
  </w:num>
  <w:num w:numId="5">
    <w:abstractNumId w:val="21"/>
  </w:num>
  <w:num w:numId="6">
    <w:abstractNumId w:val="4"/>
  </w:num>
  <w:num w:numId="7">
    <w:abstractNumId w:val="6"/>
  </w:num>
  <w:num w:numId="8">
    <w:abstractNumId w:val="20"/>
  </w:num>
  <w:num w:numId="9">
    <w:abstractNumId w:val="24"/>
  </w:num>
  <w:num w:numId="10">
    <w:abstractNumId w:val="19"/>
  </w:num>
  <w:num w:numId="11">
    <w:abstractNumId w:val="7"/>
  </w:num>
  <w:num w:numId="12">
    <w:abstractNumId w:val="13"/>
  </w:num>
  <w:num w:numId="13">
    <w:abstractNumId w:val="3"/>
  </w:num>
  <w:num w:numId="14">
    <w:abstractNumId w:val="10"/>
  </w:num>
  <w:num w:numId="15">
    <w:abstractNumId w:val="23"/>
  </w:num>
  <w:num w:numId="16">
    <w:abstractNumId w:val="8"/>
  </w:num>
  <w:num w:numId="17">
    <w:abstractNumId w:val="11"/>
  </w:num>
  <w:num w:numId="18">
    <w:abstractNumId w:val="1"/>
  </w:num>
  <w:num w:numId="19">
    <w:abstractNumId w:val="0"/>
  </w:num>
  <w:num w:numId="20">
    <w:abstractNumId w:val="5"/>
  </w:num>
  <w:num w:numId="21">
    <w:abstractNumId w:val="12"/>
  </w:num>
  <w:num w:numId="22">
    <w:abstractNumId w:val="22"/>
  </w:num>
  <w:num w:numId="23">
    <w:abstractNumId w:val="17"/>
  </w:num>
  <w:num w:numId="24">
    <w:abstractNumId w:val="26"/>
  </w:num>
  <w:num w:numId="25">
    <w:abstractNumId w:val="9"/>
  </w:num>
  <w:num w:numId="26">
    <w:abstractNumId w:val="15"/>
  </w:num>
  <w:num w:numId="27">
    <w:abstractNumId w:val="25"/>
  </w:num>
  <w:num w:numId="28">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stylePaneFormatFilter w:val="3F01"/>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35F6"/>
    <w:rsid w:val="000002ED"/>
    <w:rsid w:val="00000DB1"/>
    <w:rsid w:val="000015AE"/>
    <w:rsid w:val="000015CB"/>
    <w:rsid w:val="000020E5"/>
    <w:rsid w:val="00002215"/>
    <w:rsid w:val="00002915"/>
    <w:rsid w:val="000033AC"/>
    <w:rsid w:val="00003E6F"/>
    <w:rsid w:val="00004D45"/>
    <w:rsid w:val="0000565B"/>
    <w:rsid w:val="0000631E"/>
    <w:rsid w:val="000067BF"/>
    <w:rsid w:val="00006BDA"/>
    <w:rsid w:val="000077FF"/>
    <w:rsid w:val="0001009B"/>
    <w:rsid w:val="0001069B"/>
    <w:rsid w:val="00010AC0"/>
    <w:rsid w:val="00011401"/>
    <w:rsid w:val="000117F0"/>
    <w:rsid w:val="000126FB"/>
    <w:rsid w:val="00012E69"/>
    <w:rsid w:val="0001321F"/>
    <w:rsid w:val="00013937"/>
    <w:rsid w:val="000139F8"/>
    <w:rsid w:val="00013EFF"/>
    <w:rsid w:val="00013FFE"/>
    <w:rsid w:val="00014336"/>
    <w:rsid w:val="00014992"/>
    <w:rsid w:val="00015243"/>
    <w:rsid w:val="00015D87"/>
    <w:rsid w:val="00015FA8"/>
    <w:rsid w:val="00016082"/>
    <w:rsid w:val="000163D5"/>
    <w:rsid w:val="00016893"/>
    <w:rsid w:val="00017214"/>
    <w:rsid w:val="00017227"/>
    <w:rsid w:val="00017914"/>
    <w:rsid w:val="00017925"/>
    <w:rsid w:val="00020ACA"/>
    <w:rsid w:val="0002193A"/>
    <w:rsid w:val="0002224A"/>
    <w:rsid w:val="000229D5"/>
    <w:rsid w:val="0002422F"/>
    <w:rsid w:val="00025361"/>
    <w:rsid w:val="00025851"/>
    <w:rsid w:val="00025BF5"/>
    <w:rsid w:val="00026088"/>
    <w:rsid w:val="0002621D"/>
    <w:rsid w:val="00026A35"/>
    <w:rsid w:val="00026A3C"/>
    <w:rsid w:val="000273C9"/>
    <w:rsid w:val="00032167"/>
    <w:rsid w:val="00032409"/>
    <w:rsid w:val="00032F5D"/>
    <w:rsid w:val="0003335B"/>
    <w:rsid w:val="00033AD1"/>
    <w:rsid w:val="000348DA"/>
    <w:rsid w:val="000356DB"/>
    <w:rsid w:val="00035DD5"/>
    <w:rsid w:val="0003627D"/>
    <w:rsid w:val="0003760F"/>
    <w:rsid w:val="00037FF0"/>
    <w:rsid w:val="00040079"/>
    <w:rsid w:val="000408C9"/>
    <w:rsid w:val="00040A61"/>
    <w:rsid w:val="000415AF"/>
    <w:rsid w:val="000418BC"/>
    <w:rsid w:val="00041EBB"/>
    <w:rsid w:val="00042448"/>
    <w:rsid w:val="00042B48"/>
    <w:rsid w:val="0004302C"/>
    <w:rsid w:val="000430F3"/>
    <w:rsid w:val="00043AB9"/>
    <w:rsid w:val="00044F4D"/>
    <w:rsid w:val="00045214"/>
    <w:rsid w:val="0004566B"/>
    <w:rsid w:val="00046AC9"/>
    <w:rsid w:val="000479D0"/>
    <w:rsid w:val="00047D8A"/>
    <w:rsid w:val="000502F7"/>
    <w:rsid w:val="000503C3"/>
    <w:rsid w:val="00050970"/>
    <w:rsid w:val="00051740"/>
    <w:rsid w:val="00051B4B"/>
    <w:rsid w:val="000523A9"/>
    <w:rsid w:val="00052792"/>
    <w:rsid w:val="000528B9"/>
    <w:rsid w:val="00052EE8"/>
    <w:rsid w:val="0005320B"/>
    <w:rsid w:val="00053828"/>
    <w:rsid w:val="00054970"/>
    <w:rsid w:val="00054BDB"/>
    <w:rsid w:val="00055344"/>
    <w:rsid w:val="00055B55"/>
    <w:rsid w:val="00057C31"/>
    <w:rsid w:val="00057C64"/>
    <w:rsid w:val="00060515"/>
    <w:rsid w:val="000609BF"/>
    <w:rsid w:val="00060AAA"/>
    <w:rsid w:val="0006149B"/>
    <w:rsid w:val="00061A8E"/>
    <w:rsid w:val="000624CC"/>
    <w:rsid w:val="00063754"/>
    <w:rsid w:val="00063F8D"/>
    <w:rsid w:val="00064509"/>
    <w:rsid w:val="000659A9"/>
    <w:rsid w:val="00066B6D"/>
    <w:rsid w:val="00066CE5"/>
    <w:rsid w:val="00067D98"/>
    <w:rsid w:val="00070687"/>
    <w:rsid w:val="0007082E"/>
    <w:rsid w:val="00070A95"/>
    <w:rsid w:val="0007119A"/>
    <w:rsid w:val="00072422"/>
    <w:rsid w:val="000725C3"/>
    <w:rsid w:val="0007283D"/>
    <w:rsid w:val="0007294D"/>
    <w:rsid w:val="000739FA"/>
    <w:rsid w:val="00073FD6"/>
    <w:rsid w:val="00074A1C"/>
    <w:rsid w:val="00074E9F"/>
    <w:rsid w:val="00076A4C"/>
    <w:rsid w:val="00076E19"/>
    <w:rsid w:val="0007709F"/>
    <w:rsid w:val="00077177"/>
    <w:rsid w:val="00077642"/>
    <w:rsid w:val="000776A1"/>
    <w:rsid w:val="00077ACE"/>
    <w:rsid w:val="00077C78"/>
    <w:rsid w:val="00077EAA"/>
    <w:rsid w:val="000803C1"/>
    <w:rsid w:val="000805B7"/>
    <w:rsid w:val="00080BA6"/>
    <w:rsid w:val="00080C67"/>
    <w:rsid w:val="00082FDE"/>
    <w:rsid w:val="00083696"/>
    <w:rsid w:val="00083EAB"/>
    <w:rsid w:val="00087DAF"/>
    <w:rsid w:val="000902D5"/>
    <w:rsid w:val="000902DC"/>
    <w:rsid w:val="00090763"/>
    <w:rsid w:val="000909A0"/>
    <w:rsid w:val="00090E5D"/>
    <w:rsid w:val="00091112"/>
    <w:rsid w:val="000919D3"/>
    <w:rsid w:val="00091B2F"/>
    <w:rsid w:val="00091D9C"/>
    <w:rsid w:val="0009207A"/>
    <w:rsid w:val="000926F9"/>
    <w:rsid w:val="00092948"/>
    <w:rsid w:val="0009387E"/>
    <w:rsid w:val="00093B88"/>
    <w:rsid w:val="0009481C"/>
    <w:rsid w:val="000949B6"/>
    <w:rsid w:val="00094A2A"/>
    <w:rsid w:val="00094B59"/>
    <w:rsid w:val="00095BA5"/>
    <w:rsid w:val="00095ECA"/>
    <w:rsid w:val="00097B32"/>
    <w:rsid w:val="000A07F8"/>
    <w:rsid w:val="000A21C8"/>
    <w:rsid w:val="000A21FF"/>
    <w:rsid w:val="000A243D"/>
    <w:rsid w:val="000A266C"/>
    <w:rsid w:val="000A27DA"/>
    <w:rsid w:val="000A32F7"/>
    <w:rsid w:val="000A4E36"/>
    <w:rsid w:val="000A5871"/>
    <w:rsid w:val="000A58F3"/>
    <w:rsid w:val="000A5B19"/>
    <w:rsid w:val="000A75D0"/>
    <w:rsid w:val="000A79FE"/>
    <w:rsid w:val="000A7F1D"/>
    <w:rsid w:val="000B0656"/>
    <w:rsid w:val="000B097A"/>
    <w:rsid w:val="000B1CA5"/>
    <w:rsid w:val="000B2356"/>
    <w:rsid w:val="000B35F6"/>
    <w:rsid w:val="000B3BC6"/>
    <w:rsid w:val="000B3CB8"/>
    <w:rsid w:val="000B4BB6"/>
    <w:rsid w:val="000B51EE"/>
    <w:rsid w:val="000B58B8"/>
    <w:rsid w:val="000B5C32"/>
    <w:rsid w:val="000B5F0E"/>
    <w:rsid w:val="000B6489"/>
    <w:rsid w:val="000B7634"/>
    <w:rsid w:val="000B7D82"/>
    <w:rsid w:val="000C04DE"/>
    <w:rsid w:val="000C060C"/>
    <w:rsid w:val="000C0C16"/>
    <w:rsid w:val="000C0CA5"/>
    <w:rsid w:val="000C2726"/>
    <w:rsid w:val="000C3033"/>
    <w:rsid w:val="000C398F"/>
    <w:rsid w:val="000C47E4"/>
    <w:rsid w:val="000C48B3"/>
    <w:rsid w:val="000C4E3C"/>
    <w:rsid w:val="000C598D"/>
    <w:rsid w:val="000C5BAA"/>
    <w:rsid w:val="000C719B"/>
    <w:rsid w:val="000D002A"/>
    <w:rsid w:val="000D0822"/>
    <w:rsid w:val="000D082A"/>
    <w:rsid w:val="000D0A9F"/>
    <w:rsid w:val="000D1CE0"/>
    <w:rsid w:val="000D2ECA"/>
    <w:rsid w:val="000D3750"/>
    <w:rsid w:val="000D3B39"/>
    <w:rsid w:val="000D3F86"/>
    <w:rsid w:val="000D4647"/>
    <w:rsid w:val="000D46C6"/>
    <w:rsid w:val="000D529E"/>
    <w:rsid w:val="000D71F9"/>
    <w:rsid w:val="000E04ED"/>
    <w:rsid w:val="000E0777"/>
    <w:rsid w:val="000E0BF1"/>
    <w:rsid w:val="000E1B7E"/>
    <w:rsid w:val="000E2D35"/>
    <w:rsid w:val="000E2E33"/>
    <w:rsid w:val="000E3014"/>
    <w:rsid w:val="000E32BD"/>
    <w:rsid w:val="000E40D8"/>
    <w:rsid w:val="000E443F"/>
    <w:rsid w:val="000E4E94"/>
    <w:rsid w:val="000E51ED"/>
    <w:rsid w:val="000E68A0"/>
    <w:rsid w:val="000E68CF"/>
    <w:rsid w:val="000E753C"/>
    <w:rsid w:val="000E789B"/>
    <w:rsid w:val="000E7984"/>
    <w:rsid w:val="000E7A5A"/>
    <w:rsid w:val="000F01E9"/>
    <w:rsid w:val="000F03C4"/>
    <w:rsid w:val="000F0D53"/>
    <w:rsid w:val="000F0E4A"/>
    <w:rsid w:val="000F1699"/>
    <w:rsid w:val="000F185A"/>
    <w:rsid w:val="000F1DCE"/>
    <w:rsid w:val="000F2094"/>
    <w:rsid w:val="000F27C3"/>
    <w:rsid w:val="000F3414"/>
    <w:rsid w:val="000F3A4F"/>
    <w:rsid w:val="000F3E51"/>
    <w:rsid w:val="000F4EE2"/>
    <w:rsid w:val="000F5A7A"/>
    <w:rsid w:val="000F5BC7"/>
    <w:rsid w:val="000F610A"/>
    <w:rsid w:val="000F6B24"/>
    <w:rsid w:val="000F6BE3"/>
    <w:rsid w:val="000F6E55"/>
    <w:rsid w:val="000F740A"/>
    <w:rsid w:val="000F796D"/>
    <w:rsid w:val="000F79A6"/>
    <w:rsid w:val="00100197"/>
    <w:rsid w:val="00100C32"/>
    <w:rsid w:val="00100DE5"/>
    <w:rsid w:val="001014D8"/>
    <w:rsid w:val="001014EF"/>
    <w:rsid w:val="0010178E"/>
    <w:rsid w:val="00103393"/>
    <w:rsid w:val="00103D1B"/>
    <w:rsid w:val="00104E8F"/>
    <w:rsid w:val="0010549D"/>
    <w:rsid w:val="00105626"/>
    <w:rsid w:val="00105BDB"/>
    <w:rsid w:val="00105F07"/>
    <w:rsid w:val="00106095"/>
    <w:rsid w:val="001060F0"/>
    <w:rsid w:val="0010630D"/>
    <w:rsid w:val="001067DC"/>
    <w:rsid w:val="00106F4D"/>
    <w:rsid w:val="00106FA9"/>
    <w:rsid w:val="00111017"/>
    <w:rsid w:val="00111754"/>
    <w:rsid w:val="00111B2A"/>
    <w:rsid w:val="00112B66"/>
    <w:rsid w:val="00112B81"/>
    <w:rsid w:val="00112D15"/>
    <w:rsid w:val="001136F8"/>
    <w:rsid w:val="001139ED"/>
    <w:rsid w:val="001147F0"/>
    <w:rsid w:val="00115BB5"/>
    <w:rsid w:val="001163E6"/>
    <w:rsid w:val="001168C2"/>
    <w:rsid w:val="001176F9"/>
    <w:rsid w:val="00117B47"/>
    <w:rsid w:val="00117F05"/>
    <w:rsid w:val="001202C2"/>
    <w:rsid w:val="0012039D"/>
    <w:rsid w:val="00120B2F"/>
    <w:rsid w:val="00121362"/>
    <w:rsid w:val="001215F9"/>
    <w:rsid w:val="001220BE"/>
    <w:rsid w:val="00122119"/>
    <w:rsid w:val="001226F3"/>
    <w:rsid w:val="00122861"/>
    <w:rsid w:val="00123CE2"/>
    <w:rsid w:val="00124824"/>
    <w:rsid w:val="00125665"/>
    <w:rsid w:val="00126ECC"/>
    <w:rsid w:val="001270E4"/>
    <w:rsid w:val="0012730B"/>
    <w:rsid w:val="00127846"/>
    <w:rsid w:val="00127EE8"/>
    <w:rsid w:val="00130425"/>
    <w:rsid w:val="001304A6"/>
    <w:rsid w:val="001306DE"/>
    <w:rsid w:val="00130993"/>
    <w:rsid w:val="00130E05"/>
    <w:rsid w:val="001311A6"/>
    <w:rsid w:val="001318A7"/>
    <w:rsid w:val="00131B43"/>
    <w:rsid w:val="00131D2B"/>
    <w:rsid w:val="0013273F"/>
    <w:rsid w:val="00132D8C"/>
    <w:rsid w:val="00133679"/>
    <w:rsid w:val="00134253"/>
    <w:rsid w:val="001347EF"/>
    <w:rsid w:val="00134EEF"/>
    <w:rsid w:val="0013653B"/>
    <w:rsid w:val="00136BA9"/>
    <w:rsid w:val="00136C68"/>
    <w:rsid w:val="00136DDC"/>
    <w:rsid w:val="00136F7C"/>
    <w:rsid w:val="001370F7"/>
    <w:rsid w:val="0013757E"/>
    <w:rsid w:val="00137C66"/>
    <w:rsid w:val="00140831"/>
    <w:rsid w:val="00140911"/>
    <w:rsid w:val="00141375"/>
    <w:rsid w:val="00141B50"/>
    <w:rsid w:val="00141C21"/>
    <w:rsid w:val="00142364"/>
    <w:rsid w:val="001423F2"/>
    <w:rsid w:val="0014251C"/>
    <w:rsid w:val="00142F2B"/>
    <w:rsid w:val="00142F96"/>
    <w:rsid w:val="001439FC"/>
    <w:rsid w:val="00143A66"/>
    <w:rsid w:val="00143B49"/>
    <w:rsid w:val="00143B97"/>
    <w:rsid w:val="00143BFF"/>
    <w:rsid w:val="00143CEA"/>
    <w:rsid w:val="00143DB1"/>
    <w:rsid w:val="00145062"/>
    <w:rsid w:val="0014549B"/>
    <w:rsid w:val="0014562E"/>
    <w:rsid w:val="001457A5"/>
    <w:rsid w:val="001463E4"/>
    <w:rsid w:val="00146E29"/>
    <w:rsid w:val="00146E97"/>
    <w:rsid w:val="001470C7"/>
    <w:rsid w:val="001471AD"/>
    <w:rsid w:val="00147F55"/>
    <w:rsid w:val="00150009"/>
    <w:rsid w:val="001504E3"/>
    <w:rsid w:val="00151016"/>
    <w:rsid w:val="0015176E"/>
    <w:rsid w:val="00151E78"/>
    <w:rsid w:val="00152247"/>
    <w:rsid w:val="0015270B"/>
    <w:rsid w:val="00152B81"/>
    <w:rsid w:val="001549A1"/>
    <w:rsid w:val="00154C69"/>
    <w:rsid w:val="00154D13"/>
    <w:rsid w:val="001553E5"/>
    <w:rsid w:val="00155A8E"/>
    <w:rsid w:val="00155C08"/>
    <w:rsid w:val="00156343"/>
    <w:rsid w:val="001569CC"/>
    <w:rsid w:val="001570CD"/>
    <w:rsid w:val="00157736"/>
    <w:rsid w:val="00160336"/>
    <w:rsid w:val="001607D3"/>
    <w:rsid w:val="00160A97"/>
    <w:rsid w:val="0016183F"/>
    <w:rsid w:val="00161D65"/>
    <w:rsid w:val="00162BE8"/>
    <w:rsid w:val="00162C75"/>
    <w:rsid w:val="00162EFA"/>
    <w:rsid w:val="00163DE0"/>
    <w:rsid w:val="0016444E"/>
    <w:rsid w:val="0016469C"/>
    <w:rsid w:val="00165670"/>
    <w:rsid w:val="00165AB5"/>
    <w:rsid w:val="00166727"/>
    <w:rsid w:val="00167205"/>
    <w:rsid w:val="00167A7F"/>
    <w:rsid w:val="00167AD1"/>
    <w:rsid w:val="00170687"/>
    <w:rsid w:val="00171438"/>
    <w:rsid w:val="00171C51"/>
    <w:rsid w:val="0017246A"/>
    <w:rsid w:val="00172879"/>
    <w:rsid w:val="00172985"/>
    <w:rsid w:val="00174419"/>
    <w:rsid w:val="00174FA4"/>
    <w:rsid w:val="00175516"/>
    <w:rsid w:val="00175738"/>
    <w:rsid w:val="00175E8B"/>
    <w:rsid w:val="00176315"/>
    <w:rsid w:val="0017660F"/>
    <w:rsid w:val="001769EA"/>
    <w:rsid w:val="00177257"/>
    <w:rsid w:val="001772AD"/>
    <w:rsid w:val="00177642"/>
    <w:rsid w:val="00177656"/>
    <w:rsid w:val="0017771B"/>
    <w:rsid w:val="00177861"/>
    <w:rsid w:val="00180723"/>
    <w:rsid w:val="00181171"/>
    <w:rsid w:val="001819C2"/>
    <w:rsid w:val="00181ADE"/>
    <w:rsid w:val="00183902"/>
    <w:rsid w:val="00184750"/>
    <w:rsid w:val="001848F3"/>
    <w:rsid w:val="00184B95"/>
    <w:rsid w:val="00184D46"/>
    <w:rsid w:val="00184F72"/>
    <w:rsid w:val="00185302"/>
    <w:rsid w:val="00185637"/>
    <w:rsid w:val="001869A1"/>
    <w:rsid w:val="001869C9"/>
    <w:rsid w:val="001878AA"/>
    <w:rsid w:val="00187979"/>
    <w:rsid w:val="00187B85"/>
    <w:rsid w:val="00187E37"/>
    <w:rsid w:val="00190034"/>
    <w:rsid w:val="001905A7"/>
    <w:rsid w:val="001915E3"/>
    <w:rsid w:val="00192F1D"/>
    <w:rsid w:val="0019302D"/>
    <w:rsid w:val="0019306D"/>
    <w:rsid w:val="0019335E"/>
    <w:rsid w:val="00193ADB"/>
    <w:rsid w:val="00194629"/>
    <w:rsid w:val="00194E83"/>
    <w:rsid w:val="001969DC"/>
    <w:rsid w:val="00196F53"/>
    <w:rsid w:val="00197ABA"/>
    <w:rsid w:val="001A0019"/>
    <w:rsid w:val="001A012F"/>
    <w:rsid w:val="001A0CF5"/>
    <w:rsid w:val="001A139D"/>
    <w:rsid w:val="001A1A33"/>
    <w:rsid w:val="001A3FD4"/>
    <w:rsid w:val="001A5383"/>
    <w:rsid w:val="001A5BF3"/>
    <w:rsid w:val="001A5C0D"/>
    <w:rsid w:val="001A5D6A"/>
    <w:rsid w:val="001A5E90"/>
    <w:rsid w:val="001A6265"/>
    <w:rsid w:val="001A7CC0"/>
    <w:rsid w:val="001A7F3C"/>
    <w:rsid w:val="001B00A8"/>
    <w:rsid w:val="001B21A0"/>
    <w:rsid w:val="001B2450"/>
    <w:rsid w:val="001B253B"/>
    <w:rsid w:val="001B2605"/>
    <w:rsid w:val="001B2D2D"/>
    <w:rsid w:val="001B2D53"/>
    <w:rsid w:val="001B3F4A"/>
    <w:rsid w:val="001B54E9"/>
    <w:rsid w:val="001B6395"/>
    <w:rsid w:val="001B6ED2"/>
    <w:rsid w:val="001B720A"/>
    <w:rsid w:val="001B7326"/>
    <w:rsid w:val="001B761F"/>
    <w:rsid w:val="001B771B"/>
    <w:rsid w:val="001B7B2B"/>
    <w:rsid w:val="001B7DD6"/>
    <w:rsid w:val="001C08E4"/>
    <w:rsid w:val="001C11A8"/>
    <w:rsid w:val="001C1D99"/>
    <w:rsid w:val="001C2941"/>
    <w:rsid w:val="001C3049"/>
    <w:rsid w:val="001C3370"/>
    <w:rsid w:val="001C3A3B"/>
    <w:rsid w:val="001C433D"/>
    <w:rsid w:val="001C4E9C"/>
    <w:rsid w:val="001C5716"/>
    <w:rsid w:val="001C5765"/>
    <w:rsid w:val="001C657D"/>
    <w:rsid w:val="001C65D9"/>
    <w:rsid w:val="001C66C2"/>
    <w:rsid w:val="001C6966"/>
    <w:rsid w:val="001D1174"/>
    <w:rsid w:val="001D1F94"/>
    <w:rsid w:val="001D2948"/>
    <w:rsid w:val="001D2B39"/>
    <w:rsid w:val="001D31B8"/>
    <w:rsid w:val="001D3D1D"/>
    <w:rsid w:val="001D5A09"/>
    <w:rsid w:val="001D6311"/>
    <w:rsid w:val="001D6B48"/>
    <w:rsid w:val="001D77EC"/>
    <w:rsid w:val="001E0BE6"/>
    <w:rsid w:val="001E0C36"/>
    <w:rsid w:val="001E1CB9"/>
    <w:rsid w:val="001E1E0E"/>
    <w:rsid w:val="001E2049"/>
    <w:rsid w:val="001E251F"/>
    <w:rsid w:val="001E2CEF"/>
    <w:rsid w:val="001E3095"/>
    <w:rsid w:val="001E3B93"/>
    <w:rsid w:val="001E509D"/>
    <w:rsid w:val="001E5228"/>
    <w:rsid w:val="001E61A8"/>
    <w:rsid w:val="001E70C3"/>
    <w:rsid w:val="001E7118"/>
    <w:rsid w:val="001F0915"/>
    <w:rsid w:val="001F17A4"/>
    <w:rsid w:val="001F1F27"/>
    <w:rsid w:val="001F1F5A"/>
    <w:rsid w:val="001F2788"/>
    <w:rsid w:val="001F3121"/>
    <w:rsid w:val="001F3BA6"/>
    <w:rsid w:val="001F3E4E"/>
    <w:rsid w:val="001F4036"/>
    <w:rsid w:val="001F4621"/>
    <w:rsid w:val="001F482B"/>
    <w:rsid w:val="001F4F71"/>
    <w:rsid w:val="001F5012"/>
    <w:rsid w:val="001F5154"/>
    <w:rsid w:val="001F6270"/>
    <w:rsid w:val="001F65BC"/>
    <w:rsid w:val="001F72DC"/>
    <w:rsid w:val="001F763E"/>
    <w:rsid w:val="00200417"/>
    <w:rsid w:val="00201980"/>
    <w:rsid w:val="00201C65"/>
    <w:rsid w:val="00202F8E"/>
    <w:rsid w:val="00203736"/>
    <w:rsid w:val="002037BB"/>
    <w:rsid w:val="00204444"/>
    <w:rsid w:val="00205DD4"/>
    <w:rsid w:val="00205FC0"/>
    <w:rsid w:val="00206188"/>
    <w:rsid w:val="002064AC"/>
    <w:rsid w:val="002066E6"/>
    <w:rsid w:val="00206A0F"/>
    <w:rsid w:val="00206FEF"/>
    <w:rsid w:val="00207BA1"/>
    <w:rsid w:val="00207D56"/>
    <w:rsid w:val="00210FFA"/>
    <w:rsid w:val="00211937"/>
    <w:rsid w:val="00212312"/>
    <w:rsid w:val="00212A24"/>
    <w:rsid w:val="00212C9A"/>
    <w:rsid w:val="002140A7"/>
    <w:rsid w:val="002163A1"/>
    <w:rsid w:val="00216EC0"/>
    <w:rsid w:val="00221B3C"/>
    <w:rsid w:val="00221EC7"/>
    <w:rsid w:val="00222DC8"/>
    <w:rsid w:val="002235A9"/>
    <w:rsid w:val="00223CDA"/>
    <w:rsid w:val="00224264"/>
    <w:rsid w:val="00224747"/>
    <w:rsid w:val="00224D62"/>
    <w:rsid w:val="002258BB"/>
    <w:rsid w:val="00225C90"/>
    <w:rsid w:val="0022630F"/>
    <w:rsid w:val="002268AF"/>
    <w:rsid w:val="00226B50"/>
    <w:rsid w:val="00226D6F"/>
    <w:rsid w:val="002273ED"/>
    <w:rsid w:val="00227E29"/>
    <w:rsid w:val="0023032A"/>
    <w:rsid w:val="0023039B"/>
    <w:rsid w:val="0023070B"/>
    <w:rsid w:val="00231007"/>
    <w:rsid w:val="00231AB4"/>
    <w:rsid w:val="00231B18"/>
    <w:rsid w:val="00231F94"/>
    <w:rsid w:val="00232784"/>
    <w:rsid w:val="00233929"/>
    <w:rsid w:val="00233B75"/>
    <w:rsid w:val="002340E3"/>
    <w:rsid w:val="00235099"/>
    <w:rsid w:val="00235CA5"/>
    <w:rsid w:val="00237BE2"/>
    <w:rsid w:val="00240144"/>
    <w:rsid w:val="00240168"/>
    <w:rsid w:val="00240622"/>
    <w:rsid w:val="00241206"/>
    <w:rsid w:val="002419CC"/>
    <w:rsid w:val="00242C5A"/>
    <w:rsid w:val="00243025"/>
    <w:rsid w:val="00243034"/>
    <w:rsid w:val="00243CB6"/>
    <w:rsid w:val="00243D6A"/>
    <w:rsid w:val="00245410"/>
    <w:rsid w:val="00245924"/>
    <w:rsid w:val="00245CA2"/>
    <w:rsid w:val="0024627E"/>
    <w:rsid w:val="00246D6D"/>
    <w:rsid w:val="00246DBD"/>
    <w:rsid w:val="002509E4"/>
    <w:rsid w:val="00250F02"/>
    <w:rsid w:val="002513ED"/>
    <w:rsid w:val="0025141B"/>
    <w:rsid w:val="00251B52"/>
    <w:rsid w:val="00251CBE"/>
    <w:rsid w:val="00251F1E"/>
    <w:rsid w:val="00251FD0"/>
    <w:rsid w:val="00252596"/>
    <w:rsid w:val="00253523"/>
    <w:rsid w:val="00253C0D"/>
    <w:rsid w:val="002546DC"/>
    <w:rsid w:val="00254D16"/>
    <w:rsid w:val="0025659C"/>
    <w:rsid w:val="00256C22"/>
    <w:rsid w:val="00257396"/>
    <w:rsid w:val="00257419"/>
    <w:rsid w:val="002578BD"/>
    <w:rsid w:val="00257C32"/>
    <w:rsid w:val="00261503"/>
    <w:rsid w:val="00261F70"/>
    <w:rsid w:val="00262514"/>
    <w:rsid w:val="002633FB"/>
    <w:rsid w:val="00263968"/>
    <w:rsid w:val="00263AC3"/>
    <w:rsid w:val="00263B5D"/>
    <w:rsid w:val="00263C29"/>
    <w:rsid w:val="002664C3"/>
    <w:rsid w:val="0026661D"/>
    <w:rsid w:val="0026686C"/>
    <w:rsid w:val="00266AFA"/>
    <w:rsid w:val="00267FF8"/>
    <w:rsid w:val="0027045B"/>
    <w:rsid w:val="0027053B"/>
    <w:rsid w:val="00270544"/>
    <w:rsid w:val="0027181C"/>
    <w:rsid w:val="00271BCB"/>
    <w:rsid w:val="00271BF9"/>
    <w:rsid w:val="00271C5C"/>
    <w:rsid w:val="002722FD"/>
    <w:rsid w:val="00273131"/>
    <w:rsid w:val="00274841"/>
    <w:rsid w:val="00274B8E"/>
    <w:rsid w:val="00275B45"/>
    <w:rsid w:val="00275F6C"/>
    <w:rsid w:val="00276881"/>
    <w:rsid w:val="00276899"/>
    <w:rsid w:val="00276E5C"/>
    <w:rsid w:val="0027767C"/>
    <w:rsid w:val="002800D2"/>
    <w:rsid w:val="00280B9F"/>
    <w:rsid w:val="002827DF"/>
    <w:rsid w:val="00282E57"/>
    <w:rsid w:val="00282ED3"/>
    <w:rsid w:val="002839C2"/>
    <w:rsid w:val="00284603"/>
    <w:rsid w:val="00284E2E"/>
    <w:rsid w:val="0028509D"/>
    <w:rsid w:val="00285194"/>
    <w:rsid w:val="0028555C"/>
    <w:rsid w:val="00285745"/>
    <w:rsid w:val="00286760"/>
    <w:rsid w:val="002869EF"/>
    <w:rsid w:val="00286A4B"/>
    <w:rsid w:val="00286C93"/>
    <w:rsid w:val="00287610"/>
    <w:rsid w:val="00287830"/>
    <w:rsid w:val="002879A6"/>
    <w:rsid w:val="00287E3A"/>
    <w:rsid w:val="00287E5F"/>
    <w:rsid w:val="00287FCE"/>
    <w:rsid w:val="0029032D"/>
    <w:rsid w:val="002904D3"/>
    <w:rsid w:val="002909A1"/>
    <w:rsid w:val="00290A13"/>
    <w:rsid w:val="00291451"/>
    <w:rsid w:val="0029187C"/>
    <w:rsid w:val="00291A75"/>
    <w:rsid w:val="002922B1"/>
    <w:rsid w:val="002930A4"/>
    <w:rsid w:val="0029387B"/>
    <w:rsid w:val="00293E31"/>
    <w:rsid w:val="002943E9"/>
    <w:rsid w:val="00294A15"/>
    <w:rsid w:val="0029599D"/>
    <w:rsid w:val="00295F26"/>
    <w:rsid w:val="002A0682"/>
    <w:rsid w:val="002A0AA5"/>
    <w:rsid w:val="002A0AB4"/>
    <w:rsid w:val="002A0B48"/>
    <w:rsid w:val="002A15DD"/>
    <w:rsid w:val="002A27AC"/>
    <w:rsid w:val="002A2DC6"/>
    <w:rsid w:val="002A4A1C"/>
    <w:rsid w:val="002A5049"/>
    <w:rsid w:val="002A69AD"/>
    <w:rsid w:val="002A6A47"/>
    <w:rsid w:val="002A6D90"/>
    <w:rsid w:val="002A6E68"/>
    <w:rsid w:val="002A711A"/>
    <w:rsid w:val="002A76C0"/>
    <w:rsid w:val="002A78E9"/>
    <w:rsid w:val="002B0AF3"/>
    <w:rsid w:val="002B0D28"/>
    <w:rsid w:val="002B1832"/>
    <w:rsid w:val="002B1D1D"/>
    <w:rsid w:val="002B2447"/>
    <w:rsid w:val="002B2C09"/>
    <w:rsid w:val="002B309E"/>
    <w:rsid w:val="002B4449"/>
    <w:rsid w:val="002B5035"/>
    <w:rsid w:val="002B56FC"/>
    <w:rsid w:val="002B59FE"/>
    <w:rsid w:val="002B5EA8"/>
    <w:rsid w:val="002B637B"/>
    <w:rsid w:val="002B663C"/>
    <w:rsid w:val="002B6AC5"/>
    <w:rsid w:val="002B6E1D"/>
    <w:rsid w:val="002B77F2"/>
    <w:rsid w:val="002B7871"/>
    <w:rsid w:val="002B7C0C"/>
    <w:rsid w:val="002B7E17"/>
    <w:rsid w:val="002C026D"/>
    <w:rsid w:val="002C0986"/>
    <w:rsid w:val="002C0A81"/>
    <w:rsid w:val="002C13D6"/>
    <w:rsid w:val="002C2178"/>
    <w:rsid w:val="002C2312"/>
    <w:rsid w:val="002C2BF4"/>
    <w:rsid w:val="002C3305"/>
    <w:rsid w:val="002C3A39"/>
    <w:rsid w:val="002C45B0"/>
    <w:rsid w:val="002C54D9"/>
    <w:rsid w:val="002C5747"/>
    <w:rsid w:val="002C5C79"/>
    <w:rsid w:val="002C5D01"/>
    <w:rsid w:val="002C6A89"/>
    <w:rsid w:val="002C71A8"/>
    <w:rsid w:val="002C7262"/>
    <w:rsid w:val="002C79D2"/>
    <w:rsid w:val="002D036A"/>
    <w:rsid w:val="002D079C"/>
    <w:rsid w:val="002D08B1"/>
    <w:rsid w:val="002D20B4"/>
    <w:rsid w:val="002D20EB"/>
    <w:rsid w:val="002D22EF"/>
    <w:rsid w:val="002D2566"/>
    <w:rsid w:val="002D3C88"/>
    <w:rsid w:val="002D3D8D"/>
    <w:rsid w:val="002D4170"/>
    <w:rsid w:val="002D4BC2"/>
    <w:rsid w:val="002D4CD4"/>
    <w:rsid w:val="002D5524"/>
    <w:rsid w:val="002D564B"/>
    <w:rsid w:val="002D649C"/>
    <w:rsid w:val="002D700E"/>
    <w:rsid w:val="002D7297"/>
    <w:rsid w:val="002D72C1"/>
    <w:rsid w:val="002D77DE"/>
    <w:rsid w:val="002D7D23"/>
    <w:rsid w:val="002D7D5E"/>
    <w:rsid w:val="002E018A"/>
    <w:rsid w:val="002E0981"/>
    <w:rsid w:val="002E0C65"/>
    <w:rsid w:val="002E0F34"/>
    <w:rsid w:val="002E1FAA"/>
    <w:rsid w:val="002E20AC"/>
    <w:rsid w:val="002E30DB"/>
    <w:rsid w:val="002E39AC"/>
    <w:rsid w:val="002E40C8"/>
    <w:rsid w:val="002E5AE0"/>
    <w:rsid w:val="002E5F3A"/>
    <w:rsid w:val="002E692E"/>
    <w:rsid w:val="002E6AB9"/>
    <w:rsid w:val="002E747E"/>
    <w:rsid w:val="002E7807"/>
    <w:rsid w:val="002E79A9"/>
    <w:rsid w:val="002E7FCB"/>
    <w:rsid w:val="002F00C8"/>
    <w:rsid w:val="002F011A"/>
    <w:rsid w:val="002F0A50"/>
    <w:rsid w:val="002F12B7"/>
    <w:rsid w:val="002F1448"/>
    <w:rsid w:val="002F15E3"/>
    <w:rsid w:val="002F1C62"/>
    <w:rsid w:val="002F1CD4"/>
    <w:rsid w:val="002F1DA9"/>
    <w:rsid w:val="002F1F1F"/>
    <w:rsid w:val="002F27AC"/>
    <w:rsid w:val="002F3540"/>
    <w:rsid w:val="002F3890"/>
    <w:rsid w:val="002F5E94"/>
    <w:rsid w:val="002F5EEE"/>
    <w:rsid w:val="002F70A2"/>
    <w:rsid w:val="002F71C3"/>
    <w:rsid w:val="003000B8"/>
    <w:rsid w:val="0030041A"/>
    <w:rsid w:val="003007F9"/>
    <w:rsid w:val="00300868"/>
    <w:rsid w:val="00301CD5"/>
    <w:rsid w:val="00301F6D"/>
    <w:rsid w:val="00302B65"/>
    <w:rsid w:val="003032BB"/>
    <w:rsid w:val="0030381C"/>
    <w:rsid w:val="003039BC"/>
    <w:rsid w:val="003041B3"/>
    <w:rsid w:val="003042D1"/>
    <w:rsid w:val="00304621"/>
    <w:rsid w:val="00305251"/>
    <w:rsid w:val="00306F52"/>
    <w:rsid w:val="003070AF"/>
    <w:rsid w:val="003075A2"/>
    <w:rsid w:val="00310D70"/>
    <w:rsid w:val="00311382"/>
    <w:rsid w:val="00311C98"/>
    <w:rsid w:val="00312918"/>
    <w:rsid w:val="00312A17"/>
    <w:rsid w:val="00313203"/>
    <w:rsid w:val="00313B69"/>
    <w:rsid w:val="0031448E"/>
    <w:rsid w:val="00314561"/>
    <w:rsid w:val="00314FDA"/>
    <w:rsid w:val="00314FE5"/>
    <w:rsid w:val="003152F3"/>
    <w:rsid w:val="0031557A"/>
    <w:rsid w:val="0031558F"/>
    <w:rsid w:val="003156C8"/>
    <w:rsid w:val="003163FB"/>
    <w:rsid w:val="003164CE"/>
    <w:rsid w:val="00316673"/>
    <w:rsid w:val="00316D95"/>
    <w:rsid w:val="0031709D"/>
    <w:rsid w:val="0031738D"/>
    <w:rsid w:val="00320315"/>
    <w:rsid w:val="00320828"/>
    <w:rsid w:val="003209DA"/>
    <w:rsid w:val="00321084"/>
    <w:rsid w:val="003236FE"/>
    <w:rsid w:val="00323A23"/>
    <w:rsid w:val="00323D2E"/>
    <w:rsid w:val="00324035"/>
    <w:rsid w:val="00324786"/>
    <w:rsid w:val="00324B2B"/>
    <w:rsid w:val="00324BC4"/>
    <w:rsid w:val="00324F3F"/>
    <w:rsid w:val="00325E2B"/>
    <w:rsid w:val="00327081"/>
    <w:rsid w:val="00327A24"/>
    <w:rsid w:val="00331409"/>
    <w:rsid w:val="00331F7F"/>
    <w:rsid w:val="003326A1"/>
    <w:rsid w:val="003328E9"/>
    <w:rsid w:val="00332A6C"/>
    <w:rsid w:val="003330FA"/>
    <w:rsid w:val="0033344E"/>
    <w:rsid w:val="00333894"/>
    <w:rsid w:val="00333ED4"/>
    <w:rsid w:val="00334BE1"/>
    <w:rsid w:val="003354DC"/>
    <w:rsid w:val="00335893"/>
    <w:rsid w:val="00335B9C"/>
    <w:rsid w:val="00335C5E"/>
    <w:rsid w:val="00335F5D"/>
    <w:rsid w:val="0033601D"/>
    <w:rsid w:val="00336A36"/>
    <w:rsid w:val="00337157"/>
    <w:rsid w:val="003374BF"/>
    <w:rsid w:val="0034065B"/>
    <w:rsid w:val="00340C09"/>
    <w:rsid w:val="00341293"/>
    <w:rsid w:val="00341F3C"/>
    <w:rsid w:val="003427A8"/>
    <w:rsid w:val="0034298D"/>
    <w:rsid w:val="003431A6"/>
    <w:rsid w:val="003434E9"/>
    <w:rsid w:val="00344B70"/>
    <w:rsid w:val="00346C8C"/>
    <w:rsid w:val="0034729E"/>
    <w:rsid w:val="00350381"/>
    <w:rsid w:val="00350CA0"/>
    <w:rsid w:val="00350D5D"/>
    <w:rsid w:val="00350DE2"/>
    <w:rsid w:val="003518BD"/>
    <w:rsid w:val="00351E9F"/>
    <w:rsid w:val="00352999"/>
    <w:rsid w:val="00352FB7"/>
    <w:rsid w:val="00352FE8"/>
    <w:rsid w:val="003530C5"/>
    <w:rsid w:val="00353EF4"/>
    <w:rsid w:val="0035590B"/>
    <w:rsid w:val="00355FBB"/>
    <w:rsid w:val="00356304"/>
    <w:rsid w:val="00356954"/>
    <w:rsid w:val="003578D5"/>
    <w:rsid w:val="003578E3"/>
    <w:rsid w:val="00357E0D"/>
    <w:rsid w:val="00362044"/>
    <w:rsid w:val="00362064"/>
    <w:rsid w:val="003624CB"/>
    <w:rsid w:val="00362C31"/>
    <w:rsid w:val="00362C49"/>
    <w:rsid w:val="003635C5"/>
    <w:rsid w:val="0036361E"/>
    <w:rsid w:val="00363F1F"/>
    <w:rsid w:val="003645CD"/>
    <w:rsid w:val="00366082"/>
    <w:rsid w:val="00366448"/>
    <w:rsid w:val="0036768A"/>
    <w:rsid w:val="00370A73"/>
    <w:rsid w:val="00371261"/>
    <w:rsid w:val="00372029"/>
    <w:rsid w:val="003725DB"/>
    <w:rsid w:val="00372AF2"/>
    <w:rsid w:val="00372E23"/>
    <w:rsid w:val="003731CA"/>
    <w:rsid w:val="0037352E"/>
    <w:rsid w:val="0037380F"/>
    <w:rsid w:val="00373AB7"/>
    <w:rsid w:val="00373B96"/>
    <w:rsid w:val="003740AD"/>
    <w:rsid w:val="00374B2A"/>
    <w:rsid w:val="003757F0"/>
    <w:rsid w:val="00376110"/>
    <w:rsid w:val="003763AA"/>
    <w:rsid w:val="00376494"/>
    <w:rsid w:val="003764AC"/>
    <w:rsid w:val="003766DD"/>
    <w:rsid w:val="003771D1"/>
    <w:rsid w:val="003778BF"/>
    <w:rsid w:val="00380221"/>
    <w:rsid w:val="00380FB5"/>
    <w:rsid w:val="00381706"/>
    <w:rsid w:val="00381FE5"/>
    <w:rsid w:val="003822FE"/>
    <w:rsid w:val="00382DB4"/>
    <w:rsid w:val="00383532"/>
    <w:rsid w:val="00384FFF"/>
    <w:rsid w:val="003852E3"/>
    <w:rsid w:val="00385D2B"/>
    <w:rsid w:val="0038604A"/>
    <w:rsid w:val="0038725C"/>
    <w:rsid w:val="00387510"/>
    <w:rsid w:val="00387F73"/>
    <w:rsid w:val="00390F86"/>
    <w:rsid w:val="0039186C"/>
    <w:rsid w:val="00391A53"/>
    <w:rsid w:val="003929DA"/>
    <w:rsid w:val="00392C08"/>
    <w:rsid w:val="00393EDC"/>
    <w:rsid w:val="0039510F"/>
    <w:rsid w:val="003951C7"/>
    <w:rsid w:val="00395C5B"/>
    <w:rsid w:val="00395F44"/>
    <w:rsid w:val="003961AA"/>
    <w:rsid w:val="00396524"/>
    <w:rsid w:val="00396704"/>
    <w:rsid w:val="003977D2"/>
    <w:rsid w:val="003A1606"/>
    <w:rsid w:val="003A1BAD"/>
    <w:rsid w:val="003A27EB"/>
    <w:rsid w:val="003A29BE"/>
    <w:rsid w:val="003A2B89"/>
    <w:rsid w:val="003A2BEB"/>
    <w:rsid w:val="003A349A"/>
    <w:rsid w:val="003A3DDE"/>
    <w:rsid w:val="003A41D5"/>
    <w:rsid w:val="003A4BDE"/>
    <w:rsid w:val="003A5371"/>
    <w:rsid w:val="003A767F"/>
    <w:rsid w:val="003A76AA"/>
    <w:rsid w:val="003A7FE2"/>
    <w:rsid w:val="003B002C"/>
    <w:rsid w:val="003B09F1"/>
    <w:rsid w:val="003B2445"/>
    <w:rsid w:val="003B24DA"/>
    <w:rsid w:val="003B2C09"/>
    <w:rsid w:val="003B37A9"/>
    <w:rsid w:val="003B3BA1"/>
    <w:rsid w:val="003B4894"/>
    <w:rsid w:val="003B4994"/>
    <w:rsid w:val="003B5327"/>
    <w:rsid w:val="003B6221"/>
    <w:rsid w:val="003B76BD"/>
    <w:rsid w:val="003B771D"/>
    <w:rsid w:val="003B7852"/>
    <w:rsid w:val="003B797D"/>
    <w:rsid w:val="003C0152"/>
    <w:rsid w:val="003C034B"/>
    <w:rsid w:val="003C06D6"/>
    <w:rsid w:val="003C0D33"/>
    <w:rsid w:val="003C0EF3"/>
    <w:rsid w:val="003C18BB"/>
    <w:rsid w:val="003C1B25"/>
    <w:rsid w:val="003C1C59"/>
    <w:rsid w:val="003C2208"/>
    <w:rsid w:val="003C2EF1"/>
    <w:rsid w:val="003C3612"/>
    <w:rsid w:val="003C3B11"/>
    <w:rsid w:val="003C3C30"/>
    <w:rsid w:val="003C5648"/>
    <w:rsid w:val="003C5A86"/>
    <w:rsid w:val="003C5AF6"/>
    <w:rsid w:val="003C5ED8"/>
    <w:rsid w:val="003C72AA"/>
    <w:rsid w:val="003C72E1"/>
    <w:rsid w:val="003C7D91"/>
    <w:rsid w:val="003C7E07"/>
    <w:rsid w:val="003D05C6"/>
    <w:rsid w:val="003D088C"/>
    <w:rsid w:val="003D097D"/>
    <w:rsid w:val="003D1FAD"/>
    <w:rsid w:val="003D20E6"/>
    <w:rsid w:val="003D2AFB"/>
    <w:rsid w:val="003D2B7E"/>
    <w:rsid w:val="003D3202"/>
    <w:rsid w:val="003D36BF"/>
    <w:rsid w:val="003D40AE"/>
    <w:rsid w:val="003D40C5"/>
    <w:rsid w:val="003D4451"/>
    <w:rsid w:val="003D4D4C"/>
    <w:rsid w:val="003D5CED"/>
    <w:rsid w:val="003D6C51"/>
    <w:rsid w:val="003D73E2"/>
    <w:rsid w:val="003E01A1"/>
    <w:rsid w:val="003E0668"/>
    <w:rsid w:val="003E06BC"/>
    <w:rsid w:val="003E105B"/>
    <w:rsid w:val="003E11E2"/>
    <w:rsid w:val="003E15E4"/>
    <w:rsid w:val="003E17DF"/>
    <w:rsid w:val="003E1D69"/>
    <w:rsid w:val="003E2CD4"/>
    <w:rsid w:val="003E2D6E"/>
    <w:rsid w:val="003E3906"/>
    <w:rsid w:val="003E3F97"/>
    <w:rsid w:val="003E4348"/>
    <w:rsid w:val="003E455A"/>
    <w:rsid w:val="003E46F5"/>
    <w:rsid w:val="003E4DC2"/>
    <w:rsid w:val="003E4DCB"/>
    <w:rsid w:val="003E4FA3"/>
    <w:rsid w:val="003E511B"/>
    <w:rsid w:val="003E5217"/>
    <w:rsid w:val="003E535C"/>
    <w:rsid w:val="003E59BC"/>
    <w:rsid w:val="003E59C0"/>
    <w:rsid w:val="003E6222"/>
    <w:rsid w:val="003E6F48"/>
    <w:rsid w:val="003E7D97"/>
    <w:rsid w:val="003F027C"/>
    <w:rsid w:val="003F05F7"/>
    <w:rsid w:val="003F116F"/>
    <w:rsid w:val="003F1CC9"/>
    <w:rsid w:val="003F2BC7"/>
    <w:rsid w:val="003F39E4"/>
    <w:rsid w:val="003F3C6E"/>
    <w:rsid w:val="003F4609"/>
    <w:rsid w:val="003F4B2E"/>
    <w:rsid w:val="003F4B32"/>
    <w:rsid w:val="003F5C98"/>
    <w:rsid w:val="003F61B4"/>
    <w:rsid w:val="003F6222"/>
    <w:rsid w:val="003F7016"/>
    <w:rsid w:val="003F7F85"/>
    <w:rsid w:val="00400277"/>
    <w:rsid w:val="00400429"/>
    <w:rsid w:val="00400469"/>
    <w:rsid w:val="0040046E"/>
    <w:rsid w:val="00400BE1"/>
    <w:rsid w:val="004011A2"/>
    <w:rsid w:val="00401B04"/>
    <w:rsid w:val="00402766"/>
    <w:rsid w:val="00403287"/>
    <w:rsid w:val="00403411"/>
    <w:rsid w:val="00403E66"/>
    <w:rsid w:val="00403EA8"/>
    <w:rsid w:val="00406120"/>
    <w:rsid w:val="00406262"/>
    <w:rsid w:val="00406392"/>
    <w:rsid w:val="0040684F"/>
    <w:rsid w:val="004068A4"/>
    <w:rsid w:val="0040697D"/>
    <w:rsid w:val="00406E31"/>
    <w:rsid w:val="004071E6"/>
    <w:rsid w:val="004071FC"/>
    <w:rsid w:val="0040776B"/>
    <w:rsid w:val="004102D1"/>
    <w:rsid w:val="004117B6"/>
    <w:rsid w:val="00411AD5"/>
    <w:rsid w:val="00411F94"/>
    <w:rsid w:val="00411FAB"/>
    <w:rsid w:val="0041276E"/>
    <w:rsid w:val="00413019"/>
    <w:rsid w:val="00413CCD"/>
    <w:rsid w:val="0041518C"/>
    <w:rsid w:val="00415C5F"/>
    <w:rsid w:val="00415FDC"/>
    <w:rsid w:val="004169B8"/>
    <w:rsid w:val="00416C45"/>
    <w:rsid w:val="004204DD"/>
    <w:rsid w:val="004204E7"/>
    <w:rsid w:val="00421225"/>
    <w:rsid w:val="0042304C"/>
    <w:rsid w:val="00423073"/>
    <w:rsid w:val="00423697"/>
    <w:rsid w:val="00423926"/>
    <w:rsid w:val="004244FF"/>
    <w:rsid w:val="004249E9"/>
    <w:rsid w:val="0042503C"/>
    <w:rsid w:val="0042573D"/>
    <w:rsid w:val="00425771"/>
    <w:rsid w:val="00425917"/>
    <w:rsid w:val="00426263"/>
    <w:rsid w:val="00426493"/>
    <w:rsid w:val="004268D0"/>
    <w:rsid w:val="0042698A"/>
    <w:rsid w:val="00426C75"/>
    <w:rsid w:val="00427360"/>
    <w:rsid w:val="00427E5F"/>
    <w:rsid w:val="00427F07"/>
    <w:rsid w:val="0043048F"/>
    <w:rsid w:val="004307D5"/>
    <w:rsid w:val="00430F3A"/>
    <w:rsid w:val="00431549"/>
    <w:rsid w:val="00431E48"/>
    <w:rsid w:val="00431EFA"/>
    <w:rsid w:val="004323BB"/>
    <w:rsid w:val="004328A6"/>
    <w:rsid w:val="00433280"/>
    <w:rsid w:val="00434319"/>
    <w:rsid w:val="00434F30"/>
    <w:rsid w:val="00436E67"/>
    <w:rsid w:val="0043739B"/>
    <w:rsid w:val="00440768"/>
    <w:rsid w:val="00441393"/>
    <w:rsid w:val="004420B1"/>
    <w:rsid w:val="00442625"/>
    <w:rsid w:val="00442A79"/>
    <w:rsid w:val="00442F8B"/>
    <w:rsid w:val="00442F8E"/>
    <w:rsid w:val="00443432"/>
    <w:rsid w:val="00443986"/>
    <w:rsid w:val="00444C4D"/>
    <w:rsid w:val="00444CC6"/>
    <w:rsid w:val="00445015"/>
    <w:rsid w:val="004450B0"/>
    <w:rsid w:val="00445755"/>
    <w:rsid w:val="00445AE6"/>
    <w:rsid w:val="00445D3C"/>
    <w:rsid w:val="0044634C"/>
    <w:rsid w:val="00446432"/>
    <w:rsid w:val="004464BC"/>
    <w:rsid w:val="00447140"/>
    <w:rsid w:val="004474FC"/>
    <w:rsid w:val="0044755B"/>
    <w:rsid w:val="004475A7"/>
    <w:rsid w:val="00447FAC"/>
    <w:rsid w:val="0045023E"/>
    <w:rsid w:val="00450AC8"/>
    <w:rsid w:val="004512B3"/>
    <w:rsid w:val="004512C6"/>
    <w:rsid w:val="0045218F"/>
    <w:rsid w:val="00452283"/>
    <w:rsid w:val="004526B5"/>
    <w:rsid w:val="00452C6D"/>
    <w:rsid w:val="004535B2"/>
    <w:rsid w:val="004540E8"/>
    <w:rsid w:val="0045488C"/>
    <w:rsid w:val="004548F5"/>
    <w:rsid w:val="00454D8F"/>
    <w:rsid w:val="0045549B"/>
    <w:rsid w:val="004557BD"/>
    <w:rsid w:val="00455D11"/>
    <w:rsid w:val="00455ED0"/>
    <w:rsid w:val="0045688B"/>
    <w:rsid w:val="004570E0"/>
    <w:rsid w:val="0045732D"/>
    <w:rsid w:val="004615D7"/>
    <w:rsid w:val="004618F2"/>
    <w:rsid w:val="00462765"/>
    <w:rsid w:val="00462775"/>
    <w:rsid w:val="00462BB3"/>
    <w:rsid w:val="00462CA0"/>
    <w:rsid w:val="00462D52"/>
    <w:rsid w:val="00464DB7"/>
    <w:rsid w:val="00465185"/>
    <w:rsid w:val="0046537B"/>
    <w:rsid w:val="0046538D"/>
    <w:rsid w:val="00465D56"/>
    <w:rsid w:val="00466794"/>
    <w:rsid w:val="00466D89"/>
    <w:rsid w:val="00467104"/>
    <w:rsid w:val="0046724E"/>
    <w:rsid w:val="004704F5"/>
    <w:rsid w:val="004712F5"/>
    <w:rsid w:val="00471556"/>
    <w:rsid w:val="00471A5E"/>
    <w:rsid w:val="00472461"/>
    <w:rsid w:val="004735CD"/>
    <w:rsid w:val="00473D0C"/>
    <w:rsid w:val="004744E9"/>
    <w:rsid w:val="0047598D"/>
    <w:rsid w:val="00476590"/>
    <w:rsid w:val="00476AD4"/>
    <w:rsid w:val="00476CD5"/>
    <w:rsid w:val="00477150"/>
    <w:rsid w:val="00477502"/>
    <w:rsid w:val="004777B6"/>
    <w:rsid w:val="00480F3E"/>
    <w:rsid w:val="00481666"/>
    <w:rsid w:val="004825F5"/>
    <w:rsid w:val="0048387C"/>
    <w:rsid w:val="0048472D"/>
    <w:rsid w:val="0048496B"/>
    <w:rsid w:val="00484A39"/>
    <w:rsid w:val="00484CDC"/>
    <w:rsid w:val="00485261"/>
    <w:rsid w:val="00485336"/>
    <w:rsid w:val="004856A6"/>
    <w:rsid w:val="00485726"/>
    <w:rsid w:val="00485864"/>
    <w:rsid w:val="00485C25"/>
    <w:rsid w:val="00485CDB"/>
    <w:rsid w:val="0048659E"/>
    <w:rsid w:val="0048739C"/>
    <w:rsid w:val="0049095B"/>
    <w:rsid w:val="00490A7D"/>
    <w:rsid w:val="00490D10"/>
    <w:rsid w:val="004910BA"/>
    <w:rsid w:val="004913DA"/>
    <w:rsid w:val="00491B85"/>
    <w:rsid w:val="00492251"/>
    <w:rsid w:val="004922DC"/>
    <w:rsid w:val="0049254F"/>
    <w:rsid w:val="00492872"/>
    <w:rsid w:val="004934E4"/>
    <w:rsid w:val="00493748"/>
    <w:rsid w:val="004948C4"/>
    <w:rsid w:val="00494ED0"/>
    <w:rsid w:val="004953B3"/>
    <w:rsid w:val="00495F78"/>
    <w:rsid w:val="004976C2"/>
    <w:rsid w:val="00497AAB"/>
    <w:rsid w:val="00497F98"/>
    <w:rsid w:val="00497FE4"/>
    <w:rsid w:val="004A0017"/>
    <w:rsid w:val="004A0490"/>
    <w:rsid w:val="004A059D"/>
    <w:rsid w:val="004A082B"/>
    <w:rsid w:val="004A083A"/>
    <w:rsid w:val="004A09F8"/>
    <w:rsid w:val="004A149B"/>
    <w:rsid w:val="004A1F1F"/>
    <w:rsid w:val="004A20E5"/>
    <w:rsid w:val="004A26FB"/>
    <w:rsid w:val="004A2E2E"/>
    <w:rsid w:val="004A30FB"/>
    <w:rsid w:val="004A34EE"/>
    <w:rsid w:val="004A36BF"/>
    <w:rsid w:val="004A3B68"/>
    <w:rsid w:val="004A5282"/>
    <w:rsid w:val="004A588E"/>
    <w:rsid w:val="004A5F83"/>
    <w:rsid w:val="004A6B4A"/>
    <w:rsid w:val="004A7114"/>
    <w:rsid w:val="004A73AB"/>
    <w:rsid w:val="004A740D"/>
    <w:rsid w:val="004A7DE1"/>
    <w:rsid w:val="004B0155"/>
    <w:rsid w:val="004B0376"/>
    <w:rsid w:val="004B0918"/>
    <w:rsid w:val="004B1F49"/>
    <w:rsid w:val="004B25C4"/>
    <w:rsid w:val="004B2F1B"/>
    <w:rsid w:val="004B31DD"/>
    <w:rsid w:val="004B3817"/>
    <w:rsid w:val="004B3917"/>
    <w:rsid w:val="004B3C57"/>
    <w:rsid w:val="004B430D"/>
    <w:rsid w:val="004B57AE"/>
    <w:rsid w:val="004B5C8B"/>
    <w:rsid w:val="004B6418"/>
    <w:rsid w:val="004B6B1C"/>
    <w:rsid w:val="004B7059"/>
    <w:rsid w:val="004B7417"/>
    <w:rsid w:val="004B7668"/>
    <w:rsid w:val="004B7EB4"/>
    <w:rsid w:val="004C10D3"/>
    <w:rsid w:val="004C241A"/>
    <w:rsid w:val="004C29A2"/>
    <w:rsid w:val="004C2B7F"/>
    <w:rsid w:val="004C2F64"/>
    <w:rsid w:val="004C395A"/>
    <w:rsid w:val="004C3F06"/>
    <w:rsid w:val="004C3FAF"/>
    <w:rsid w:val="004C41A8"/>
    <w:rsid w:val="004C444A"/>
    <w:rsid w:val="004C4E3C"/>
    <w:rsid w:val="004C5A1A"/>
    <w:rsid w:val="004C6030"/>
    <w:rsid w:val="004C6D86"/>
    <w:rsid w:val="004C75CB"/>
    <w:rsid w:val="004D0C4D"/>
    <w:rsid w:val="004D0ECF"/>
    <w:rsid w:val="004D126E"/>
    <w:rsid w:val="004D14D0"/>
    <w:rsid w:val="004D2B47"/>
    <w:rsid w:val="004D2C23"/>
    <w:rsid w:val="004D34D9"/>
    <w:rsid w:val="004D36CB"/>
    <w:rsid w:val="004D3B13"/>
    <w:rsid w:val="004D43D4"/>
    <w:rsid w:val="004D4EB5"/>
    <w:rsid w:val="004D5F47"/>
    <w:rsid w:val="004D651A"/>
    <w:rsid w:val="004D6E47"/>
    <w:rsid w:val="004D7DD8"/>
    <w:rsid w:val="004D7FB1"/>
    <w:rsid w:val="004E2069"/>
    <w:rsid w:val="004E215D"/>
    <w:rsid w:val="004E2827"/>
    <w:rsid w:val="004E36A6"/>
    <w:rsid w:val="004E36E3"/>
    <w:rsid w:val="004E4825"/>
    <w:rsid w:val="004E495C"/>
    <w:rsid w:val="004E5785"/>
    <w:rsid w:val="004E5FC7"/>
    <w:rsid w:val="004E6BC6"/>
    <w:rsid w:val="004E712E"/>
    <w:rsid w:val="004E7267"/>
    <w:rsid w:val="004E76C4"/>
    <w:rsid w:val="004E7F33"/>
    <w:rsid w:val="004F0653"/>
    <w:rsid w:val="004F0BD7"/>
    <w:rsid w:val="004F1586"/>
    <w:rsid w:val="004F18F1"/>
    <w:rsid w:val="004F2280"/>
    <w:rsid w:val="004F283B"/>
    <w:rsid w:val="004F2C1A"/>
    <w:rsid w:val="004F3304"/>
    <w:rsid w:val="004F53B9"/>
    <w:rsid w:val="004F5B9F"/>
    <w:rsid w:val="004F5C32"/>
    <w:rsid w:val="004F5D6A"/>
    <w:rsid w:val="004F5FA3"/>
    <w:rsid w:val="004F6358"/>
    <w:rsid w:val="004F69A9"/>
    <w:rsid w:val="004F7DDF"/>
    <w:rsid w:val="00500B8A"/>
    <w:rsid w:val="00501FD5"/>
    <w:rsid w:val="00502DD4"/>
    <w:rsid w:val="00502F54"/>
    <w:rsid w:val="00503965"/>
    <w:rsid w:val="00504436"/>
    <w:rsid w:val="00504996"/>
    <w:rsid w:val="00504B94"/>
    <w:rsid w:val="005052F6"/>
    <w:rsid w:val="0050600C"/>
    <w:rsid w:val="005060B9"/>
    <w:rsid w:val="005060D2"/>
    <w:rsid w:val="00507088"/>
    <w:rsid w:val="005074D0"/>
    <w:rsid w:val="00510D1A"/>
    <w:rsid w:val="00510D5B"/>
    <w:rsid w:val="00510DB2"/>
    <w:rsid w:val="0051105D"/>
    <w:rsid w:val="00511182"/>
    <w:rsid w:val="00511D0E"/>
    <w:rsid w:val="00511D54"/>
    <w:rsid w:val="00511D8C"/>
    <w:rsid w:val="005120A6"/>
    <w:rsid w:val="0051289A"/>
    <w:rsid w:val="00512CD9"/>
    <w:rsid w:val="00513647"/>
    <w:rsid w:val="0051365E"/>
    <w:rsid w:val="00514FC2"/>
    <w:rsid w:val="005160FA"/>
    <w:rsid w:val="0051619E"/>
    <w:rsid w:val="00516B9C"/>
    <w:rsid w:val="00516F19"/>
    <w:rsid w:val="00516F2B"/>
    <w:rsid w:val="0051773D"/>
    <w:rsid w:val="00517E62"/>
    <w:rsid w:val="00520009"/>
    <w:rsid w:val="00520314"/>
    <w:rsid w:val="0052037A"/>
    <w:rsid w:val="005217C6"/>
    <w:rsid w:val="00522555"/>
    <w:rsid w:val="00522F08"/>
    <w:rsid w:val="0052354A"/>
    <w:rsid w:val="00523966"/>
    <w:rsid w:val="00523BD8"/>
    <w:rsid w:val="00524041"/>
    <w:rsid w:val="005247A1"/>
    <w:rsid w:val="00524FAD"/>
    <w:rsid w:val="00526C08"/>
    <w:rsid w:val="0052768B"/>
    <w:rsid w:val="005277D1"/>
    <w:rsid w:val="00527DE5"/>
    <w:rsid w:val="00530F17"/>
    <w:rsid w:val="005312DA"/>
    <w:rsid w:val="00531373"/>
    <w:rsid w:val="00531652"/>
    <w:rsid w:val="00532A6D"/>
    <w:rsid w:val="00532D8C"/>
    <w:rsid w:val="00532DDC"/>
    <w:rsid w:val="00532F4C"/>
    <w:rsid w:val="0053312D"/>
    <w:rsid w:val="00533389"/>
    <w:rsid w:val="00533EC1"/>
    <w:rsid w:val="005340BF"/>
    <w:rsid w:val="0053506E"/>
    <w:rsid w:val="0053574B"/>
    <w:rsid w:val="00535B6D"/>
    <w:rsid w:val="00535FE2"/>
    <w:rsid w:val="0053759A"/>
    <w:rsid w:val="005376DD"/>
    <w:rsid w:val="0053794B"/>
    <w:rsid w:val="005405DC"/>
    <w:rsid w:val="00540B28"/>
    <w:rsid w:val="00541281"/>
    <w:rsid w:val="005412BC"/>
    <w:rsid w:val="00541492"/>
    <w:rsid w:val="00541DC9"/>
    <w:rsid w:val="0054210C"/>
    <w:rsid w:val="00542127"/>
    <w:rsid w:val="0054232A"/>
    <w:rsid w:val="00542938"/>
    <w:rsid w:val="00542BB6"/>
    <w:rsid w:val="00542D0E"/>
    <w:rsid w:val="0054349F"/>
    <w:rsid w:val="00544BCE"/>
    <w:rsid w:val="005453FA"/>
    <w:rsid w:val="0054549B"/>
    <w:rsid w:val="00545597"/>
    <w:rsid w:val="00545713"/>
    <w:rsid w:val="00545BD9"/>
    <w:rsid w:val="00546039"/>
    <w:rsid w:val="00547483"/>
    <w:rsid w:val="005474F1"/>
    <w:rsid w:val="005475A8"/>
    <w:rsid w:val="00547B72"/>
    <w:rsid w:val="00550060"/>
    <w:rsid w:val="0055173E"/>
    <w:rsid w:val="0055209D"/>
    <w:rsid w:val="005528E8"/>
    <w:rsid w:val="00552DD3"/>
    <w:rsid w:val="00552FB0"/>
    <w:rsid w:val="00553A43"/>
    <w:rsid w:val="00553ABB"/>
    <w:rsid w:val="00553ED1"/>
    <w:rsid w:val="00554EC4"/>
    <w:rsid w:val="0055527B"/>
    <w:rsid w:val="00555F02"/>
    <w:rsid w:val="00556FF7"/>
    <w:rsid w:val="00557003"/>
    <w:rsid w:val="0055730E"/>
    <w:rsid w:val="005579F5"/>
    <w:rsid w:val="00560971"/>
    <w:rsid w:val="00560AAA"/>
    <w:rsid w:val="00560D0A"/>
    <w:rsid w:val="005613E0"/>
    <w:rsid w:val="00561632"/>
    <w:rsid w:val="00561946"/>
    <w:rsid w:val="005620F1"/>
    <w:rsid w:val="0056286F"/>
    <w:rsid w:val="00562F35"/>
    <w:rsid w:val="005631EB"/>
    <w:rsid w:val="00563600"/>
    <w:rsid w:val="005648AE"/>
    <w:rsid w:val="00564CB2"/>
    <w:rsid w:val="00564FA7"/>
    <w:rsid w:val="0056529B"/>
    <w:rsid w:val="005661D5"/>
    <w:rsid w:val="005664F1"/>
    <w:rsid w:val="00566600"/>
    <w:rsid w:val="00566D51"/>
    <w:rsid w:val="00566DF9"/>
    <w:rsid w:val="00566E1C"/>
    <w:rsid w:val="00566FF3"/>
    <w:rsid w:val="005670B5"/>
    <w:rsid w:val="0056775D"/>
    <w:rsid w:val="0057050A"/>
    <w:rsid w:val="00570C81"/>
    <w:rsid w:val="00571DDA"/>
    <w:rsid w:val="00571EAC"/>
    <w:rsid w:val="00571F46"/>
    <w:rsid w:val="00573298"/>
    <w:rsid w:val="0057335C"/>
    <w:rsid w:val="00573C25"/>
    <w:rsid w:val="00575652"/>
    <w:rsid w:val="005760E2"/>
    <w:rsid w:val="005764BE"/>
    <w:rsid w:val="00576515"/>
    <w:rsid w:val="00576717"/>
    <w:rsid w:val="00576B5F"/>
    <w:rsid w:val="00577E4D"/>
    <w:rsid w:val="005802AE"/>
    <w:rsid w:val="00581583"/>
    <w:rsid w:val="00581B93"/>
    <w:rsid w:val="00582231"/>
    <w:rsid w:val="0058279C"/>
    <w:rsid w:val="00582A59"/>
    <w:rsid w:val="00583952"/>
    <w:rsid w:val="00584251"/>
    <w:rsid w:val="00584684"/>
    <w:rsid w:val="005849DD"/>
    <w:rsid w:val="00585987"/>
    <w:rsid w:val="00586312"/>
    <w:rsid w:val="005863A2"/>
    <w:rsid w:val="0058653D"/>
    <w:rsid w:val="00586585"/>
    <w:rsid w:val="005869DF"/>
    <w:rsid w:val="00586D6B"/>
    <w:rsid w:val="00587C19"/>
    <w:rsid w:val="00590257"/>
    <w:rsid w:val="0059026C"/>
    <w:rsid w:val="00590C18"/>
    <w:rsid w:val="00591A7B"/>
    <w:rsid w:val="00591BAC"/>
    <w:rsid w:val="00591FC7"/>
    <w:rsid w:val="0059271E"/>
    <w:rsid w:val="00592729"/>
    <w:rsid w:val="00592F79"/>
    <w:rsid w:val="005930C3"/>
    <w:rsid w:val="00593618"/>
    <w:rsid w:val="005947B4"/>
    <w:rsid w:val="005948BD"/>
    <w:rsid w:val="00594F32"/>
    <w:rsid w:val="00595BB4"/>
    <w:rsid w:val="0059619F"/>
    <w:rsid w:val="00596961"/>
    <w:rsid w:val="005A0886"/>
    <w:rsid w:val="005A0C4F"/>
    <w:rsid w:val="005A11FC"/>
    <w:rsid w:val="005A1343"/>
    <w:rsid w:val="005A14EC"/>
    <w:rsid w:val="005A15F0"/>
    <w:rsid w:val="005A1843"/>
    <w:rsid w:val="005A1E67"/>
    <w:rsid w:val="005A22E2"/>
    <w:rsid w:val="005A26EA"/>
    <w:rsid w:val="005A3817"/>
    <w:rsid w:val="005A4062"/>
    <w:rsid w:val="005A54B0"/>
    <w:rsid w:val="005A573A"/>
    <w:rsid w:val="005A652C"/>
    <w:rsid w:val="005A67E5"/>
    <w:rsid w:val="005A6B92"/>
    <w:rsid w:val="005A6BF4"/>
    <w:rsid w:val="005A7FDD"/>
    <w:rsid w:val="005B0097"/>
    <w:rsid w:val="005B0726"/>
    <w:rsid w:val="005B13A9"/>
    <w:rsid w:val="005B1653"/>
    <w:rsid w:val="005B1978"/>
    <w:rsid w:val="005B1BA9"/>
    <w:rsid w:val="005B2966"/>
    <w:rsid w:val="005B2B16"/>
    <w:rsid w:val="005B327D"/>
    <w:rsid w:val="005B4241"/>
    <w:rsid w:val="005B4C0D"/>
    <w:rsid w:val="005B61BB"/>
    <w:rsid w:val="005B635C"/>
    <w:rsid w:val="005B6BBE"/>
    <w:rsid w:val="005B75D7"/>
    <w:rsid w:val="005B7A96"/>
    <w:rsid w:val="005C0367"/>
    <w:rsid w:val="005C0AB0"/>
    <w:rsid w:val="005C0D17"/>
    <w:rsid w:val="005C0DE1"/>
    <w:rsid w:val="005C10A6"/>
    <w:rsid w:val="005C1230"/>
    <w:rsid w:val="005C2070"/>
    <w:rsid w:val="005C247C"/>
    <w:rsid w:val="005C2B1C"/>
    <w:rsid w:val="005C39F7"/>
    <w:rsid w:val="005C4341"/>
    <w:rsid w:val="005C49CC"/>
    <w:rsid w:val="005C4FF7"/>
    <w:rsid w:val="005C54E4"/>
    <w:rsid w:val="005C64B0"/>
    <w:rsid w:val="005C6A5F"/>
    <w:rsid w:val="005C70C7"/>
    <w:rsid w:val="005C78AF"/>
    <w:rsid w:val="005D0A12"/>
    <w:rsid w:val="005D20C0"/>
    <w:rsid w:val="005D2154"/>
    <w:rsid w:val="005D22CE"/>
    <w:rsid w:val="005D2932"/>
    <w:rsid w:val="005D2AFD"/>
    <w:rsid w:val="005D3E76"/>
    <w:rsid w:val="005D405E"/>
    <w:rsid w:val="005D4459"/>
    <w:rsid w:val="005D486D"/>
    <w:rsid w:val="005D4C05"/>
    <w:rsid w:val="005D4E94"/>
    <w:rsid w:val="005D4FDB"/>
    <w:rsid w:val="005D57C4"/>
    <w:rsid w:val="005D59A0"/>
    <w:rsid w:val="005D6655"/>
    <w:rsid w:val="005D692E"/>
    <w:rsid w:val="005D6B25"/>
    <w:rsid w:val="005D6D88"/>
    <w:rsid w:val="005D7043"/>
    <w:rsid w:val="005D761A"/>
    <w:rsid w:val="005D7C0E"/>
    <w:rsid w:val="005E06C1"/>
    <w:rsid w:val="005E2E8E"/>
    <w:rsid w:val="005E395D"/>
    <w:rsid w:val="005E3CA0"/>
    <w:rsid w:val="005E3E31"/>
    <w:rsid w:val="005E41D8"/>
    <w:rsid w:val="005E4901"/>
    <w:rsid w:val="005E499E"/>
    <w:rsid w:val="005E5516"/>
    <w:rsid w:val="005E6286"/>
    <w:rsid w:val="005E6393"/>
    <w:rsid w:val="005E6CC5"/>
    <w:rsid w:val="005E6FD0"/>
    <w:rsid w:val="005E734E"/>
    <w:rsid w:val="005E7C9B"/>
    <w:rsid w:val="005F16BD"/>
    <w:rsid w:val="005F19AA"/>
    <w:rsid w:val="005F1BE5"/>
    <w:rsid w:val="005F1D38"/>
    <w:rsid w:val="005F20F4"/>
    <w:rsid w:val="005F227A"/>
    <w:rsid w:val="005F2426"/>
    <w:rsid w:val="005F246E"/>
    <w:rsid w:val="005F26DB"/>
    <w:rsid w:val="005F2948"/>
    <w:rsid w:val="005F2B33"/>
    <w:rsid w:val="005F2F88"/>
    <w:rsid w:val="005F34B4"/>
    <w:rsid w:val="005F38EF"/>
    <w:rsid w:val="005F3AB6"/>
    <w:rsid w:val="005F4B64"/>
    <w:rsid w:val="005F4BC6"/>
    <w:rsid w:val="005F4EC2"/>
    <w:rsid w:val="005F561D"/>
    <w:rsid w:val="005F57EB"/>
    <w:rsid w:val="005F5BBA"/>
    <w:rsid w:val="005F6348"/>
    <w:rsid w:val="005F6AEC"/>
    <w:rsid w:val="005F6C32"/>
    <w:rsid w:val="005F6FDF"/>
    <w:rsid w:val="005F7A63"/>
    <w:rsid w:val="00600546"/>
    <w:rsid w:val="00600BD8"/>
    <w:rsid w:val="00600EB4"/>
    <w:rsid w:val="00600FC4"/>
    <w:rsid w:val="006016E6"/>
    <w:rsid w:val="00601A13"/>
    <w:rsid w:val="00601B47"/>
    <w:rsid w:val="00601D3B"/>
    <w:rsid w:val="00602AB1"/>
    <w:rsid w:val="00603EF1"/>
    <w:rsid w:val="0060424E"/>
    <w:rsid w:val="0060437F"/>
    <w:rsid w:val="00604618"/>
    <w:rsid w:val="0060496F"/>
    <w:rsid w:val="00605E0D"/>
    <w:rsid w:val="00605EF4"/>
    <w:rsid w:val="006060AB"/>
    <w:rsid w:val="00606C77"/>
    <w:rsid w:val="00607D9E"/>
    <w:rsid w:val="00607DED"/>
    <w:rsid w:val="00607E5F"/>
    <w:rsid w:val="00610058"/>
    <w:rsid w:val="00610896"/>
    <w:rsid w:val="00611136"/>
    <w:rsid w:val="00612579"/>
    <w:rsid w:val="00613906"/>
    <w:rsid w:val="0061473F"/>
    <w:rsid w:val="00614C03"/>
    <w:rsid w:val="00614D11"/>
    <w:rsid w:val="00614FE9"/>
    <w:rsid w:val="0061531E"/>
    <w:rsid w:val="00615AE2"/>
    <w:rsid w:val="00617D8D"/>
    <w:rsid w:val="0062076A"/>
    <w:rsid w:val="00620DB8"/>
    <w:rsid w:val="00621196"/>
    <w:rsid w:val="0062133B"/>
    <w:rsid w:val="0062143B"/>
    <w:rsid w:val="00622167"/>
    <w:rsid w:val="00622395"/>
    <w:rsid w:val="00622910"/>
    <w:rsid w:val="00623395"/>
    <w:rsid w:val="00623B44"/>
    <w:rsid w:val="0062455E"/>
    <w:rsid w:val="006245C3"/>
    <w:rsid w:val="00624630"/>
    <w:rsid w:val="006247C9"/>
    <w:rsid w:val="00624AF5"/>
    <w:rsid w:val="00624C67"/>
    <w:rsid w:val="00624DF5"/>
    <w:rsid w:val="0062503E"/>
    <w:rsid w:val="00625AC8"/>
    <w:rsid w:val="00625F50"/>
    <w:rsid w:val="006275DA"/>
    <w:rsid w:val="00627A76"/>
    <w:rsid w:val="00627E06"/>
    <w:rsid w:val="00630561"/>
    <w:rsid w:val="00630DF5"/>
    <w:rsid w:val="00630FE9"/>
    <w:rsid w:val="006313E7"/>
    <w:rsid w:val="006318F8"/>
    <w:rsid w:val="0063256C"/>
    <w:rsid w:val="00632D0C"/>
    <w:rsid w:val="006348C8"/>
    <w:rsid w:val="00634F80"/>
    <w:rsid w:val="00635258"/>
    <w:rsid w:val="0063659C"/>
    <w:rsid w:val="00636DAC"/>
    <w:rsid w:val="0064058F"/>
    <w:rsid w:val="006410B8"/>
    <w:rsid w:val="0064125A"/>
    <w:rsid w:val="00641CEE"/>
    <w:rsid w:val="00641D6F"/>
    <w:rsid w:val="00641EC1"/>
    <w:rsid w:val="006427A9"/>
    <w:rsid w:val="006427B3"/>
    <w:rsid w:val="00644161"/>
    <w:rsid w:val="00644643"/>
    <w:rsid w:val="00644E4D"/>
    <w:rsid w:val="00645504"/>
    <w:rsid w:val="00647C00"/>
    <w:rsid w:val="00651DE7"/>
    <w:rsid w:val="00651E88"/>
    <w:rsid w:val="00652524"/>
    <w:rsid w:val="00652675"/>
    <w:rsid w:val="0065329D"/>
    <w:rsid w:val="006538E1"/>
    <w:rsid w:val="00653A33"/>
    <w:rsid w:val="00653D5F"/>
    <w:rsid w:val="00653FFB"/>
    <w:rsid w:val="00655192"/>
    <w:rsid w:val="006552EC"/>
    <w:rsid w:val="00656DAB"/>
    <w:rsid w:val="0065780A"/>
    <w:rsid w:val="00657D72"/>
    <w:rsid w:val="00657EF7"/>
    <w:rsid w:val="006608C3"/>
    <w:rsid w:val="00660922"/>
    <w:rsid w:val="00661575"/>
    <w:rsid w:val="00661DAB"/>
    <w:rsid w:val="00662D44"/>
    <w:rsid w:val="00662D92"/>
    <w:rsid w:val="00663888"/>
    <w:rsid w:val="00663A16"/>
    <w:rsid w:val="00663ADE"/>
    <w:rsid w:val="00665810"/>
    <w:rsid w:val="00665FBE"/>
    <w:rsid w:val="0066647E"/>
    <w:rsid w:val="00666AE4"/>
    <w:rsid w:val="00667EAF"/>
    <w:rsid w:val="0067053F"/>
    <w:rsid w:val="00671676"/>
    <w:rsid w:val="006719A0"/>
    <w:rsid w:val="00672247"/>
    <w:rsid w:val="0067280F"/>
    <w:rsid w:val="00672AEF"/>
    <w:rsid w:val="00672F55"/>
    <w:rsid w:val="0067393B"/>
    <w:rsid w:val="00673FD8"/>
    <w:rsid w:val="0067422C"/>
    <w:rsid w:val="00674255"/>
    <w:rsid w:val="00674DCF"/>
    <w:rsid w:val="00675088"/>
    <w:rsid w:val="006760FF"/>
    <w:rsid w:val="00676252"/>
    <w:rsid w:val="00677ECF"/>
    <w:rsid w:val="006802FB"/>
    <w:rsid w:val="00680716"/>
    <w:rsid w:val="006808F6"/>
    <w:rsid w:val="00680C0D"/>
    <w:rsid w:val="00680CA1"/>
    <w:rsid w:val="00680D2B"/>
    <w:rsid w:val="006813AF"/>
    <w:rsid w:val="006815E2"/>
    <w:rsid w:val="0068183F"/>
    <w:rsid w:val="0068194D"/>
    <w:rsid w:val="0068240B"/>
    <w:rsid w:val="00682B71"/>
    <w:rsid w:val="006830B9"/>
    <w:rsid w:val="00683126"/>
    <w:rsid w:val="00683217"/>
    <w:rsid w:val="00683C36"/>
    <w:rsid w:val="00684958"/>
    <w:rsid w:val="00684ECE"/>
    <w:rsid w:val="00685303"/>
    <w:rsid w:val="006855BD"/>
    <w:rsid w:val="00685BD2"/>
    <w:rsid w:val="00685D01"/>
    <w:rsid w:val="0068646B"/>
    <w:rsid w:val="00686B58"/>
    <w:rsid w:val="00686C5B"/>
    <w:rsid w:val="006870F6"/>
    <w:rsid w:val="00691735"/>
    <w:rsid w:val="00692379"/>
    <w:rsid w:val="006924BC"/>
    <w:rsid w:val="006933C1"/>
    <w:rsid w:val="006939B1"/>
    <w:rsid w:val="00694349"/>
    <w:rsid w:val="006946B0"/>
    <w:rsid w:val="006953E2"/>
    <w:rsid w:val="00695481"/>
    <w:rsid w:val="00695541"/>
    <w:rsid w:val="006966AF"/>
    <w:rsid w:val="006966EA"/>
    <w:rsid w:val="00697D54"/>
    <w:rsid w:val="006A07F0"/>
    <w:rsid w:val="006A09D8"/>
    <w:rsid w:val="006A14F5"/>
    <w:rsid w:val="006A207B"/>
    <w:rsid w:val="006A251D"/>
    <w:rsid w:val="006A3552"/>
    <w:rsid w:val="006A3BD5"/>
    <w:rsid w:val="006A468F"/>
    <w:rsid w:val="006A4A92"/>
    <w:rsid w:val="006A4B9F"/>
    <w:rsid w:val="006A4BF4"/>
    <w:rsid w:val="006A5175"/>
    <w:rsid w:val="006A543C"/>
    <w:rsid w:val="006A59F4"/>
    <w:rsid w:val="006A5ABE"/>
    <w:rsid w:val="006A5B8A"/>
    <w:rsid w:val="006A5C53"/>
    <w:rsid w:val="006A61B2"/>
    <w:rsid w:val="006A6A34"/>
    <w:rsid w:val="006A6D88"/>
    <w:rsid w:val="006A6E41"/>
    <w:rsid w:val="006A7A42"/>
    <w:rsid w:val="006A7B1F"/>
    <w:rsid w:val="006B0159"/>
    <w:rsid w:val="006B0202"/>
    <w:rsid w:val="006B044A"/>
    <w:rsid w:val="006B062F"/>
    <w:rsid w:val="006B0F6E"/>
    <w:rsid w:val="006B1DC4"/>
    <w:rsid w:val="006B200B"/>
    <w:rsid w:val="006B235D"/>
    <w:rsid w:val="006B320E"/>
    <w:rsid w:val="006B4284"/>
    <w:rsid w:val="006B5376"/>
    <w:rsid w:val="006B5C6E"/>
    <w:rsid w:val="006B5F20"/>
    <w:rsid w:val="006B60FB"/>
    <w:rsid w:val="006B6794"/>
    <w:rsid w:val="006B6EFD"/>
    <w:rsid w:val="006B74A9"/>
    <w:rsid w:val="006B76F8"/>
    <w:rsid w:val="006B7E28"/>
    <w:rsid w:val="006C0DA4"/>
    <w:rsid w:val="006C0F4B"/>
    <w:rsid w:val="006C1B34"/>
    <w:rsid w:val="006C25E4"/>
    <w:rsid w:val="006C2844"/>
    <w:rsid w:val="006C2E2F"/>
    <w:rsid w:val="006C36C7"/>
    <w:rsid w:val="006C3B03"/>
    <w:rsid w:val="006C40CE"/>
    <w:rsid w:val="006C4521"/>
    <w:rsid w:val="006C4EAC"/>
    <w:rsid w:val="006C5484"/>
    <w:rsid w:val="006C5675"/>
    <w:rsid w:val="006C584A"/>
    <w:rsid w:val="006C60E1"/>
    <w:rsid w:val="006C6AA9"/>
    <w:rsid w:val="006C71E7"/>
    <w:rsid w:val="006D0233"/>
    <w:rsid w:val="006D03AA"/>
    <w:rsid w:val="006D0B03"/>
    <w:rsid w:val="006D0B2E"/>
    <w:rsid w:val="006D14BF"/>
    <w:rsid w:val="006D19EE"/>
    <w:rsid w:val="006D2315"/>
    <w:rsid w:val="006D39FB"/>
    <w:rsid w:val="006D4726"/>
    <w:rsid w:val="006D4824"/>
    <w:rsid w:val="006D4EAE"/>
    <w:rsid w:val="006D4EEF"/>
    <w:rsid w:val="006D4EFB"/>
    <w:rsid w:val="006D5674"/>
    <w:rsid w:val="006D599B"/>
    <w:rsid w:val="006D6308"/>
    <w:rsid w:val="006D6997"/>
    <w:rsid w:val="006D6B73"/>
    <w:rsid w:val="006D6C26"/>
    <w:rsid w:val="006D70A8"/>
    <w:rsid w:val="006D7458"/>
    <w:rsid w:val="006D75FC"/>
    <w:rsid w:val="006D773B"/>
    <w:rsid w:val="006D7FD5"/>
    <w:rsid w:val="006E047D"/>
    <w:rsid w:val="006E0C02"/>
    <w:rsid w:val="006E1009"/>
    <w:rsid w:val="006E11C5"/>
    <w:rsid w:val="006E1876"/>
    <w:rsid w:val="006E1FA8"/>
    <w:rsid w:val="006E21EB"/>
    <w:rsid w:val="006E25BA"/>
    <w:rsid w:val="006E29DC"/>
    <w:rsid w:val="006E38D8"/>
    <w:rsid w:val="006E3974"/>
    <w:rsid w:val="006E3B8D"/>
    <w:rsid w:val="006E422C"/>
    <w:rsid w:val="006E4286"/>
    <w:rsid w:val="006E4C33"/>
    <w:rsid w:val="006E4E59"/>
    <w:rsid w:val="006E5365"/>
    <w:rsid w:val="006E5A3E"/>
    <w:rsid w:val="006E637C"/>
    <w:rsid w:val="006E6B43"/>
    <w:rsid w:val="006E6E4A"/>
    <w:rsid w:val="006E78A2"/>
    <w:rsid w:val="006F01A1"/>
    <w:rsid w:val="006F05B2"/>
    <w:rsid w:val="006F3297"/>
    <w:rsid w:val="006F33DF"/>
    <w:rsid w:val="006F3BAF"/>
    <w:rsid w:val="006F49D7"/>
    <w:rsid w:val="006F4C75"/>
    <w:rsid w:val="006F51F8"/>
    <w:rsid w:val="006F5B08"/>
    <w:rsid w:val="006F602C"/>
    <w:rsid w:val="006F70C6"/>
    <w:rsid w:val="006F7112"/>
    <w:rsid w:val="006F740E"/>
    <w:rsid w:val="006F74FD"/>
    <w:rsid w:val="006F777E"/>
    <w:rsid w:val="007005E9"/>
    <w:rsid w:val="00700DFA"/>
    <w:rsid w:val="0070259D"/>
    <w:rsid w:val="00704041"/>
    <w:rsid w:val="00704C84"/>
    <w:rsid w:val="007051CA"/>
    <w:rsid w:val="007061C8"/>
    <w:rsid w:val="007064AC"/>
    <w:rsid w:val="0070654C"/>
    <w:rsid w:val="007078F5"/>
    <w:rsid w:val="00710117"/>
    <w:rsid w:val="00710BE2"/>
    <w:rsid w:val="007115AB"/>
    <w:rsid w:val="007115D4"/>
    <w:rsid w:val="00711911"/>
    <w:rsid w:val="00711B2E"/>
    <w:rsid w:val="00711CA9"/>
    <w:rsid w:val="00711E17"/>
    <w:rsid w:val="00712358"/>
    <w:rsid w:val="00712594"/>
    <w:rsid w:val="00712668"/>
    <w:rsid w:val="0071310D"/>
    <w:rsid w:val="007131B0"/>
    <w:rsid w:val="007131FF"/>
    <w:rsid w:val="00713F25"/>
    <w:rsid w:val="00714121"/>
    <w:rsid w:val="00716041"/>
    <w:rsid w:val="007160D8"/>
    <w:rsid w:val="00716927"/>
    <w:rsid w:val="007169E2"/>
    <w:rsid w:val="00716AAD"/>
    <w:rsid w:val="00716DEA"/>
    <w:rsid w:val="0071701D"/>
    <w:rsid w:val="0071760B"/>
    <w:rsid w:val="00717A60"/>
    <w:rsid w:val="00717A7D"/>
    <w:rsid w:val="00720014"/>
    <w:rsid w:val="00720216"/>
    <w:rsid w:val="007206E3"/>
    <w:rsid w:val="007207B2"/>
    <w:rsid w:val="00720E8E"/>
    <w:rsid w:val="00720F5D"/>
    <w:rsid w:val="0072125C"/>
    <w:rsid w:val="00721336"/>
    <w:rsid w:val="007215D3"/>
    <w:rsid w:val="00721FA5"/>
    <w:rsid w:val="00722020"/>
    <w:rsid w:val="00722543"/>
    <w:rsid w:val="00722575"/>
    <w:rsid w:val="0072281E"/>
    <w:rsid w:val="00722BA4"/>
    <w:rsid w:val="0072338A"/>
    <w:rsid w:val="00723EEF"/>
    <w:rsid w:val="00724731"/>
    <w:rsid w:val="007247B9"/>
    <w:rsid w:val="00724F75"/>
    <w:rsid w:val="0072532B"/>
    <w:rsid w:val="007253BF"/>
    <w:rsid w:val="00725E70"/>
    <w:rsid w:val="00726171"/>
    <w:rsid w:val="00726F77"/>
    <w:rsid w:val="00727AAE"/>
    <w:rsid w:val="0073019D"/>
    <w:rsid w:val="00730632"/>
    <w:rsid w:val="00730EDC"/>
    <w:rsid w:val="00731087"/>
    <w:rsid w:val="00731193"/>
    <w:rsid w:val="007311E5"/>
    <w:rsid w:val="00731252"/>
    <w:rsid w:val="0073224E"/>
    <w:rsid w:val="00732558"/>
    <w:rsid w:val="00732B8D"/>
    <w:rsid w:val="00733019"/>
    <w:rsid w:val="00733079"/>
    <w:rsid w:val="0073375D"/>
    <w:rsid w:val="00733906"/>
    <w:rsid w:val="00733956"/>
    <w:rsid w:val="00733B0F"/>
    <w:rsid w:val="00734DBE"/>
    <w:rsid w:val="007351FC"/>
    <w:rsid w:val="0073569D"/>
    <w:rsid w:val="00736403"/>
    <w:rsid w:val="007403AE"/>
    <w:rsid w:val="007407F1"/>
    <w:rsid w:val="00740858"/>
    <w:rsid w:val="00741411"/>
    <w:rsid w:val="0074203B"/>
    <w:rsid w:val="0074213E"/>
    <w:rsid w:val="007421DD"/>
    <w:rsid w:val="00742847"/>
    <w:rsid w:val="007429E7"/>
    <w:rsid w:val="00742E64"/>
    <w:rsid w:val="0074305A"/>
    <w:rsid w:val="00743F44"/>
    <w:rsid w:val="00744088"/>
    <w:rsid w:val="007449A4"/>
    <w:rsid w:val="007450D0"/>
    <w:rsid w:val="00745313"/>
    <w:rsid w:val="00745CEC"/>
    <w:rsid w:val="00747319"/>
    <w:rsid w:val="007475F1"/>
    <w:rsid w:val="007477BF"/>
    <w:rsid w:val="00747A1C"/>
    <w:rsid w:val="007503B2"/>
    <w:rsid w:val="007504A2"/>
    <w:rsid w:val="00750542"/>
    <w:rsid w:val="007508E7"/>
    <w:rsid w:val="00750FB6"/>
    <w:rsid w:val="007512D0"/>
    <w:rsid w:val="0075144C"/>
    <w:rsid w:val="00751930"/>
    <w:rsid w:val="00752B1D"/>
    <w:rsid w:val="00752DF5"/>
    <w:rsid w:val="00752FED"/>
    <w:rsid w:val="00753B81"/>
    <w:rsid w:val="00753D00"/>
    <w:rsid w:val="00753E0E"/>
    <w:rsid w:val="0075438F"/>
    <w:rsid w:val="007548F8"/>
    <w:rsid w:val="00754B55"/>
    <w:rsid w:val="007555AE"/>
    <w:rsid w:val="00756058"/>
    <w:rsid w:val="00756F53"/>
    <w:rsid w:val="007576D6"/>
    <w:rsid w:val="00757A8A"/>
    <w:rsid w:val="00760753"/>
    <w:rsid w:val="00760941"/>
    <w:rsid w:val="00760D02"/>
    <w:rsid w:val="00760E1B"/>
    <w:rsid w:val="00761AAC"/>
    <w:rsid w:val="007636FA"/>
    <w:rsid w:val="00763B65"/>
    <w:rsid w:val="007641B4"/>
    <w:rsid w:val="007641B8"/>
    <w:rsid w:val="00764293"/>
    <w:rsid w:val="00764457"/>
    <w:rsid w:val="007645F8"/>
    <w:rsid w:val="007652FC"/>
    <w:rsid w:val="00765359"/>
    <w:rsid w:val="007675C7"/>
    <w:rsid w:val="00767D11"/>
    <w:rsid w:val="0077036A"/>
    <w:rsid w:val="00770EAA"/>
    <w:rsid w:val="0077103B"/>
    <w:rsid w:val="00771178"/>
    <w:rsid w:val="00771CA5"/>
    <w:rsid w:val="007726F6"/>
    <w:rsid w:val="007728D5"/>
    <w:rsid w:val="00772AFC"/>
    <w:rsid w:val="00772C2A"/>
    <w:rsid w:val="00772E9A"/>
    <w:rsid w:val="00773371"/>
    <w:rsid w:val="007734EE"/>
    <w:rsid w:val="00773A7F"/>
    <w:rsid w:val="00773D25"/>
    <w:rsid w:val="00773EEF"/>
    <w:rsid w:val="0077417C"/>
    <w:rsid w:val="007744DF"/>
    <w:rsid w:val="00775418"/>
    <w:rsid w:val="0077582A"/>
    <w:rsid w:val="00776A12"/>
    <w:rsid w:val="00776A78"/>
    <w:rsid w:val="00777313"/>
    <w:rsid w:val="00777B1F"/>
    <w:rsid w:val="00777E3A"/>
    <w:rsid w:val="0078150D"/>
    <w:rsid w:val="00781808"/>
    <w:rsid w:val="00781919"/>
    <w:rsid w:val="00781947"/>
    <w:rsid w:val="00782047"/>
    <w:rsid w:val="00783F32"/>
    <w:rsid w:val="007847E7"/>
    <w:rsid w:val="00784C01"/>
    <w:rsid w:val="00785075"/>
    <w:rsid w:val="007851E0"/>
    <w:rsid w:val="00786EF3"/>
    <w:rsid w:val="00787242"/>
    <w:rsid w:val="00787407"/>
    <w:rsid w:val="00787A54"/>
    <w:rsid w:val="00787B37"/>
    <w:rsid w:val="00790A29"/>
    <w:rsid w:val="00790DA5"/>
    <w:rsid w:val="00790DE4"/>
    <w:rsid w:val="00791031"/>
    <w:rsid w:val="00791C1D"/>
    <w:rsid w:val="00792ACD"/>
    <w:rsid w:val="00793ACD"/>
    <w:rsid w:val="00793CFE"/>
    <w:rsid w:val="007945CE"/>
    <w:rsid w:val="00795BC1"/>
    <w:rsid w:val="00795BC7"/>
    <w:rsid w:val="007963EA"/>
    <w:rsid w:val="00796510"/>
    <w:rsid w:val="00796551"/>
    <w:rsid w:val="00797132"/>
    <w:rsid w:val="0079720B"/>
    <w:rsid w:val="0079740D"/>
    <w:rsid w:val="00797CA8"/>
    <w:rsid w:val="00797D31"/>
    <w:rsid w:val="007A03BC"/>
    <w:rsid w:val="007A06F2"/>
    <w:rsid w:val="007A0B59"/>
    <w:rsid w:val="007A0DE2"/>
    <w:rsid w:val="007A15D1"/>
    <w:rsid w:val="007A15EE"/>
    <w:rsid w:val="007A1A86"/>
    <w:rsid w:val="007A1EA2"/>
    <w:rsid w:val="007A3030"/>
    <w:rsid w:val="007A345E"/>
    <w:rsid w:val="007A34F7"/>
    <w:rsid w:val="007A3D83"/>
    <w:rsid w:val="007A4121"/>
    <w:rsid w:val="007A4158"/>
    <w:rsid w:val="007A4465"/>
    <w:rsid w:val="007A505D"/>
    <w:rsid w:val="007A57BE"/>
    <w:rsid w:val="007A61DC"/>
    <w:rsid w:val="007A62C9"/>
    <w:rsid w:val="007A63B7"/>
    <w:rsid w:val="007A6CAD"/>
    <w:rsid w:val="007A7309"/>
    <w:rsid w:val="007A733F"/>
    <w:rsid w:val="007A74B1"/>
    <w:rsid w:val="007A74B2"/>
    <w:rsid w:val="007B0989"/>
    <w:rsid w:val="007B1390"/>
    <w:rsid w:val="007B2B01"/>
    <w:rsid w:val="007B3A3B"/>
    <w:rsid w:val="007B3D62"/>
    <w:rsid w:val="007B589C"/>
    <w:rsid w:val="007B5F12"/>
    <w:rsid w:val="007B6861"/>
    <w:rsid w:val="007B6923"/>
    <w:rsid w:val="007B6B32"/>
    <w:rsid w:val="007B7265"/>
    <w:rsid w:val="007C02F0"/>
    <w:rsid w:val="007C10A8"/>
    <w:rsid w:val="007C116D"/>
    <w:rsid w:val="007C1818"/>
    <w:rsid w:val="007C1EF3"/>
    <w:rsid w:val="007C2AEF"/>
    <w:rsid w:val="007C2E88"/>
    <w:rsid w:val="007C2EE7"/>
    <w:rsid w:val="007C421C"/>
    <w:rsid w:val="007C517A"/>
    <w:rsid w:val="007C570C"/>
    <w:rsid w:val="007C614E"/>
    <w:rsid w:val="007C6F34"/>
    <w:rsid w:val="007C7EF3"/>
    <w:rsid w:val="007D0705"/>
    <w:rsid w:val="007D0870"/>
    <w:rsid w:val="007D0877"/>
    <w:rsid w:val="007D0970"/>
    <w:rsid w:val="007D09B3"/>
    <w:rsid w:val="007D11BB"/>
    <w:rsid w:val="007D1627"/>
    <w:rsid w:val="007D2B7C"/>
    <w:rsid w:val="007D2C72"/>
    <w:rsid w:val="007D30B5"/>
    <w:rsid w:val="007D430E"/>
    <w:rsid w:val="007D435B"/>
    <w:rsid w:val="007D466E"/>
    <w:rsid w:val="007D46EB"/>
    <w:rsid w:val="007D49D3"/>
    <w:rsid w:val="007D4A16"/>
    <w:rsid w:val="007D5120"/>
    <w:rsid w:val="007D5DBA"/>
    <w:rsid w:val="007D6C4B"/>
    <w:rsid w:val="007D6DB9"/>
    <w:rsid w:val="007D6DDB"/>
    <w:rsid w:val="007D73BB"/>
    <w:rsid w:val="007E1730"/>
    <w:rsid w:val="007E1759"/>
    <w:rsid w:val="007E1C28"/>
    <w:rsid w:val="007E21D2"/>
    <w:rsid w:val="007E228A"/>
    <w:rsid w:val="007E22A0"/>
    <w:rsid w:val="007E2742"/>
    <w:rsid w:val="007E3536"/>
    <w:rsid w:val="007E36FE"/>
    <w:rsid w:val="007E38EE"/>
    <w:rsid w:val="007E41AC"/>
    <w:rsid w:val="007E51DF"/>
    <w:rsid w:val="007E69A9"/>
    <w:rsid w:val="007E6C40"/>
    <w:rsid w:val="007E7402"/>
    <w:rsid w:val="007E75A8"/>
    <w:rsid w:val="007F0CA2"/>
    <w:rsid w:val="007F0FEB"/>
    <w:rsid w:val="007F134C"/>
    <w:rsid w:val="007F1785"/>
    <w:rsid w:val="007F238A"/>
    <w:rsid w:val="007F245A"/>
    <w:rsid w:val="007F3566"/>
    <w:rsid w:val="007F35CA"/>
    <w:rsid w:val="007F3B99"/>
    <w:rsid w:val="007F3E9F"/>
    <w:rsid w:val="007F3F97"/>
    <w:rsid w:val="007F4DA5"/>
    <w:rsid w:val="007F508D"/>
    <w:rsid w:val="007F57CA"/>
    <w:rsid w:val="00801058"/>
    <w:rsid w:val="008011EC"/>
    <w:rsid w:val="00801A29"/>
    <w:rsid w:val="00801A2C"/>
    <w:rsid w:val="00801F7F"/>
    <w:rsid w:val="008025C8"/>
    <w:rsid w:val="00803324"/>
    <w:rsid w:val="008033C2"/>
    <w:rsid w:val="0080373F"/>
    <w:rsid w:val="00804C5D"/>
    <w:rsid w:val="00804F73"/>
    <w:rsid w:val="008051C2"/>
    <w:rsid w:val="008062C6"/>
    <w:rsid w:val="00806520"/>
    <w:rsid w:val="00806BA8"/>
    <w:rsid w:val="00810755"/>
    <w:rsid w:val="00810C97"/>
    <w:rsid w:val="0081136F"/>
    <w:rsid w:val="008120F3"/>
    <w:rsid w:val="008125A2"/>
    <w:rsid w:val="008126D1"/>
    <w:rsid w:val="00812E41"/>
    <w:rsid w:val="00813500"/>
    <w:rsid w:val="008142B3"/>
    <w:rsid w:val="008146E8"/>
    <w:rsid w:val="008156B7"/>
    <w:rsid w:val="00815858"/>
    <w:rsid w:val="0081647E"/>
    <w:rsid w:val="00816485"/>
    <w:rsid w:val="0081704B"/>
    <w:rsid w:val="00817565"/>
    <w:rsid w:val="0081765B"/>
    <w:rsid w:val="00817B94"/>
    <w:rsid w:val="00820216"/>
    <w:rsid w:val="008203C0"/>
    <w:rsid w:val="00820422"/>
    <w:rsid w:val="008206FB"/>
    <w:rsid w:val="008208E0"/>
    <w:rsid w:val="008209B6"/>
    <w:rsid w:val="008215ED"/>
    <w:rsid w:val="00822624"/>
    <w:rsid w:val="00823000"/>
    <w:rsid w:val="0082310A"/>
    <w:rsid w:val="00823A08"/>
    <w:rsid w:val="00824460"/>
    <w:rsid w:val="00824512"/>
    <w:rsid w:val="008248C3"/>
    <w:rsid w:val="00825324"/>
    <w:rsid w:val="00825BE2"/>
    <w:rsid w:val="00825D87"/>
    <w:rsid w:val="0082620A"/>
    <w:rsid w:val="008263AE"/>
    <w:rsid w:val="00827062"/>
    <w:rsid w:val="0082737B"/>
    <w:rsid w:val="00827CA3"/>
    <w:rsid w:val="00827CDD"/>
    <w:rsid w:val="00827FC4"/>
    <w:rsid w:val="00827FD0"/>
    <w:rsid w:val="00830391"/>
    <w:rsid w:val="00830B33"/>
    <w:rsid w:val="00831421"/>
    <w:rsid w:val="00832223"/>
    <w:rsid w:val="008324FC"/>
    <w:rsid w:val="0083253C"/>
    <w:rsid w:val="00832875"/>
    <w:rsid w:val="008331D0"/>
    <w:rsid w:val="00833585"/>
    <w:rsid w:val="00833865"/>
    <w:rsid w:val="00833A46"/>
    <w:rsid w:val="00833C95"/>
    <w:rsid w:val="008343FF"/>
    <w:rsid w:val="00834D4E"/>
    <w:rsid w:val="00834FB5"/>
    <w:rsid w:val="008360AB"/>
    <w:rsid w:val="00836224"/>
    <w:rsid w:val="00837648"/>
    <w:rsid w:val="00837730"/>
    <w:rsid w:val="00837A35"/>
    <w:rsid w:val="00837EAF"/>
    <w:rsid w:val="00840BBD"/>
    <w:rsid w:val="00840DF7"/>
    <w:rsid w:val="00840E3E"/>
    <w:rsid w:val="00841180"/>
    <w:rsid w:val="00842E97"/>
    <w:rsid w:val="00844210"/>
    <w:rsid w:val="00844C92"/>
    <w:rsid w:val="0084589A"/>
    <w:rsid w:val="00845B13"/>
    <w:rsid w:val="008467F6"/>
    <w:rsid w:val="008469CC"/>
    <w:rsid w:val="00846AC7"/>
    <w:rsid w:val="008472F2"/>
    <w:rsid w:val="00847D1A"/>
    <w:rsid w:val="00847D5C"/>
    <w:rsid w:val="00847E8C"/>
    <w:rsid w:val="00850B89"/>
    <w:rsid w:val="008512DA"/>
    <w:rsid w:val="008518C1"/>
    <w:rsid w:val="008522F2"/>
    <w:rsid w:val="00852E36"/>
    <w:rsid w:val="00853254"/>
    <w:rsid w:val="00853704"/>
    <w:rsid w:val="00854B65"/>
    <w:rsid w:val="00854CD3"/>
    <w:rsid w:val="0085522A"/>
    <w:rsid w:val="00856594"/>
    <w:rsid w:val="008566C5"/>
    <w:rsid w:val="00856D72"/>
    <w:rsid w:val="008579A6"/>
    <w:rsid w:val="00857C14"/>
    <w:rsid w:val="0086060C"/>
    <w:rsid w:val="00860DF4"/>
    <w:rsid w:val="008613EE"/>
    <w:rsid w:val="00862392"/>
    <w:rsid w:val="0086274A"/>
    <w:rsid w:val="00862A03"/>
    <w:rsid w:val="00863998"/>
    <w:rsid w:val="008639AE"/>
    <w:rsid w:val="00863CBC"/>
    <w:rsid w:val="0086427E"/>
    <w:rsid w:val="008644C4"/>
    <w:rsid w:val="00865075"/>
    <w:rsid w:val="00865668"/>
    <w:rsid w:val="00865BC4"/>
    <w:rsid w:val="008660A2"/>
    <w:rsid w:val="00866FB6"/>
    <w:rsid w:val="00867C1F"/>
    <w:rsid w:val="008704E2"/>
    <w:rsid w:val="0087074E"/>
    <w:rsid w:val="00870B04"/>
    <w:rsid w:val="00870DA0"/>
    <w:rsid w:val="008716AC"/>
    <w:rsid w:val="00871885"/>
    <w:rsid w:val="0087223D"/>
    <w:rsid w:val="00874D4B"/>
    <w:rsid w:val="00874DB6"/>
    <w:rsid w:val="00875012"/>
    <w:rsid w:val="008759BC"/>
    <w:rsid w:val="00876221"/>
    <w:rsid w:val="008764D1"/>
    <w:rsid w:val="00876854"/>
    <w:rsid w:val="00876D6A"/>
    <w:rsid w:val="0087739C"/>
    <w:rsid w:val="00877E9B"/>
    <w:rsid w:val="00880574"/>
    <w:rsid w:val="008805A9"/>
    <w:rsid w:val="00880891"/>
    <w:rsid w:val="00881EBC"/>
    <w:rsid w:val="008822E2"/>
    <w:rsid w:val="00882425"/>
    <w:rsid w:val="00882FC0"/>
    <w:rsid w:val="008843C4"/>
    <w:rsid w:val="00884423"/>
    <w:rsid w:val="00884440"/>
    <w:rsid w:val="00884DF9"/>
    <w:rsid w:val="008869A9"/>
    <w:rsid w:val="0088798D"/>
    <w:rsid w:val="00887F0D"/>
    <w:rsid w:val="008900E7"/>
    <w:rsid w:val="00891B10"/>
    <w:rsid w:val="0089211B"/>
    <w:rsid w:val="00892253"/>
    <w:rsid w:val="00892A84"/>
    <w:rsid w:val="00892F5F"/>
    <w:rsid w:val="00893A45"/>
    <w:rsid w:val="0089432C"/>
    <w:rsid w:val="008949FC"/>
    <w:rsid w:val="00894D10"/>
    <w:rsid w:val="008950F5"/>
    <w:rsid w:val="00895554"/>
    <w:rsid w:val="00897612"/>
    <w:rsid w:val="00897C3E"/>
    <w:rsid w:val="008A0473"/>
    <w:rsid w:val="008A078B"/>
    <w:rsid w:val="008A092E"/>
    <w:rsid w:val="008A0F7F"/>
    <w:rsid w:val="008A1ADC"/>
    <w:rsid w:val="008A1C09"/>
    <w:rsid w:val="008A1D48"/>
    <w:rsid w:val="008A1ECB"/>
    <w:rsid w:val="008A208F"/>
    <w:rsid w:val="008A2770"/>
    <w:rsid w:val="008A2A13"/>
    <w:rsid w:val="008A35DD"/>
    <w:rsid w:val="008A3978"/>
    <w:rsid w:val="008A4491"/>
    <w:rsid w:val="008A4577"/>
    <w:rsid w:val="008A4CDF"/>
    <w:rsid w:val="008A608D"/>
    <w:rsid w:val="008A62AC"/>
    <w:rsid w:val="008A6B71"/>
    <w:rsid w:val="008A6F94"/>
    <w:rsid w:val="008A7115"/>
    <w:rsid w:val="008B10A1"/>
    <w:rsid w:val="008B1D65"/>
    <w:rsid w:val="008B29AA"/>
    <w:rsid w:val="008B4A5B"/>
    <w:rsid w:val="008B4BD9"/>
    <w:rsid w:val="008B5C70"/>
    <w:rsid w:val="008B5E37"/>
    <w:rsid w:val="008B5F40"/>
    <w:rsid w:val="008B616A"/>
    <w:rsid w:val="008B64A6"/>
    <w:rsid w:val="008B683C"/>
    <w:rsid w:val="008B68CC"/>
    <w:rsid w:val="008B796D"/>
    <w:rsid w:val="008B7A1D"/>
    <w:rsid w:val="008C0731"/>
    <w:rsid w:val="008C0BBC"/>
    <w:rsid w:val="008C0DBC"/>
    <w:rsid w:val="008C1161"/>
    <w:rsid w:val="008C1717"/>
    <w:rsid w:val="008C19B7"/>
    <w:rsid w:val="008C1A32"/>
    <w:rsid w:val="008C1AF5"/>
    <w:rsid w:val="008C1CD3"/>
    <w:rsid w:val="008C29D1"/>
    <w:rsid w:val="008C3A6A"/>
    <w:rsid w:val="008C4681"/>
    <w:rsid w:val="008C545C"/>
    <w:rsid w:val="008C55FD"/>
    <w:rsid w:val="008C574D"/>
    <w:rsid w:val="008C5B22"/>
    <w:rsid w:val="008C5D39"/>
    <w:rsid w:val="008C5D9A"/>
    <w:rsid w:val="008C667C"/>
    <w:rsid w:val="008C67F9"/>
    <w:rsid w:val="008C68D4"/>
    <w:rsid w:val="008C6C43"/>
    <w:rsid w:val="008C6E5F"/>
    <w:rsid w:val="008C75A9"/>
    <w:rsid w:val="008C7B2F"/>
    <w:rsid w:val="008D077F"/>
    <w:rsid w:val="008D0BCC"/>
    <w:rsid w:val="008D14D0"/>
    <w:rsid w:val="008D1A26"/>
    <w:rsid w:val="008D1ACD"/>
    <w:rsid w:val="008D2573"/>
    <w:rsid w:val="008D27CC"/>
    <w:rsid w:val="008D34E5"/>
    <w:rsid w:val="008D4738"/>
    <w:rsid w:val="008D4B24"/>
    <w:rsid w:val="008D4C64"/>
    <w:rsid w:val="008D53FA"/>
    <w:rsid w:val="008D592D"/>
    <w:rsid w:val="008D62D0"/>
    <w:rsid w:val="008D633B"/>
    <w:rsid w:val="008D6DBF"/>
    <w:rsid w:val="008D7F02"/>
    <w:rsid w:val="008E14F4"/>
    <w:rsid w:val="008E1B4D"/>
    <w:rsid w:val="008E21C7"/>
    <w:rsid w:val="008E47EE"/>
    <w:rsid w:val="008E56B5"/>
    <w:rsid w:val="008E6451"/>
    <w:rsid w:val="008E68E0"/>
    <w:rsid w:val="008E7505"/>
    <w:rsid w:val="008E7732"/>
    <w:rsid w:val="008E7EFE"/>
    <w:rsid w:val="008E7F6E"/>
    <w:rsid w:val="008E7FD7"/>
    <w:rsid w:val="008F10B3"/>
    <w:rsid w:val="008F163B"/>
    <w:rsid w:val="008F305B"/>
    <w:rsid w:val="008F3083"/>
    <w:rsid w:val="008F32A8"/>
    <w:rsid w:val="008F33C2"/>
    <w:rsid w:val="008F3857"/>
    <w:rsid w:val="008F4205"/>
    <w:rsid w:val="008F4A28"/>
    <w:rsid w:val="008F5776"/>
    <w:rsid w:val="008F6150"/>
    <w:rsid w:val="008F6D06"/>
    <w:rsid w:val="009002D5"/>
    <w:rsid w:val="009006BD"/>
    <w:rsid w:val="00900996"/>
    <w:rsid w:val="00900B92"/>
    <w:rsid w:val="009020EF"/>
    <w:rsid w:val="00902693"/>
    <w:rsid w:val="00902AC6"/>
    <w:rsid w:val="009037E7"/>
    <w:rsid w:val="00903A16"/>
    <w:rsid w:val="009045AF"/>
    <w:rsid w:val="00904CA1"/>
    <w:rsid w:val="00904E7A"/>
    <w:rsid w:val="00905FAA"/>
    <w:rsid w:val="0090653B"/>
    <w:rsid w:val="009067F8"/>
    <w:rsid w:val="00906866"/>
    <w:rsid w:val="009068A8"/>
    <w:rsid w:val="009068B3"/>
    <w:rsid w:val="00906D0A"/>
    <w:rsid w:val="009079DF"/>
    <w:rsid w:val="00907A86"/>
    <w:rsid w:val="00907DA7"/>
    <w:rsid w:val="009104A7"/>
    <w:rsid w:val="009104D6"/>
    <w:rsid w:val="00910813"/>
    <w:rsid w:val="009108DE"/>
    <w:rsid w:val="00910A5E"/>
    <w:rsid w:val="00910C68"/>
    <w:rsid w:val="00911910"/>
    <w:rsid w:val="00911EA5"/>
    <w:rsid w:val="009125E7"/>
    <w:rsid w:val="009136D4"/>
    <w:rsid w:val="00913B29"/>
    <w:rsid w:val="009150D4"/>
    <w:rsid w:val="00915163"/>
    <w:rsid w:val="009168BF"/>
    <w:rsid w:val="00916E32"/>
    <w:rsid w:val="00916F17"/>
    <w:rsid w:val="00916FA9"/>
    <w:rsid w:val="00917B2A"/>
    <w:rsid w:val="00917CB6"/>
    <w:rsid w:val="00917D62"/>
    <w:rsid w:val="00917E5D"/>
    <w:rsid w:val="009206BE"/>
    <w:rsid w:val="00920C86"/>
    <w:rsid w:val="0092185C"/>
    <w:rsid w:val="00922432"/>
    <w:rsid w:val="009229E0"/>
    <w:rsid w:val="00923B89"/>
    <w:rsid w:val="00923F9C"/>
    <w:rsid w:val="00924D6B"/>
    <w:rsid w:val="00926325"/>
    <w:rsid w:val="009266CF"/>
    <w:rsid w:val="0092673A"/>
    <w:rsid w:val="00926976"/>
    <w:rsid w:val="00926D04"/>
    <w:rsid w:val="00926F71"/>
    <w:rsid w:val="009276D0"/>
    <w:rsid w:val="009306FB"/>
    <w:rsid w:val="00930733"/>
    <w:rsid w:val="009309D8"/>
    <w:rsid w:val="00932100"/>
    <w:rsid w:val="00932397"/>
    <w:rsid w:val="00932AC4"/>
    <w:rsid w:val="00932C3A"/>
    <w:rsid w:val="00933B0D"/>
    <w:rsid w:val="009344B6"/>
    <w:rsid w:val="00935153"/>
    <w:rsid w:val="00935352"/>
    <w:rsid w:val="009364F7"/>
    <w:rsid w:val="009365BE"/>
    <w:rsid w:val="00936CBF"/>
    <w:rsid w:val="00937852"/>
    <w:rsid w:val="00940F12"/>
    <w:rsid w:val="00941610"/>
    <w:rsid w:val="0094315A"/>
    <w:rsid w:val="009434F9"/>
    <w:rsid w:val="009454B4"/>
    <w:rsid w:val="00946E2F"/>
    <w:rsid w:val="009471E2"/>
    <w:rsid w:val="0094739C"/>
    <w:rsid w:val="00947458"/>
    <w:rsid w:val="00947AF3"/>
    <w:rsid w:val="009500C6"/>
    <w:rsid w:val="00950504"/>
    <w:rsid w:val="00950D84"/>
    <w:rsid w:val="009541ED"/>
    <w:rsid w:val="009544BA"/>
    <w:rsid w:val="0095489B"/>
    <w:rsid w:val="00954C38"/>
    <w:rsid w:val="00954C93"/>
    <w:rsid w:val="009552ED"/>
    <w:rsid w:val="00955E11"/>
    <w:rsid w:val="00956717"/>
    <w:rsid w:val="009576E0"/>
    <w:rsid w:val="00957743"/>
    <w:rsid w:val="00960775"/>
    <w:rsid w:val="00960CDA"/>
    <w:rsid w:val="00960EC8"/>
    <w:rsid w:val="00961433"/>
    <w:rsid w:val="00961950"/>
    <w:rsid w:val="00961D65"/>
    <w:rsid w:val="00963C60"/>
    <w:rsid w:val="00963D62"/>
    <w:rsid w:val="00965764"/>
    <w:rsid w:val="009657B7"/>
    <w:rsid w:val="00965944"/>
    <w:rsid w:val="00965E2F"/>
    <w:rsid w:val="00966482"/>
    <w:rsid w:val="0096696C"/>
    <w:rsid w:val="00970FCB"/>
    <w:rsid w:val="009711A1"/>
    <w:rsid w:val="00971590"/>
    <w:rsid w:val="00973BDC"/>
    <w:rsid w:val="00974DB6"/>
    <w:rsid w:val="00975BBC"/>
    <w:rsid w:val="00975C7D"/>
    <w:rsid w:val="0097653D"/>
    <w:rsid w:val="00976D83"/>
    <w:rsid w:val="0097790C"/>
    <w:rsid w:val="0098031F"/>
    <w:rsid w:val="00980420"/>
    <w:rsid w:val="00982570"/>
    <w:rsid w:val="009828B5"/>
    <w:rsid w:val="00982FDB"/>
    <w:rsid w:val="00983247"/>
    <w:rsid w:val="00983C6B"/>
    <w:rsid w:val="00983E8B"/>
    <w:rsid w:val="00984D9F"/>
    <w:rsid w:val="00984F3A"/>
    <w:rsid w:val="009857B0"/>
    <w:rsid w:val="00985FB4"/>
    <w:rsid w:val="00986B33"/>
    <w:rsid w:val="009876CC"/>
    <w:rsid w:val="00990157"/>
    <w:rsid w:val="00990279"/>
    <w:rsid w:val="0099031A"/>
    <w:rsid w:val="00990360"/>
    <w:rsid w:val="00990EFF"/>
    <w:rsid w:val="0099174B"/>
    <w:rsid w:val="009917EF"/>
    <w:rsid w:val="00991D80"/>
    <w:rsid w:val="0099241B"/>
    <w:rsid w:val="0099283F"/>
    <w:rsid w:val="00992FB3"/>
    <w:rsid w:val="009935FC"/>
    <w:rsid w:val="009937E0"/>
    <w:rsid w:val="00993B35"/>
    <w:rsid w:val="00993DE2"/>
    <w:rsid w:val="009953E9"/>
    <w:rsid w:val="0099550E"/>
    <w:rsid w:val="0099570F"/>
    <w:rsid w:val="00996196"/>
    <w:rsid w:val="0099638F"/>
    <w:rsid w:val="00996D48"/>
    <w:rsid w:val="009A00D8"/>
    <w:rsid w:val="009A037C"/>
    <w:rsid w:val="009A0850"/>
    <w:rsid w:val="009A0D8F"/>
    <w:rsid w:val="009A0F84"/>
    <w:rsid w:val="009A134E"/>
    <w:rsid w:val="009A14A3"/>
    <w:rsid w:val="009A1855"/>
    <w:rsid w:val="009A26E9"/>
    <w:rsid w:val="009A3453"/>
    <w:rsid w:val="009A460C"/>
    <w:rsid w:val="009A4635"/>
    <w:rsid w:val="009A5080"/>
    <w:rsid w:val="009A51DF"/>
    <w:rsid w:val="009A53D0"/>
    <w:rsid w:val="009A58C2"/>
    <w:rsid w:val="009A5E0B"/>
    <w:rsid w:val="009A6103"/>
    <w:rsid w:val="009A645A"/>
    <w:rsid w:val="009A651A"/>
    <w:rsid w:val="009B2526"/>
    <w:rsid w:val="009B3449"/>
    <w:rsid w:val="009B3DB2"/>
    <w:rsid w:val="009B481B"/>
    <w:rsid w:val="009B4F26"/>
    <w:rsid w:val="009B51FB"/>
    <w:rsid w:val="009B5A90"/>
    <w:rsid w:val="009B5F9F"/>
    <w:rsid w:val="009B6827"/>
    <w:rsid w:val="009B71BD"/>
    <w:rsid w:val="009B7F7B"/>
    <w:rsid w:val="009B7F81"/>
    <w:rsid w:val="009C02EA"/>
    <w:rsid w:val="009C03C6"/>
    <w:rsid w:val="009C196D"/>
    <w:rsid w:val="009C1E4B"/>
    <w:rsid w:val="009C205A"/>
    <w:rsid w:val="009C298A"/>
    <w:rsid w:val="009C364E"/>
    <w:rsid w:val="009C3ECA"/>
    <w:rsid w:val="009C4E7F"/>
    <w:rsid w:val="009C5D23"/>
    <w:rsid w:val="009C6109"/>
    <w:rsid w:val="009C63B7"/>
    <w:rsid w:val="009C769C"/>
    <w:rsid w:val="009D054E"/>
    <w:rsid w:val="009D0EEC"/>
    <w:rsid w:val="009D0FB4"/>
    <w:rsid w:val="009D202E"/>
    <w:rsid w:val="009D29EB"/>
    <w:rsid w:val="009D2A00"/>
    <w:rsid w:val="009D2D6E"/>
    <w:rsid w:val="009D3789"/>
    <w:rsid w:val="009D4097"/>
    <w:rsid w:val="009D4815"/>
    <w:rsid w:val="009D4E63"/>
    <w:rsid w:val="009D547C"/>
    <w:rsid w:val="009D56F8"/>
    <w:rsid w:val="009D5770"/>
    <w:rsid w:val="009D58F6"/>
    <w:rsid w:val="009D5BFA"/>
    <w:rsid w:val="009D5CB2"/>
    <w:rsid w:val="009D6005"/>
    <w:rsid w:val="009D61CE"/>
    <w:rsid w:val="009D6DC2"/>
    <w:rsid w:val="009D7E41"/>
    <w:rsid w:val="009E139D"/>
    <w:rsid w:val="009E186B"/>
    <w:rsid w:val="009E2535"/>
    <w:rsid w:val="009E2A2D"/>
    <w:rsid w:val="009E2AEB"/>
    <w:rsid w:val="009E334B"/>
    <w:rsid w:val="009E52B4"/>
    <w:rsid w:val="009E580E"/>
    <w:rsid w:val="009E5914"/>
    <w:rsid w:val="009E61C8"/>
    <w:rsid w:val="009E61F3"/>
    <w:rsid w:val="009E7D57"/>
    <w:rsid w:val="009E7DF0"/>
    <w:rsid w:val="009E7EE9"/>
    <w:rsid w:val="009E7F33"/>
    <w:rsid w:val="009F003C"/>
    <w:rsid w:val="009F06DD"/>
    <w:rsid w:val="009F072D"/>
    <w:rsid w:val="009F1017"/>
    <w:rsid w:val="009F10A2"/>
    <w:rsid w:val="009F1110"/>
    <w:rsid w:val="009F12A1"/>
    <w:rsid w:val="009F1586"/>
    <w:rsid w:val="009F18A1"/>
    <w:rsid w:val="009F25BF"/>
    <w:rsid w:val="009F27D1"/>
    <w:rsid w:val="009F334E"/>
    <w:rsid w:val="009F3E94"/>
    <w:rsid w:val="009F3F5C"/>
    <w:rsid w:val="009F41F8"/>
    <w:rsid w:val="009F49C4"/>
    <w:rsid w:val="009F4A71"/>
    <w:rsid w:val="009F4C45"/>
    <w:rsid w:val="009F5659"/>
    <w:rsid w:val="009F5F16"/>
    <w:rsid w:val="009F6AD7"/>
    <w:rsid w:val="009F6F01"/>
    <w:rsid w:val="009F7010"/>
    <w:rsid w:val="009F705C"/>
    <w:rsid w:val="009F79D8"/>
    <w:rsid w:val="009F7C68"/>
    <w:rsid w:val="00A00305"/>
    <w:rsid w:val="00A0038F"/>
    <w:rsid w:val="00A0092F"/>
    <w:rsid w:val="00A00986"/>
    <w:rsid w:val="00A009A0"/>
    <w:rsid w:val="00A00EEA"/>
    <w:rsid w:val="00A01688"/>
    <w:rsid w:val="00A01DF2"/>
    <w:rsid w:val="00A029CC"/>
    <w:rsid w:val="00A03F80"/>
    <w:rsid w:val="00A0590C"/>
    <w:rsid w:val="00A05ACB"/>
    <w:rsid w:val="00A05E82"/>
    <w:rsid w:val="00A061A3"/>
    <w:rsid w:val="00A06723"/>
    <w:rsid w:val="00A07F1C"/>
    <w:rsid w:val="00A102EC"/>
    <w:rsid w:val="00A10C49"/>
    <w:rsid w:val="00A1130D"/>
    <w:rsid w:val="00A11741"/>
    <w:rsid w:val="00A12027"/>
    <w:rsid w:val="00A1317D"/>
    <w:rsid w:val="00A13E2C"/>
    <w:rsid w:val="00A14164"/>
    <w:rsid w:val="00A146AA"/>
    <w:rsid w:val="00A14AC2"/>
    <w:rsid w:val="00A15696"/>
    <w:rsid w:val="00A158B9"/>
    <w:rsid w:val="00A158BA"/>
    <w:rsid w:val="00A15B9E"/>
    <w:rsid w:val="00A1768C"/>
    <w:rsid w:val="00A2038A"/>
    <w:rsid w:val="00A21967"/>
    <w:rsid w:val="00A223B1"/>
    <w:rsid w:val="00A226FD"/>
    <w:rsid w:val="00A2273A"/>
    <w:rsid w:val="00A22E02"/>
    <w:rsid w:val="00A22E94"/>
    <w:rsid w:val="00A236FD"/>
    <w:rsid w:val="00A25C92"/>
    <w:rsid w:val="00A25EDD"/>
    <w:rsid w:val="00A26197"/>
    <w:rsid w:val="00A26E6F"/>
    <w:rsid w:val="00A27439"/>
    <w:rsid w:val="00A27BF0"/>
    <w:rsid w:val="00A27C69"/>
    <w:rsid w:val="00A27EDE"/>
    <w:rsid w:val="00A3032C"/>
    <w:rsid w:val="00A309C1"/>
    <w:rsid w:val="00A30CEC"/>
    <w:rsid w:val="00A314BF"/>
    <w:rsid w:val="00A31705"/>
    <w:rsid w:val="00A31AFD"/>
    <w:rsid w:val="00A325F1"/>
    <w:rsid w:val="00A326AB"/>
    <w:rsid w:val="00A33F2C"/>
    <w:rsid w:val="00A34426"/>
    <w:rsid w:val="00A34BA6"/>
    <w:rsid w:val="00A34FCC"/>
    <w:rsid w:val="00A34FEC"/>
    <w:rsid w:val="00A353D1"/>
    <w:rsid w:val="00A35B9D"/>
    <w:rsid w:val="00A35DF4"/>
    <w:rsid w:val="00A36139"/>
    <w:rsid w:val="00A36166"/>
    <w:rsid w:val="00A3617D"/>
    <w:rsid w:val="00A36804"/>
    <w:rsid w:val="00A37273"/>
    <w:rsid w:val="00A3780E"/>
    <w:rsid w:val="00A37D6C"/>
    <w:rsid w:val="00A400E3"/>
    <w:rsid w:val="00A404DC"/>
    <w:rsid w:val="00A40A85"/>
    <w:rsid w:val="00A40CAF"/>
    <w:rsid w:val="00A41642"/>
    <w:rsid w:val="00A4282D"/>
    <w:rsid w:val="00A43D95"/>
    <w:rsid w:val="00A43E09"/>
    <w:rsid w:val="00A44CAE"/>
    <w:rsid w:val="00A4562F"/>
    <w:rsid w:val="00A45867"/>
    <w:rsid w:val="00A45C16"/>
    <w:rsid w:val="00A45E5F"/>
    <w:rsid w:val="00A469A0"/>
    <w:rsid w:val="00A47DFC"/>
    <w:rsid w:val="00A5073B"/>
    <w:rsid w:val="00A5094F"/>
    <w:rsid w:val="00A50AEB"/>
    <w:rsid w:val="00A50E20"/>
    <w:rsid w:val="00A50F68"/>
    <w:rsid w:val="00A513AE"/>
    <w:rsid w:val="00A53063"/>
    <w:rsid w:val="00A538BF"/>
    <w:rsid w:val="00A54914"/>
    <w:rsid w:val="00A54EC5"/>
    <w:rsid w:val="00A5592C"/>
    <w:rsid w:val="00A55F95"/>
    <w:rsid w:val="00A565BF"/>
    <w:rsid w:val="00A5693F"/>
    <w:rsid w:val="00A56A7F"/>
    <w:rsid w:val="00A56B6C"/>
    <w:rsid w:val="00A57974"/>
    <w:rsid w:val="00A60AEE"/>
    <w:rsid w:val="00A61733"/>
    <w:rsid w:val="00A61A3D"/>
    <w:rsid w:val="00A62C70"/>
    <w:rsid w:val="00A6370E"/>
    <w:rsid w:val="00A63D65"/>
    <w:rsid w:val="00A64DB1"/>
    <w:rsid w:val="00A64E05"/>
    <w:rsid w:val="00A6608F"/>
    <w:rsid w:val="00A66F1F"/>
    <w:rsid w:val="00A67594"/>
    <w:rsid w:val="00A67648"/>
    <w:rsid w:val="00A70448"/>
    <w:rsid w:val="00A70D11"/>
    <w:rsid w:val="00A71D07"/>
    <w:rsid w:val="00A71ED5"/>
    <w:rsid w:val="00A727F2"/>
    <w:rsid w:val="00A72965"/>
    <w:rsid w:val="00A72EB1"/>
    <w:rsid w:val="00A73D0E"/>
    <w:rsid w:val="00A74192"/>
    <w:rsid w:val="00A744DE"/>
    <w:rsid w:val="00A74BBF"/>
    <w:rsid w:val="00A750F9"/>
    <w:rsid w:val="00A757D7"/>
    <w:rsid w:val="00A77037"/>
    <w:rsid w:val="00A770F7"/>
    <w:rsid w:val="00A77401"/>
    <w:rsid w:val="00A7752F"/>
    <w:rsid w:val="00A778AE"/>
    <w:rsid w:val="00A77CA6"/>
    <w:rsid w:val="00A80BC9"/>
    <w:rsid w:val="00A81887"/>
    <w:rsid w:val="00A81AC2"/>
    <w:rsid w:val="00A81EA0"/>
    <w:rsid w:val="00A8297F"/>
    <w:rsid w:val="00A8313F"/>
    <w:rsid w:val="00A84A99"/>
    <w:rsid w:val="00A84C69"/>
    <w:rsid w:val="00A85135"/>
    <w:rsid w:val="00A86746"/>
    <w:rsid w:val="00A86C93"/>
    <w:rsid w:val="00A86C98"/>
    <w:rsid w:val="00A90379"/>
    <w:rsid w:val="00A906DA"/>
    <w:rsid w:val="00A91658"/>
    <w:rsid w:val="00A91681"/>
    <w:rsid w:val="00A91B51"/>
    <w:rsid w:val="00A920CF"/>
    <w:rsid w:val="00A9215B"/>
    <w:rsid w:val="00A9221F"/>
    <w:rsid w:val="00A9265E"/>
    <w:rsid w:val="00A934CC"/>
    <w:rsid w:val="00A956D4"/>
    <w:rsid w:val="00A95B77"/>
    <w:rsid w:val="00A95CDA"/>
    <w:rsid w:val="00A9600D"/>
    <w:rsid w:val="00A962DC"/>
    <w:rsid w:val="00A96311"/>
    <w:rsid w:val="00A96F72"/>
    <w:rsid w:val="00A9721C"/>
    <w:rsid w:val="00A97572"/>
    <w:rsid w:val="00A97DCF"/>
    <w:rsid w:val="00AA0C86"/>
    <w:rsid w:val="00AA1869"/>
    <w:rsid w:val="00AA1C46"/>
    <w:rsid w:val="00AA31C0"/>
    <w:rsid w:val="00AA3936"/>
    <w:rsid w:val="00AA3F2C"/>
    <w:rsid w:val="00AA3F37"/>
    <w:rsid w:val="00AA411B"/>
    <w:rsid w:val="00AA4E8C"/>
    <w:rsid w:val="00AA517E"/>
    <w:rsid w:val="00AA518A"/>
    <w:rsid w:val="00AA5665"/>
    <w:rsid w:val="00AA5A80"/>
    <w:rsid w:val="00AA62F4"/>
    <w:rsid w:val="00AA7034"/>
    <w:rsid w:val="00AA77B3"/>
    <w:rsid w:val="00AA7E80"/>
    <w:rsid w:val="00AB0477"/>
    <w:rsid w:val="00AB050A"/>
    <w:rsid w:val="00AB12EB"/>
    <w:rsid w:val="00AB1643"/>
    <w:rsid w:val="00AB1B93"/>
    <w:rsid w:val="00AB4BFF"/>
    <w:rsid w:val="00AB4CC4"/>
    <w:rsid w:val="00AB4E8C"/>
    <w:rsid w:val="00AB5242"/>
    <w:rsid w:val="00AB551A"/>
    <w:rsid w:val="00AB697F"/>
    <w:rsid w:val="00AB712E"/>
    <w:rsid w:val="00AB7308"/>
    <w:rsid w:val="00AB76A9"/>
    <w:rsid w:val="00AB77B5"/>
    <w:rsid w:val="00AC0775"/>
    <w:rsid w:val="00AC0829"/>
    <w:rsid w:val="00AC1495"/>
    <w:rsid w:val="00AC22DE"/>
    <w:rsid w:val="00AC2AC2"/>
    <w:rsid w:val="00AC33C2"/>
    <w:rsid w:val="00AC5376"/>
    <w:rsid w:val="00AC5C56"/>
    <w:rsid w:val="00AC5E8F"/>
    <w:rsid w:val="00AC613A"/>
    <w:rsid w:val="00AC6302"/>
    <w:rsid w:val="00AC6F07"/>
    <w:rsid w:val="00AC736A"/>
    <w:rsid w:val="00AC7C14"/>
    <w:rsid w:val="00AD05DB"/>
    <w:rsid w:val="00AD0807"/>
    <w:rsid w:val="00AD1297"/>
    <w:rsid w:val="00AD175C"/>
    <w:rsid w:val="00AD1825"/>
    <w:rsid w:val="00AD2D63"/>
    <w:rsid w:val="00AD3188"/>
    <w:rsid w:val="00AD389C"/>
    <w:rsid w:val="00AD3FED"/>
    <w:rsid w:val="00AD4198"/>
    <w:rsid w:val="00AD4B48"/>
    <w:rsid w:val="00AD4B87"/>
    <w:rsid w:val="00AD4E1E"/>
    <w:rsid w:val="00AD4FC3"/>
    <w:rsid w:val="00AD56EE"/>
    <w:rsid w:val="00AD6712"/>
    <w:rsid w:val="00AD67E3"/>
    <w:rsid w:val="00AD69DD"/>
    <w:rsid w:val="00AD7522"/>
    <w:rsid w:val="00AD7B22"/>
    <w:rsid w:val="00AE02F0"/>
    <w:rsid w:val="00AE054C"/>
    <w:rsid w:val="00AE1987"/>
    <w:rsid w:val="00AE1AB4"/>
    <w:rsid w:val="00AE1F48"/>
    <w:rsid w:val="00AE2197"/>
    <w:rsid w:val="00AE21A9"/>
    <w:rsid w:val="00AE2528"/>
    <w:rsid w:val="00AE25DF"/>
    <w:rsid w:val="00AE3359"/>
    <w:rsid w:val="00AE4BBD"/>
    <w:rsid w:val="00AE5502"/>
    <w:rsid w:val="00AE5F43"/>
    <w:rsid w:val="00AE6310"/>
    <w:rsid w:val="00AE6696"/>
    <w:rsid w:val="00AE6820"/>
    <w:rsid w:val="00AE68C6"/>
    <w:rsid w:val="00AE6BF2"/>
    <w:rsid w:val="00AE6D0F"/>
    <w:rsid w:val="00AE6DB8"/>
    <w:rsid w:val="00AF011A"/>
    <w:rsid w:val="00AF0F12"/>
    <w:rsid w:val="00AF0F71"/>
    <w:rsid w:val="00AF118B"/>
    <w:rsid w:val="00AF1C58"/>
    <w:rsid w:val="00AF2794"/>
    <w:rsid w:val="00AF384D"/>
    <w:rsid w:val="00AF392A"/>
    <w:rsid w:val="00AF3D67"/>
    <w:rsid w:val="00AF4F2E"/>
    <w:rsid w:val="00AF52A3"/>
    <w:rsid w:val="00AF53E5"/>
    <w:rsid w:val="00AF5DF1"/>
    <w:rsid w:val="00AF659B"/>
    <w:rsid w:val="00AF65F1"/>
    <w:rsid w:val="00AF663B"/>
    <w:rsid w:val="00AF740E"/>
    <w:rsid w:val="00AF7CB2"/>
    <w:rsid w:val="00AF7EFE"/>
    <w:rsid w:val="00B00253"/>
    <w:rsid w:val="00B004E4"/>
    <w:rsid w:val="00B01307"/>
    <w:rsid w:val="00B01BCE"/>
    <w:rsid w:val="00B027F7"/>
    <w:rsid w:val="00B02A7E"/>
    <w:rsid w:val="00B03542"/>
    <w:rsid w:val="00B03E07"/>
    <w:rsid w:val="00B03F55"/>
    <w:rsid w:val="00B0449C"/>
    <w:rsid w:val="00B0462E"/>
    <w:rsid w:val="00B046C8"/>
    <w:rsid w:val="00B0475D"/>
    <w:rsid w:val="00B049D3"/>
    <w:rsid w:val="00B05005"/>
    <w:rsid w:val="00B053B4"/>
    <w:rsid w:val="00B0541A"/>
    <w:rsid w:val="00B05512"/>
    <w:rsid w:val="00B05CAF"/>
    <w:rsid w:val="00B05EFC"/>
    <w:rsid w:val="00B05F3B"/>
    <w:rsid w:val="00B06087"/>
    <w:rsid w:val="00B060D2"/>
    <w:rsid w:val="00B064E9"/>
    <w:rsid w:val="00B06847"/>
    <w:rsid w:val="00B068AC"/>
    <w:rsid w:val="00B07113"/>
    <w:rsid w:val="00B073DE"/>
    <w:rsid w:val="00B075A7"/>
    <w:rsid w:val="00B10014"/>
    <w:rsid w:val="00B103EB"/>
    <w:rsid w:val="00B104AA"/>
    <w:rsid w:val="00B1053F"/>
    <w:rsid w:val="00B10603"/>
    <w:rsid w:val="00B10D25"/>
    <w:rsid w:val="00B10EBA"/>
    <w:rsid w:val="00B115B4"/>
    <w:rsid w:val="00B11FE1"/>
    <w:rsid w:val="00B12C0B"/>
    <w:rsid w:val="00B12C4A"/>
    <w:rsid w:val="00B12F75"/>
    <w:rsid w:val="00B14344"/>
    <w:rsid w:val="00B149BC"/>
    <w:rsid w:val="00B14D97"/>
    <w:rsid w:val="00B14F0F"/>
    <w:rsid w:val="00B16718"/>
    <w:rsid w:val="00B17CEA"/>
    <w:rsid w:val="00B17F8B"/>
    <w:rsid w:val="00B20ED8"/>
    <w:rsid w:val="00B20FCA"/>
    <w:rsid w:val="00B2133E"/>
    <w:rsid w:val="00B24634"/>
    <w:rsid w:val="00B25482"/>
    <w:rsid w:val="00B2576F"/>
    <w:rsid w:val="00B26317"/>
    <w:rsid w:val="00B27036"/>
    <w:rsid w:val="00B27331"/>
    <w:rsid w:val="00B27661"/>
    <w:rsid w:val="00B301C5"/>
    <w:rsid w:val="00B3073F"/>
    <w:rsid w:val="00B30E97"/>
    <w:rsid w:val="00B3122A"/>
    <w:rsid w:val="00B31F77"/>
    <w:rsid w:val="00B32215"/>
    <w:rsid w:val="00B32301"/>
    <w:rsid w:val="00B3267A"/>
    <w:rsid w:val="00B33F74"/>
    <w:rsid w:val="00B34085"/>
    <w:rsid w:val="00B34C4B"/>
    <w:rsid w:val="00B3566D"/>
    <w:rsid w:val="00B35A31"/>
    <w:rsid w:val="00B35B27"/>
    <w:rsid w:val="00B37912"/>
    <w:rsid w:val="00B40795"/>
    <w:rsid w:val="00B4092C"/>
    <w:rsid w:val="00B40D06"/>
    <w:rsid w:val="00B41DC8"/>
    <w:rsid w:val="00B42729"/>
    <w:rsid w:val="00B42D6C"/>
    <w:rsid w:val="00B45E0F"/>
    <w:rsid w:val="00B46380"/>
    <w:rsid w:val="00B46AE6"/>
    <w:rsid w:val="00B47414"/>
    <w:rsid w:val="00B475DF"/>
    <w:rsid w:val="00B50AAF"/>
    <w:rsid w:val="00B50B1A"/>
    <w:rsid w:val="00B522FE"/>
    <w:rsid w:val="00B5264D"/>
    <w:rsid w:val="00B52B64"/>
    <w:rsid w:val="00B53229"/>
    <w:rsid w:val="00B5330E"/>
    <w:rsid w:val="00B5331A"/>
    <w:rsid w:val="00B54FA3"/>
    <w:rsid w:val="00B55079"/>
    <w:rsid w:val="00B55596"/>
    <w:rsid w:val="00B555FD"/>
    <w:rsid w:val="00B559BF"/>
    <w:rsid w:val="00B55A1C"/>
    <w:rsid w:val="00B565F2"/>
    <w:rsid w:val="00B5685C"/>
    <w:rsid w:val="00B56CBF"/>
    <w:rsid w:val="00B574DE"/>
    <w:rsid w:val="00B60B53"/>
    <w:rsid w:val="00B60D4F"/>
    <w:rsid w:val="00B61530"/>
    <w:rsid w:val="00B6199E"/>
    <w:rsid w:val="00B61D93"/>
    <w:rsid w:val="00B62274"/>
    <w:rsid w:val="00B62299"/>
    <w:rsid w:val="00B633F0"/>
    <w:rsid w:val="00B635F6"/>
    <w:rsid w:val="00B63B76"/>
    <w:rsid w:val="00B65AD8"/>
    <w:rsid w:val="00B65B0F"/>
    <w:rsid w:val="00B65DBB"/>
    <w:rsid w:val="00B662B2"/>
    <w:rsid w:val="00B66DE5"/>
    <w:rsid w:val="00B67785"/>
    <w:rsid w:val="00B70350"/>
    <w:rsid w:val="00B70A1B"/>
    <w:rsid w:val="00B70D06"/>
    <w:rsid w:val="00B70DD0"/>
    <w:rsid w:val="00B70E10"/>
    <w:rsid w:val="00B70E52"/>
    <w:rsid w:val="00B71A97"/>
    <w:rsid w:val="00B71B25"/>
    <w:rsid w:val="00B71C5D"/>
    <w:rsid w:val="00B7208C"/>
    <w:rsid w:val="00B749DA"/>
    <w:rsid w:val="00B753CE"/>
    <w:rsid w:val="00B75E04"/>
    <w:rsid w:val="00B76540"/>
    <w:rsid w:val="00B765CF"/>
    <w:rsid w:val="00B766DB"/>
    <w:rsid w:val="00B76B8D"/>
    <w:rsid w:val="00B777B2"/>
    <w:rsid w:val="00B80DFA"/>
    <w:rsid w:val="00B81749"/>
    <w:rsid w:val="00B818BF"/>
    <w:rsid w:val="00B81ECB"/>
    <w:rsid w:val="00B82EB0"/>
    <w:rsid w:val="00B831E3"/>
    <w:rsid w:val="00B83C70"/>
    <w:rsid w:val="00B84014"/>
    <w:rsid w:val="00B84701"/>
    <w:rsid w:val="00B84998"/>
    <w:rsid w:val="00B84FB7"/>
    <w:rsid w:val="00B85074"/>
    <w:rsid w:val="00B85276"/>
    <w:rsid w:val="00B86191"/>
    <w:rsid w:val="00B87174"/>
    <w:rsid w:val="00B8736D"/>
    <w:rsid w:val="00B8780D"/>
    <w:rsid w:val="00B8782C"/>
    <w:rsid w:val="00B90C30"/>
    <w:rsid w:val="00B90E68"/>
    <w:rsid w:val="00B921EB"/>
    <w:rsid w:val="00B92393"/>
    <w:rsid w:val="00B92986"/>
    <w:rsid w:val="00B93754"/>
    <w:rsid w:val="00B93E5B"/>
    <w:rsid w:val="00B94009"/>
    <w:rsid w:val="00B94683"/>
    <w:rsid w:val="00B957D4"/>
    <w:rsid w:val="00B95C1D"/>
    <w:rsid w:val="00B95DF6"/>
    <w:rsid w:val="00B95FC7"/>
    <w:rsid w:val="00B964B0"/>
    <w:rsid w:val="00B96837"/>
    <w:rsid w:val="00B970E8"/>
    <w:rsid w:val="00B97982"/>
    <w:rsid w:val="00BA1081"/>
    <w:rsid w:val="00BA1CF5"/>
    <w:rsid w:val="00BA2AA8"/>
    <w:rsid w:val="00BA2CBF"/>
    <w:rsid w:val="00BA33B0"/>
    <w:rsid w:val="00BA4411"/>
    <w:rsid w:val="00BA4D44"/>
    <w:rsid w:val="00BA558B"/>
    <w:rsid w:val="00BA5B23"/>
    <w:rsid w:val="00BA5C6E"/>
    <w:rsid w:val="00BA6913"/>
    <w:rsid w:val="00BA725F"/>
    <w:rsid w:val="00BA72FD"/>
    <w:rsid w:val="00BA75EB"/>
    <w:rsid w:val="00BA7BAA"/>
    <w:rsid w:val="00BA7E81"/>
    <w:rsid w:val="00BB05A3"/>
    <w:rsid w:val="00BB0777"/>
    <w:rsid w:val="00BB11B6"/>
    <w:rsid w:val="00BB1377"/>
    <w:rsid w:val="00BB14CD"/>
    <w:rsid w:val="00BB14EC"/>
    <w:rsid w:val="00BB31F3"/>
    <w:rsid w:val="00BB461D"/>
    <w:rsid w:val="00BB4777"/>
    <w:rsid w:val="00BB4B5C"/>
    <w:rsid w:val="00BB5272"/>
    <w:rsid w:val="00BB5F2D"/>
    <w:rsid w:val="00BB6E7B"/>
    <w:rsid w:val="00BB7024"/>
    <w:rsid w:val="00BB781E"/>
    <w:rsid w:val="00BB7E0E"/>
    <w:rsid w:val="00BC0119"/>
    <w:rsid w:val="00BC07DF"/>
    <w:rsid w:val="00BC1D0D"/>
    <w:rsid w:val="00BC20EC"/>
    <w:rsid w:val="00BC2189"/>
    <w:rsid w:val="00BC2934"/>
    <w:rsid w:val="00BC2B89"/>
    <w:rsid w:val="00BC355A"/>
    <w:rsid w:val="00BC3A48"/>
    <w:rsid w:val="00BC3E18"/>
    <w:rsid w:val="00BC43F8"/>
    <w:rsid w:val="00BC4648"/>
    <w:rsid w:val="00BC59DA"/>
    <w:rsid w:val="00BC6455"/>
    <w:rsid w:val="00BC6742"/>
    <w:rsid w:val="00BC6D78"/>
    <w:rsid w:val="00BC7998"/>
    <w:rsid w:val="00BC7C85"/>
    <w:rsid w:val="00BD1B51"/>
    <w:rsid w:val="00BD1E99"/>
    <w:rsid w:val="00BD225D"/>
    <w:rsid w:val="00BD447D"/>
    <w:rsid w:val="00BD4520"/>
    <w:rsid w:val="00BD53C3"/>
    <w:rsid w:val="00BD5962"/>
    <w:rsid w:val="00BD774C"/>
    <w:rsid w:val="00BD79A9"/>
    <w:rsid w:val="00BD7C07"/>
    <w:rsid w:val="00BE04B6"/>
    <w:rsid w:val="00BE0A4D"/>
    <w:rsid w:val="00BE0A91"/>
    <w:rsid w:val="00BE1A91"/>
    <w:rsid w:val="00BE242E"/>
    <w:rsid w:val="00BE335F"/>
    <w:rsid w:val="00BE3604"/>
    <w:rsid w:val="00BE5928"/>
    <w:rsid w:val="00BE5C84"/>
    <w:rsid w:val="00BE7034"/>
    <w:rsid w:val="00BE70C9"/>
    <w:rsid w:val="00BE73F5"/>
    <w:rsid w:val="00BE7761"/>
    <w:rsid w:val="00BE7DB5"/>
    <w:rsid w:val="00BF0518"/>
    <w:rsid w:val="00BF07F3"/>
    <w:rsid w:val="00BF20A5"/>
    <w:rsid w:val="00BF235E"/>
    <w:rsid w:val="00BF2587"/>
    <w:rsid w:val="00BF2A0D"/>
    <w:rsid w:val="00BF393A"/>
    <w:rsid w:val="00BF4439"/>
    <w:rsid w:val="00BF4630"/>
    <w:rsid w:val="00BF4748"/>
    <w:rsid w:val="00BF5109"/>
    <w:rsid w:val="00BF5336"/>
    <w:rsid w:val="00BF5D4F"/>
    <w:rsid w:val="00BF6135"/>
    <w:rsid w:val="00BF66F5"/>
    <w:rsid w:val="00BF6B4B"/>
    <w:rsid w:val="00BF6B52"/>
    <w:rsid w:val="00BF6CBA"/>
    <w:rsid w:val="00BF6E41"/>
    <w:rsid w:val="00BF78CF"/>
    <w:rsid w:val="00BF7D76"/>
    <w:rsid w:val="00BF7FB3"/>
    <w:rsid w:val="00C00493"/>
    <w:rsid w:val="00C015D3"/>
    <w:rsid w:val="00C01A11"/>
    <w:rsid w:val="00C02270"/>
    <w:rsid w:val="00C02F1D"/>
    <w:rsid w:val="00C0341E"/>
    <w:rsid w:val="00C038D4"/>
    <w:rsid w:val="00C04916"/>
    <w:rsid w:val="00C05516"/>
    <w:rsid w:val="00C0580B"/>
    <w:rsid w:val="00C06115"/>
    <w:rsid w:val="00C067AE"/>
    <w:rsid w:val="00C06921"/>
    <w:rsid w:val="00C07E60"/>
    <w:rsid w:val="00C1052B"/>
    <w:rsid w:val="00C10667"/>
    <w:rsid w:val="00C111F6"/>
    <w:rsid w:val="00C12594"/>
    <w:rsid w:val="00C12ACB"/>
    <w:rsid w:val="00C12F32"/>
    <w:rsid w:val="00C13246"/>
    <w:rsid w:val="00C147F4"/>
    <w:rsid w:val="00C154A7"/>
    <w:rsid w:val="00C155D8"/>
    <w:rsid w:val="00C156AA"/>
    <w:rsid w:val="00C15B85"/>
    <w:rsid w:val="00C166BA"/>
    <w:rsid w:val="00C17F52"/>
    <w:rsid w:val="00C17FF2"/>
    <w:rsid w:val="00C21624"/>
    <w:rsid w:val="00C21FCA"/>
    <w:rsid w:val="00C23520"/>
    <w:rsid w:val="00C2381C"/>
    <w:rsid w:val="00C24AD8"/>
    <w:rsid w:val="00C2509B"/>
    <w:rsid w:val="00C251FC"/>
    <w:rsid w:val="00C252E3"/>
    <w:rsid w:val="00C26043"/>
    <w:rsid w:val="00C26EDB"/>
    <w:rsid w:val="00C2749E"/>
    <w:rsid w:val="00C27E1A"/>
    <w:rsid w:val="00C27E6E"/>
    <w:rsid w:val="00C30283"/>
    <w:rsid w:val="00C3096B"/>
    <w:rsid w:val="00C310E4"/>
    <w:rsid w:val="00C31FA7"/>
    <w:rsid w:val="00C320E5"/>
    <w:rsid w:val="00C32114"/>
    <w:rsid w:val="00C3258B"/>
    <w:rsid w:val="00C3273A"/>
    <w:rsid w:val="00C332CC"/>
    <w:rsid w:val="00C334F5"/>
    <w:rsid w:val="00C33811"/>
    <w:rsid w:val="00C33BF9"/>
    <w:rsid w:val="00C3401F"/>
    <w:rsid w:val="00C346CA"/>
    <w:rsid w:val="00C362CA"/>
    <w:rsid w:val="00C36416"/>
    <w:rsid w:val="00C3762D"/>
    <w:rsid w:val="00C4081C"/>
    <w:rsid w:val="00C4388B"/>
    <w:rsid w:val="00C43B14"/>
    <w:rsid w:val="00C44237"/>
    <w:rsid w:val="00C446DC"/>
    <w:rsid w:val="00C44782"/>
    <w:rsid w:val="00C44A23"/>
    <w:rsid w:val="00C44A47"/>
    <w:rsid w:val="00C4561E"/>
    <w:rsid w:val="00C45D2D"/>
    <w:rsid w:val="00C4615F"/>
    <w:rsid w:val="00C46169"/>
    <w:rsid w:val="00C46229"/>
    <w:rsid w:val="00C466B1"/>
    <w:rsid w:val="00C46BFE"/>
    <w:rsid w:val="00C4754E"/>
    <w:rsid w:val="00C47761"/>
    <w:rsid w:val="00C47A35"/>
    <w:rsid w:val="00C47C43"/>
    <w:rsid w:val="00C5004C"/>
    <w:rsid w:val="00C5044A"/>
    <w:rsid w:val="00C506B4"/>
    <w:rsid w:val="00C5072B"/>
    <w:rsid w:val="00C50748"/>
    <w:rsid w:val="00C50BA0"/>
    <w:rsid w:val="00C50D8A"/>
    <w:rsid w:val="00C51306"/>
    <w:rsid w:val="00C51F0D"/>
    <w:rsid w:val="00C51FF4"/>
    <w:rsid w:val="00C520A2"/>
    <w:rsid w:val="00C5283B"/>
    <w:rsid w:val="00C52875"/>
    <w:rsid w:val="00C5305D"/>
    <w:rsid w:val="00C53951"/>
    <w:rsid w:val="00C542AC"/>
    <w:rsid w:val="00C54D67"/>
    <w:rsid w:val="00C553A4"/>
    <w:rsid w:val="00C55B9C"/>
    <w:rsid w:val="00C56F0E"/>
    <w:rsid w:val="00C570B1"/>
    <w:rsid w:val="00C576D2"/>
    <w:rsid w:val="00C57B17"/>
    <w:rsid w:val="00C60576"/>
    <w:rsid w:val="00C61168"/>
    <w:rsid w:val="00C61587"/>
    <w:rsid w:val="00C61E77"/>
    <w:rsid w:val="00C62158"/>
    <w:rsid w:val="00C62AF3"/>
    <w:rsid w:val="00C632BC"/>
    <w:rsid w:val="00C63579"/>
    <w:rsid w:val="00C636F3"/>
    <w:rsid w:val="00C63BB9"/>
    <w:rsid w:val="00C63DE6"/>
    <w:rsid w:val="00C6412F"/>
    <w:rsid w:val="00C6484E"/>
    <w:rsid w:val="00C6494B"/>
    <w:rsid w:val="00C64990"/>
    <w:rsid w:val="00C65175"/>
    <w:rsid w:val="00C65836"/>
    <w:rsid w:val="00C65C9E"/>
    <w:rsid w:val="00C6616A"/>
    <w:rsid w:val="00C66423"/>
    <w:rsid w:val="00C6652E"/>
    <w:rsid w:val="00C67887"/>
    <w:rsid w:val="00C67A4D"/>
    <w:rsid w:val="00C70585"/>
    <w:rsid w:val="00C70E03"/>
    <w:rsid w:val="00C71231"/>
    <w:rsid w:val="00C722C9"/>
    <w:rsid w:val="00C725CD"/>
    <w:rsid w:val="00C730E3"/>
    <w:rsid w:val="00C7345F"/>
    <w:rsid w:val="00C7416E"/>
    <w:rsid w:val="00C74379"/>
    <w:rsid w:val="00C7594B"/>
    <w:rsid w:val="00C75A35"/>
    <w:rsid w:val="00C75D94"/>
    <w:rsid w:val="00C7624A"/>
    <w:rsid w:val="00C76E10"/>
    <w:rsid w:val="00C778C7"/>
    <w:rsid w:val="00C81DFD"/>
    <w:rsid w:val="00C84BD8"/>
    <w:rsid w:val="00C8545F"/>
    <w:rsid w:val="00C854F5"/>
    <w:rsid w:val="00C85731"/>
    <w:rsid w:val="00C857B1"/>
    <w:rsid w:val="00C85B3C"/>
    <w:rsid w:val="00C85CDA"/>
    <w:rsid w:val="00C8633C"/>
    <w:rsid w:val="00C86357"/>
    <w:rsid w:val="00C86774"/>
    <w:rsid w:val="00C86853"/>
    <w:rsid w:val="00C87075"/>
    <w:rsid w:val="00C87A1A"/>
    <w:rsid w:val="00C904DC"/>
    <w:rsid w:val="00C90DD3"/>
    <w:rsid w:val="00C90E16"/>
    <w:rsid w:val="00C919F9"/>
    <w:rsid w:val="00C91A52"/>
    <w:rsid w:val="00C91DEF"/>
    <w:rsid w:val="00C92068"/>
    <w:rsid w:val="00C9241A"/>
    <w:rsid w:val="00C935B4"/>
    <w:rsid w:val="00C9376E"/>
    <w:rsid w:val="00C93FE3"/>
    <w:rsid w:val="00C94023"/>
    <w:rsid w:val="00C9447F"/>
    <w:rsid w:val="00C952ED"/>
    <w:rsid w:val="00C955A9"/>
    <w:rsid w:val="00C95612"/>
    <w:rsid w:val="00C956DE"/>
    <w:rsid w:val="00C95A57"/>
    <w:rsid w:val="00C9606E"/>
    <w:rsid w:val="00C96529"/>
    <w:rsid w:val="00C9674E"/>
    <w:rsid w:val="00C96C54"/>
    <w:rsid w:val="00C970FC"/>
    <w:rsid w:val="00C972E2"/>
    <w:rsid w:val="00C975F1"/>
    <w:rsid w:val="00C9777C"/>
    <w:rsid w:val="00CA04FA"/>
    <w:rsid w:val="00CA0B69"/>
    <w:rsid w:val="00CA0C52"/>
    <w:rsid w:val="00CA1507"/>
    <w:rsid w:val="00CA166E"/>
    <w:rsid w:val="00CA1682"/>
    <w:rsid w:val="00CA16CD"/>
    <w:rsid w:val="00CA1B6C"/>
    <w:rsid w:val="00CA1B7C"/>
    <w:rsid w:val="00CA1E2E"/>
    <w:rsid w:val="00CA1E46"/>
    <w:rsid w:val="00CA242B"/>
    <w:rsid w:val="00CA3240"/>
    <w:rsid w:val="00CA3503"/>
    <w:rsid w:val="00CA4933"/>
    <w:rsid w:val="00CA4AE6"/>
    <w:rsid w:val="00CA574F"/>
    <w:rsid w:val="00CA5B1D"/>
    <w:rsid w:val="00CA5D32"/>
    <w:rsid w:val="00CA6007"/>
    <w:rsid w:val="00CA6339"/>
    <w:rsid w:val="00CA6373"/>
    <w:rsid w:val="00CA6BC7"/>
    <w:rsid w:val="00CA708A"/>
    <w:rsid w:val="00CA71B4"/>
    <w:rsid w:val="00CA76A1"/>
    <w:rsid w:val="00CA771F"/>
    <w:rsid w:val="00CA7760"/>
    <w:rsid w:val="00CB0063"/>
    <w:rsid w:val="00CB05D5"/>
    <w:rsid w:val="00CB0A60"/>
    <w:rsid w:val="00CB110E"/>
    <w:rsid w:val="00CB1110"/>
    <w:rsid w:val="00CB2263"/>
    <w:rsid w:val="00CB31D9"/>
    <w:rsid w:val="00CB3553"/>
    <w:rsid w:val="00CB50D6"/>
    <w:rsid w:val="00CB6077"/>
    <w:rsid w:val="00CB6EAD"/>
    <w:rsid w:val="00CB6F6D"/>
    <w:rsid w:val="00CB7342"/>
    <w:rsid w:val="00CB741A"/>
    <w:rsid w:val="00CB7E0A"/>
    <w:rsid w:val="00CC005D"/>
    <w:rsid w:val="00CC0240"/>
    <w:rsid w:val="00CC12B4"/>
    <w:rsid w:val="00CC1518"/>
    <w:rsid w:val="00CC4A1C"/>
    <w:rsid w:val="00CC5321"/>
    <w:rsid w:val="00CC697E"/>
    <w:rsid w:val="00CC6C62"/>
    <w:rsid w:val="00CC713E"/>
    <w:rsid w:val="00CC7425"/>
    <w:rsid w:val="00CC786A"/>
    <w:rsid w:val="00CD0190"/>
    <w:rsid w:val="00CD039B"/>
    <w:rsid w:val="00CD0447"/>
    <w:rsid w:val="00CD10A3"/>
    <w:rsid w:val="00CD1697"/>
    <w:rsid w:val="00CD253F"/>
    <w:rsid w:val="00CD3DAA"/>
    <w:rsid w:val="00CD3EF2"/>
    <w:rsid w:val="00CD4317"/>
    <w:rsid w:val="00CD4D37"/>
    <w:rsid w:val="00CD698C"/>
    <w:rsid w:val="00CD6FF8"/>
    <w:rsid w:val="00CE006F"/>
    <w:rsid w:val="00CE0DC7"/>
    <w:rsid w:val="00CE124E"/>
    <w:rsid w:val="00CE1D49"/>
    <w:rsid w:val="00CE2695"/>
    <w:rsid w:val="00CE2B06"/>
    <w:rsid w:val="00CE2EE5"/>
    <w:rsid w:val="00CE3780"/>
    <w:rsid w:val="00CE4FF8"/>
    <w:rsid w:val="00CE65C3"/>
    <w:rsid w:val="00CE697C"/>
    <w:rsid w:val="00CE6ED6"/>
    <w:rsid w:val="00CE7CF6"/>
    <w:rsid w:val="00CF0EEE"/>
    <w:rsid w:val="00CF19FA"/>
    <w:rsid w:val="00CF2571"/>
    <w:rsid w:val="00CF2F9E"/>
    <w:rsid w:val="00CF3F4A"/>
    <w:rsid w:val="00CF57D5"/>
    <w:rsid w:val="00CF5F82"/>
    <w:rsid w:val="00CF710D"/>
    <w:rsid w:val="00CF75FC"/>
    <w:rsid w:val="00CF79FB"/>
    <w:rsid w:val="00D00547"/>
    <w:rsid w:val="00D007ED"/>
    <w:rsid w:val="00D00AD0"/>
    <w:rsid w:val="00D00D56"/>
    <w:rsid w:val="00D0165B"/>
    <w:rsid w:val="00D01A9A"/>
    <w:rsid w:val="00D02D08"/>
    <w:rsid w:val="00D02E28"/>
    <w:rsid w:val="00D033A7"/>
    <w:rsid w:val="00D03617"/>
    <w:rsid w:val="00D03B69"/>
    <w:rsid w:val="00D041DF"/>
    <w:rsid w:val="00D049EB"/>
    <w:rsid w:val="00D05122"/>
    <w:rsid w:val="00D05810"/>
    <w:rsid w:val="00D0595D"/>
    <w:rsid w:val="00D05C5C"/>
    <w:rsid w:val="00D05DF1"/>
    <w:rsid w:val="00D05E0A"/>
    <w:rsid w:val="00D06CC8"/>
    <w:rsid w:val="00D06F6D"/>
    <w:rsid w:val="00D0754D"/>
    <w:rsid w:val="00D07AFA"/>
    <w:rsid w:val="00D07D36"/>
    <w:rsid w:val="00D07DCF"/>
    <w:rsid w:val="00D10544"/>
    <w:rsid w:val="00D107D4"/>
    <w:rsid w:val="00D10AD2"/>
    <w:rsid w:val="00D10C9C"/>
    <w:rsid w:val="00D112F0"/>
    <w:rsid w:val="00D119B3"/>
    <w:rsid w:val="00D11DA7"/>
    <w:rsid w:val="00D14123"/>
    <w:rsid w:val="00D14F7E"/>
    <w:rsid w:val="00D15397"/>
    <w:rsid w:val="00D1544B"/>
    <w:rsid w:val="00D16210"/>
    <w:rsid w:val="00D1711F"/>
    <w:rsid w:val="00D20011"/>
    <w:rsid w:val="00D20388"/>
    <w:rsid w:val="00D207B7"/>
    <w:rsid w:val="00D20A31"/>
    <w:rsid w:val="00D20F4A"/>
    <w:rsid w:val="00D22498"/>
    <w:rsid w:val="00D22B62"/>
    <w:rsid w:val="00D239B5"/>
    <w:rsid w:val="00D241C5"/>
    <w:rsid w:val="00D243E9"/>
    <w:rsid w:val="00D2461F"/>
    <w:rsid w:val="00D2520C"/>
    <w:rsid w:val="00D2598F"/>
    <w:rsid w:val="00D26A44"/>
    <w:rsid w:val="00D2777F"/>
    <w:rsid w:val="00D278AE"/>
    <w:rsid w:val="00D27CCB"/>
    <w:rsid w:val="00D27FD1"/>
    <w:rsid w:val="00D3072A"/>
    <w:rsid w:val="00D30979"/>
    <w:rsid w:val="00D3169F"/>
    <w:rsid w:val="00D31B67"/>
    <w:rsid w:val="00D31BA1"/>
    <w:rsid w:val="00D32282"/>
    <w:rsid w:val="00D33CCE"/>
    <w:rsid w:val="00D33CD3"/>
    <w:rsid w:val="00D36122"/>
    <w:rsid w:val="00D36441"/>
    <w:rsid w:val="00D36641"/>
    <w:rsid w:val="00D36E45"/>
    <w:rsid w:val="00D4018C"/>
    <w:rsid w:val="00D402CC"/>
    <w:rsid w:val="00D40846"/>
    <w:rsid w:val="00D409A2"/>
    <w:rsid w:val="00D40DCC"/>
    <w:rsid w:val="00D412E5"/>
    <w:rsid w:val="00D41471"/>
    <w:rsid w:val="00D414DD"/>
    <w:rsid w:val="00D415D8"/>
    <w:rsid w:val="00D42038"/>
    <w:rsid w:val="00D424E7"/>
    <w:rsid w:val="00D4371C"/>
    <w:rsid w:val="00D438FF"/>
    <w:rsid w:val="00D43CAF"/>
    <w:rsid w:val="00D43D8C"/>
    <w:rsid w:val="00D43EB2"/>
    <w:rsid w:val="00D441F4"/>
    <w:rsid w:val="00D44201"/>
    <w:rsid w:val="00D45A14"/>
    <w:rsid w:val="00D46588"/>
    <w:rsid w:val="00D46644"/>
    <w:rsid w:val="00D468B3"/>
    <w:rsid w:val="00D50500"/>
    <w:rsid w:val="00D50E6A"/>
    <w:rsid w:val="00D519CD"/>
    <w:rsid w:val="00D5239B"/>
    <w:rsid w:val="00D52578"/>
    <w:rsid w:val="00D5262D"/>
    <w:rsid w:val="00D5315E"/>
    <w:rsid w:val="00D535C7"/>
    <w:rsid w:val="00D53E0C"/>
    <w:rsid w:val="00D541C5"/>
    <w:rsid w:val="00D54504"/>
    <w:rsid w:val="00D54643"/>
    <w:rsid w:val="00D5536E"/>
    <w:rsid w:val="00D55A4C"/>
    <w:rsid w:val="00D56B55"/>
    <w:rsid w:val="00D57CB6"/>
    <w:rsid w:val="00D57F96"/>
    <w:rsid w:val="00D60084"/>
    <w:rsid w:val="00D61650"/>
    <w:rsid w:val="00D61AD4"/>
    <w:rsid w:val="00D61FC7"/>
    <w:rsid w:val="00D621BA"/>
    <w:rsid w:val="00D623A4"/>
    <w:rsid w:val="00D62880"/>
    <w:rsid w:val="00D6304D"/>
    <w:rsid w:val="00D64619"/>
    <w:rsid w:val="00D64FEC"/>
    <w:rsid w:val="00D66A03"/>
    <w:rsid w:val="00D66F7F"/>
    <w:rsid w:val="00D66F98"/>
    <w:rsid w:val="00D700D4"/>
    <w:rsid w:val="00D70788"/>
    <w:rsid w:val="00D70B79"/>
    <w:rsid w:val="00D70C1B"/>
    <w:rsid w:val="00D70D7F"/>
    <w:rsid w:val="00D70D87"/>
    <w:rsid w:val="00D719F1"/>
    <w:rsid w:val="00D71BF9"/>
    <w:rsid w:val="00D72F6A"/>
    <w:rsid w:val="00D73101"/>
    <w:rsid w:val="00D7394A"/>
    <w:rsid w:val="00D739C6"/>
    <w:rsid w:val="00D73AF5"/>
    <w:rsid w:val="00D73D66"/>
    <w:rsid w:val="00D742FE"/>
    <w:rsid w:val="00D745AC"/>
    <w:rsid w:val="00D74642"/>
    <w:rsid w:val="00D74FBC"/>
    <w:rsid w:val="00D758AE"/>
    <w:rsid w:val="00D762B9"/>
    <w:rsid w:val="00D76A0D"/>
    <w:rsid w:val="00D7776A"/>
    <w:rsid w:val="00D7781B"/>
    <w:rsid w:val="00D779AE"/>
    <w:rsid w:val="00D77CF9"/>
    <w:rsid w:val="00D80B9D"/>
    <w:rsid w:val="00D80C42"/>
    <w:rsid w:val="00D813F9"/>
    <w:rsid w:val="00D81417"/>
    <w:rsid w:val="00D815B2"/>
    <w:rsid w:val="00D8203A"/>
    <w:rsid w:val="00D823E7"/>
    <w:rsid w:val="00D826E5"/>
    <w:rsid w:val="00D8313E"/>
    <w:rsid w:val="00D83993"/>
    <w:rsid w:val="00D84063"/>
    <w:rsid w:val="00D84E22"/>
    <w:rsid w:val="00D84EA4"/>
    <w:rsid w:val="00D85087"/>
    <w:rsid w:val="00D863E8"/>
    <w:rsid w:val="00D86C1B"/>
    <w:rsid w:val="00D87856"/>
    <w:rsid w:val="00D900AF"/>
    <w:rsid w:val="00D9046B"/>
    <w:rsid w:val="00D90578"/>
    <w:rsid w:val="00D90BFA"/>
    <w:rsid w:val="00D910C7"/>
    <w:rsid w:val="00D91B69"/>
    <w:rsid w:val="00D92042"/>
    <w:rsid w:val="00D924AA"/>
    <w:rsid w:val="00D92C46"/>
    <w:rsid w:val="00D94B0D"/>
    <w:rsid w:val="00D953DF"/>
    <w:rsid w:val="00D95B0F"/>
    <w:rsid w:val="00D96685"/>
    <w:rsid w:val="00D96A55"/>
    <w:rsid w:val="00D96FF7"/>
    <w:rsid w:val="00D976AC"/>
    <w:rsid w:val="00D97B4E"/>
    <w:rsid w:val="00DA0C08"/>
    <w:rsid w:val="00DA0CC6"/>
    <w:rsid w:val="00DA0FCB"/>
    <w:rsid w:val="00DA1F5B"/>
    <w:rsid w:val="00DA20CC"/>
    <w:rsid w:val="00DA24B8"/>
    <w:rsid w:val="00DA30BA"/>
    <w:rsid w:val="00DA3156"/>
    <w:rsid w:val="00DA44D6"/>
    <w:rsid w:val="00DA4654"/>
    <w:rsid w:val="00DA4A8A"/>
    <w:rsid w:val="00DA4C7A"/>
    <w:rsid w:val="00DA78DC"/>
    <w:rsid w:val="00DB0565"/>
    <w:rsid w:val="00DB0C65"/>
    <w:rsid w:val="00DB11C5"/>
    <w:rsid w:val="00DB13BD"/>
    <w:rsid w:val="00DB13E4"/>
    <w:rsid w:val="00DB1928"/>
    <w:rsid w:val="00DB1A14"/>
    <w:rsid w:val="00DB1ECF"/>
    <w:rsid w:val="00DB27E5"/>
    <w:rsid w:val="00DB27F5"/>
    <w:rsid w:val="00DB29DE"/>
    <w:rsid w:val="00DB2C5D"/>
    <w:rsid w:val="00DB3555"/>
    <w:rsid w:val="00DB4176"/>
    <w:rsid w:val="00DB6308"/>
    <w:rsid w:val="00DB67B7"/>
    <w:rsid w:val="00DB6F06"/>
    <w:rsid w:val="00DC0670"/>
    <w:rsid w:val="00DC0A29"/>
    <w:rsid w:val="00DC0A7D"/>
    <w:rsid w:val="00DC1EFC"/>
    <w:rsid w:val="00DC23FA"/>
    <w:rsid w:val="00DC2702"/>
    <w:rsid w:val="00DC34F7"/>
    <w:rsid w:val="00DC38DB"/>
    <w:rsid w:val="00DC4CED"/>
    <w:rsid w:val="00DC507F"/>
    <w:rsid w:val="00DC57F0"/>
    <w:rsid w:val="00DC5A34"/>
    <w:rsid w:val="00DC62FF"/>
    <w:rsid w:val="00DC6F04"/>
    <w:rsid w:val="00DC6F94"/>
    <w:rsid w:val="00DC7031"/>
    <w:rsid w:val="00DC7221"/>
    <w:rsid w:val="00DD0209"/>
    <w:rsid w:val="00DD0A2E"/>
    <w:rsid w:val="00DD1190"/>
    <w:rsid w:val="00DD173B"/>
    <w:rsid w:val="00DD1870"/>
    <w:rsid w:val="00DD1ADD"/>
    <w:rsid w:val="00DD1FFD"/>
    <w:rsid w:val="00DD25A9"/>
    <w:rsid w:val="00DD35D5"/>
    <w:rsid w:val="00DD3DAF"/>
    <w:rsid w:val="00DD3F41"/>
    <w:rsid w:val="00DD4C28"/>
    <w:rsid w:val="00DD53FD"/>
    <w:rsid w:val="00DD6468"/>
    <w:rsid w:val="00DD658D"/>
    <w:rsid w:val="00DD686F"/>
    <w:rsid w:val="00DD72BB"/>
    <w:rsid w:val="00DE2705"/>
    <w:rsid w:val="00DE29B3"/>
    <w:rsid w:val="00DE2BAE"/>
    <w:rsid w:val="00DE2D25"/>
    <w:rsid w:val="00DE3834"/>
    <w:rsid w:val="00DE3C11"/>
    <w:rsid w:val="00DE46F5"/>
    <w:rsid w:val="00DE49CA"/>
    <w:rsid w:val="00DE5EC9"/>
    <w:rsid w:val="00DE645A"/>
    <w:rsid w:val="00DE6909"/>
    <w:rsid w:val="00DE6D6F"/>
    <w:rsid w:val="00DE6FE5"/>
    <w:rsid w:val="00DE707D"/>
    <w:rsid w:val="00DF1791"/>
    <w:rsid w:val="00DF244E"/>
    <w:rsid w:val="00DF3753"/>
    <w:rsid w:val="00DF42FF"/>
    <w:rsid w:val="00DF4691"/>
    <w:rsid w:val="00DF46AC"/>
    <w:rsid w:val="00DF55F3"/>
    <w:rsid w:val="00DF59B5"/>
    <w:rsid w:val="00DF654E"/>
    <w:rsid w:val="00DF683A"/>
    <w:rsid w:val="00DF68FA"/>
    <w:rsid w:val="00DF6FA6"/>
    <w:rsid w:val="00DF7101"/>
    <w:rsid w:val="00E01DE0"/>
    <w:rsid w:val="00E0222B"/>
    <w:rsid w:val="00E023A3"/>
    <w:rsid w:val="00E02C8E"/>
    <w:rsid w:val="00E02EC0"/>
    <w:rsid w:val="00E03B11"/>
    <w:rsid w:val="00E03BBB"/>
    <w:rsid w:val="00E057BD"/>
    <w:rsid w:val="00E057D4"/>
    <w:rsid w:val="00E068E1"/>
    <w:rsid w:val="00E06A29"/>
    <w:rsid w:val="00E0713B"/>
    <w:rsid w:val="00E07619"/>
    <w:rsid w:val="00E077AC"/>
    <w:rsid w:val="00E07AB3"/>
    <w:rsid w:val="00E07BB7"/>
    <w:rsid w:val="00E1078F"/>
    <w:rsid w:val="00E1099B"/>
    <w:rsid w:val="00E11557"/>
    <w:rsid w:val="00E11CDE"/>
    <w:rsid w:val="00E11DF1"/>
    <w:rsid w:val="00E127AE"/>
    <w:rsid w:val="00E12D8D"/>
    <w:rsid w:val="00E130D2"/>
    <w:rsid w:val="00E13720"/>
    <w:rsid w:val="00E13A47"/>
    <w:rsid w:val="00E13FC0"/>
    <w:rsid w:val="00E14077"/>
    <w:rsid w:val="00E14165"/>
    <w:rsid w:val="00E148C5"/>
    <w:rsid w:val="00E15320"/>
    <w:rsid w:val="00E1581D"/>
    <w:rsid w:val="00E15946"/>
    <w:rsid w:val="00E15A57"/>
    <w:rsid w:val="00E15C28"/>
    <w:rsid w:val="00E15D65"/>
    <w:rsid w:val="00E15EFF"/>
    <w:rsid w:val="00E16084"/>
    <w:rsid w:val="00E16852"/>
    <w:rsid w:val="00E17521"/>
    <w:rsid w:val="00E2108F"/>
    <w:rsid w:val="00E217ED"/>
    <w:rsid w:val="00E2237E"/>
    <w:rsid w:val="00E22B37"/>
    <w:rsid w:val="00E23216"/>
    <w:rsid w:val="00E240B5"/>
    <w:rsid w:val="00E249B9"/>
    <w:rsid w:val="00E263A1"/>
    <w:rsid w:val="00E26764"/>
    <w:rsid w:val="00E27E82"/>
    <w:rsid w:val="00E3018F"/>
    <w:rsid w:val="00E31091"/>
    <w:rsid w:val="00E311EB"/>
    <w:rsid w:val="00E31B4D"/>
    <w:rsid w:val="00E31D3A"/>
    <w:rsid w:val="00E31D5F"/>
    <w:rsid w:val="00E31ED2"/>
    <w:rsid w:val="00E3262F"/>
    <w:rsid w:val="00E326CD"/>
    <w:rsid w:val="00E32F96"/>
    <w:rsid w:val="00E345FE"/>
    <w:rsid w:val="00E34604"/>
    <w:rsid w:val="00E34C96"/>
    <w:rsid w:val="00E34FF2"/>
    <w:rsid w:val="00E3561A"/>
    <w:rsid w:val="00E36090"/>
    <w:rsid w:val="00E370DD"/>
    <w:rsid w:val="00E372AD"/>
    <w:rsid w:val="00E3766B"/>
    <w:rsid w:val="00E3778C"/>
    <w:rsid w:val="00E37C54"/>
    <w:rsid w:val="00E37CCF"/>
    <w:rsid w:val="00E37E55"/>
    <w:rsid w:val="00E4065D"/>
    <w:rsid w:val="00E41029"/>
    <w:rsid w:val="00E411F8"/>
    <w:rsid w:val="00E4157A"/>
    <w:rsid w:val="00E416D5"/>
    <w:rsid w:val="00E41827"/>
    <w:rsid w:val="00E41908"/>
    <w:rsid w:val="00E41E42"/>
    <w:rsid w:val="00E41EEA"/>
    <w:rsid w:val="00E42C34"/>
    <w:rsid w:val="00E43D67"/>
    <w:rsid w:val="00E448D5"/>
    <w:rsid w:val="00E4549A"/>
    <w:rsid w:val="00E468DB"/>
    <w:rsid w:val="00E46917"/>
    <w:rsid w:val="00E46D4C"/>
    <w:rsid w:val="00E4794C"/>
    <w:rsid w:val="00E47A39"/>
    <w:rsid w:val="00E47F72"/>
    <w:rsid w:val="00E500A4"/>
    <w:rsid w:val="00E50ACD"/>
    <w:rsid w:val="00E532AE"/>
    <w:rsid w:val="00E537F6"/>
    <w:rsid w:val="00E53834"/>
    <w:rsid w:val="00E54333"/>
    <w:rsid w:val="00E5500C"/>
    <w:rsid w:val="00E550EB"/>
    <w:rsid w:val="00E551FE"/>
    <w:rsid w:val="00E557C9"/>
    <w:rsid w:val="00E55BDE"/>
    <w:rsid w:val="00E55BEB"/>
    <w:rsid w:val="00E562CC"/>
    <w:rsid w:val="00E56378"/>
    <w:rsid w:val="00E5720A"/>
    <w:rsid w:val="00E57C29"/>
    <w:rsid w:val="00E60D65"/>
    <w:rsid w:val="00E61129"/>
    <w:rsid w:val="00E61231"/>
    <w:rsid w:val="00E614BD"/>
    <w:rsid w:val="00E61B6F"/>
    <w:rsid w:val="00E629CA"/>
    <w:rsid w:val="00E63035"/>
    <w:rsid w:val="00E63217"/>
    <w:rsid w:val="00E63867"/>
    <w:rsid w:val="00E641ED"/>
    <w:rsid w:val="00E646CC"/>
    <w:rsid w:val="00E64A3B"/>
    <w:rsid w:val="00E6597E"/>
    <w:rsid w:val="00E671E0"/>
    <w:rsid w:val="00E6744C"/>
    <w:rsid w:val="00E67E4E"/>
    <w:rsid w:val="00E7056E"/>
    <w:rsid w:val="00E71D30"/>
    <w:rsid w:val="00E71D41"/>
    <w:rsid w:val="00E71EBA"/>
    <w:rsid w:val="00E7286D"/>
    <w:rsid w:val="00E72EFA"/>
    <w:rsid w:val="00E745A0"/>
    <w:rsid w:val="00E74D2F"/>
    <w:rsid w:val="00E74D42"/>
    <w:rsid w:val="00E74E2D"/>
    <w:rsid w:val="00E75364"/>
    <w:rsid w:val="00E76136"/>
    <w:rsid w:val="00E762D4"/>
    <w:rsid w:val="00E76589"/>
    <w:rsid w:val="00E7668F"/>
    <w:rsid w:val="00E76965"/>
    <w:rsid w:val="00E76C41"/>
    <w:rsid w:val="00E76C66"/>
    <w:rsid w:val="00E779DE"/>
    <w:rsid w:val="00E80CA4"/>
    <w:rsid w:val="00E8104D"/>
    <w:rsid w:val="00E81299"/>
    <w:rsid w:val="00E81E55"/>
    <w:rsid w:val="00E83327"/>
    <w:rsid w:val="00E83ACF"/>
    <w:rsid w:val="00E83B31"/>
    <w:rsid w:val="00E83DC5"/>
    <w:rsid w:val="00E83FF4"/>
    <w:rsid w:val="00E841A2"/>
    <w:rsid w:val="00E8429C"/>
    <w:rsid w:val="00E84308"/>
    <w:rsid w:val="00E8469B"/>
    <w:rsid w:val="00E84C5A"/>
    <w:rsid w:val="00E8534B"/>
    <w:rsid w:val="00E85A4B"/>
    <w:rsid w:val="00E85DD7"/>
    <w:rsid w:val="00E8642F"/>
    <w:rsid w:val="00E86884"/>
    <w:rsid w:val="00E86933"/>
    <w:rsid w:val="00E87557"/>
    <w:rsid w:val="00E8783E"/>
    <w:rsid w:val="00E878D3"/>
    <w:rsid w:val="00E87A0F"/>
    <w:rsid w:val="00E90743"/>
    <w:rsid w:val="00E908C4"/>
    <w:rsid w:val="00E914FE"/>
    <w:rsid w:val="00E918F7"/>
    <w:rsid w:val="00E91B4D"/>
    <w:rsid w:val="00E91CF9"/>
    <w:rsid w:val="00E92484"/>
    <w:rsid w:val="00E9279A"/>
    <w:rsid w:val="00E928E3"/>
    <w:rsid w:val="00E92CFF"/>
    <w:rsid w:val="00E92F03"/>
    <w:rsid w:val="00E930BE"/>
    <w:rsid w:val="00E93D0A"/>
    <w:rsid w:val="00E93F6A"/>
    <w:rsid w:val="00E94473"/>
    <w:rsid w:val="00E95098"/>
    <w:rsid w:val="00E95790"/>
    <w:rsid w:val="00E960BC"/>
    <w:rsid w:val="00E9671E"/>
    <w:rsid w:val="00E96E64"/>
    <w:rsid w:val="00EA212C"/>
    <w:rsid w:val="00EA2617"/>
    <w:rsid w:val="00EA28FE"/>
    <w:rsid w:val="00EA36B0"/>
    <w:rsid w:val="00EA39AE"/>
    <w:rsid w:val="00EA3A20"/>
    <w:rsid w:val="00EA3AD6"/>
    <w:rsid w:val="00EA3B13"/>
    <w:rsid w:val="00EA3BF4"/>
    <w:rsid w:val="00EA3DC4"/>
    <w:rsid w:val="00EA3EDB"/>
    <w:rsid w:val="00EA47E0"/>
    <w:rsid w:val="00EA4A54"/>
    <w:rsid w:val="00EA5EDD"/>
    <w:rsid w:val="00EA6258"/>
    <w:rsid w:val="00EA65BF"/>
    <w:rsid w:val="00EA6D07"/>
    <w:rsid w:val="00EA7A3D"/>
    <w:rsid w:val="00EA7DA7"/>
    <w:rsid w:val="00EA7DB9"/>
    <w:rsid w:val="00EA7F63"/>
    <w:rsid w:val="00EB17B7"/>
    <w:rsid w:val="00EB1AEB"/>
    <w:rsid w:val="00EB1F51"/>
    <w:rsid w:val="00EB2693"/>
    <w:rsid w:val="00EB2A3F"/>
    <w:rsid w:val="00EB44CF"/>
    <w:rsid w:val="00EB489D"/>
    <w:rsid w:val="00EB4D78"/>
    <w:rsid w:val="00EB51E7"/>
    <w:rsid w:val="00EB55AE"/>
    <w:rsid w:val="00EB5E19"/>
    <w:rsid w:val="00EB5F53"/>
    <w:rsid w:val="00EB7628"/>
    <w:rsid w:val="00EB7821"/>
    <w:rsid w:val="00EB7A14"/>
    <w:rsid w:val="00EB7B3D"/>
    <w:rsid w:val="00EC0004"/>
    <w:rsid w:val="00EC0A79"/>
    <w:rsid w:val="00EC14D6"/>
    <w:rsid w:val="00EC1FBD"/>
    <w:rsid w:val="00EC27CD"/>
    <w:rsid w:val="00EC2A15"/>
    <w:rsid w:val="00EC2CFF"/>
    <w:rsid w:val="00EC32DB"/>
    <w:rsid w:val="00EC3600"/>
    <w:rsid w:val="00EC3DD6"/>
    <w:rsid w:val="00EC41CF"/>
    <w:rsid w:val="00EC43E4"/>
    <w:rsid w:val="00EC45FF"/>
    <w:rsid w:val="00EC481E"/>
    <w:rsid w:val="00EC5072"/>
    <w:rsid w:val="00EC583A"/>
    <w:rsid w:val="00EC5910"/>
    <w:rsid w:val="00EC5A21"/>
    <w:rsid w:val="00EC5C48"/>
    <w:rsid w:val="00EC5CF5"/>
    <w:rsid w:val="00ED01EF"/>
    <w:rsid w:val="00ED1225"/>
    <w:rsid w:val="00ED1332"/>
    <w:rsid w:val="00ED1D7C"/>
    <w:rsid w:val="00ED202A"/>
    <w:rsid w:val="00ED2123"/>
    <w:rsid w:val="00ED2158"/>
    <w:rsid w:val="00ED245C"/>
    <w:rsid w:val="00ED24B0"/>
    <w:rsid w:val="00ED271F"/>
    <w:rsid w:val="00ED2E05"/>
    <w:rsid w:val="00ED2F35"/>
    <w:rsid w:val="00ED2FE1"/>
    <w:rsid w:val="00ED31BF"/>
    <w:rsid w:val="00ED3562"/>
    <w:rsid w:val="00ED4059"/>
    <w:rsid w:val="00ED4890"/>
    <w:rsid w:val="00ED4BB9"/>
    <w:rsid w:val="00ED58B1"/>
    <w:rsid w:val="00ED62E6"/>
    <w:rsid w:val="00ED6555"/>
    <w:rsid w:val="00ED6B4E"/>
    <w:rsid w:val="00ED6DE1"/>
    <w:rsid w:val="00ED7456"/>
    <w:rsid w:val="00ED748F"/>
    <w:rsid w:val="00EE0189"/>
    <w:rsid w:val="00EE07CD"/>
    <w:rsid w:val="00EE097D"/>
    <w:rsid w:val="00EE12ED"/>
    <w:rsid w:val="00EE177E"/>
    <w:rsid w:val="00EE2054"/>
    <w:rsid w:val="00EE20C7"/>
    <w:rsid w:val="00EE2F70"/>
    <w:rsid w:val="00EE3FB2"/>
    <w:rsid w:val="00EE4B3D"/>
    <w:rsid w:val="00EE545D"/>
    <w:rsid w:val="00EE63F4"/>
    <w:rsid w:val="00EE7203"/>
    <w:rsid w:val="00EE796F"/>
    <w:rsid w:val="00EE7A7B"/>
    <w:rsid w:val="00EE7CA1"/>
    <w:rsid w:val="00EF06DD"/>
    <w:rsid w:val="00EF0B4C"/>
    <w:rsid w:val="00EF0D99"/>
    <w:rsid w:val="00EF2F5F"/>
    <w:rsid w:val="00EF3C07"/>
    <w:rsid w:val="00EF3CA4"/>
    <w:rsid w:val="00EF4F3D"/>
    <w:rsid w:val="00EF500A"/>
    <w:rsid w:val="00EF5365"/>
    <w:rsid w:val="00EF5884"/>
    <w:rsid w:val="00EF5C87"/>
    <w:rsid w:val="00EF6CF0"/>
    <w:rsid w:val="00EF6DD6"/>
    <w:rsid w:val="00EF753B"/>
    <w:rsid w:val="00EF7FF0"/>
    <w:rsid w:val="00F0000A"/>
    <w:rsid w:val="00F0121A"/>
    <w:rsid w:val="00F01F22"/>
    <w:rsid w:val="00F02842"/>
    <w:rsid w:val="00F029CB"/>
    <w:rsid w:val="00F02A0D"/>
    <w:rsid w:val="00F02C34"/>
    <w:rsid w:val="00F03497"/>
    <w:rsid w:val="00F03562"/>
    <w:rsid w:val="00F03F2F"/>
    <w:rsid w:val="00F046E0"/>
    <w:rsid w:val="00F04A81"/>
    <w:rsid w:val="00F050C1"/>
    <w:rsid w:val="00F05770"/>
    <w:rsid w:val="00F058E1"/>
    <w:rsid w:val="00F0599E"/>
    <w:rsid w:val="00F07A59"/>
    <w:rsid w:val="00F1022F"/>
    <w:rsid w:val="00F10CE3"/>
    <w:rsid w:val="00F10FF1"/>
    <w:rsid w:val="00F11C78"/>
    <w:rsid w:val="00F120A2"/>
    <w:rsid w:val="00F136B2"/>
    <w:rsid w:val="00F13741"/>
    <w:rsid w:val="00F147CB"/>
    <w:rsid w:val="00F14EBF"/>
    <w:rsid w:val="00F15356"/>
    <w:rsid w:val="00F15574"/>
    <w:rsid w:val="00F15754"/>
    <w:rsid w:val="00F1587F"/>
    <w:rsid w:val="00F15B8C"/>
    <w:rsid w:val="00F17296"/>
    <w:rsid w:val="00F172CC"/>
    <w:rsid w:val="00F17D72"/>
    <w:rsid w:val="00F20489"/>
    <w:rsid w:val="00F208DC"/>
    <w:rsid w:val="00F21990"/>
    <w:rsid w:val="00F21A88"/>
    <w:rsid w:val="00F21C05"/>
    <w:rsid w:val="00F22785"/>
    <w:rsid w:val="00F233DA"/>
    <w:rsid w:val="00F238C9"/>
    <w:rsid w:val="00F24904"/>
    <w:rsid w:val="00F24AB8"/>
    <w:rsid w:val="00F24E0E"/>
    <w:rsid w:val="00F250CC"/>
    <w:rsid w:val="00F250D9"/>
    <w:rsid w:val="00F2599C"/>
    <w:rsid w:val="00F25AF3"/>
    <w:rsid w:val="00F26211"/>
    <w:rsid w:val="00F26E08"/>
    <w:rsid w:val="00F30B77"/>
    <w:rsid w:val="00F31B53"/>
    <w:rsid w:val="00F3534F"/>
    <w:rsid w:val="00F35484"/>
    <w:rsid w:val="00F36310"/>
    <w:rsid w:val="00F36C27"/>
    <w:rsid w:val="00F36F14"/>
    <w:rsid w:val="00F372F8"/>
    <w:rsid w:val="00F37EC5"/>
    <w:rsid w:val="00F40878"/>
    <w:rsid w:val="00F41650"/>
    <w:rsid w:val="00F416C8"/>
    <w:rsid w:val="00F416CF"/>
    <w:rsid w:val="00F41F54"/>
    <w:rsid w:val="00F4207D"/>
    <w:rsid w:val="00F426CF"/>
    <w:rsid w:val="00F4288A"/>
    <w:rsid w:val="00F42BBC"/>
    <w:rsid w:val="00F42ED5"/>
    <w:rsid w:val="00F43EC7"/>
    <w:rsid w:val="00F443F0"/>
    <w:rsid w:val="00F449E5"/>
    <w:rsid w:val="00F44A22"/>
    <w:rsid w:val="00F44A3A"/>
    <w:rsid w:val="00F44BD6"/>
    <w:rsid w:val="00F44C5B"/>
    <w:rsid w:val="00F46896"/>
    <w:rsid w:val="00F47CF6"/>
    <w:rsid w:val="00F501A5"/>
    <w:rsid w:val="00F509E4"/>
    <w:rsid w:val="00F50DF3"/>
    <w:rsid w:val="00F50E24"/>
    <w:rsid w:val="00F51835"/>
    <w:rsid w:val="00F51B3A"/>
    <w:rsid w:val="00F51BC0"/>
    <w:rsid w:val="00F521B4"/>
    <w:rsid w:val="00F524CD"/>
    <w:rsid w:val="00F529E8"/>
    <w:rsid w:val="00F52B80"/>
    <w:rsid w:val="00F53BD8"/>
    <w:rsid w:val="00F56621"/>
    <w:rsid w:val="00F5666D"/>
    <w:rsid w:val="00F57103"/>
    <w:rsid w:val="00F57130"/>
    <w:rsid w:val="00F571BE"/>
    <w:rsid w:val="00F57565"/>
    <w:rsid w:val="00F57BFF"/>
    <w:rsid w:val="00F57D32"/>
    <w:rsid w:val="00F60098"/>
    <w:rsid w:val="00F607B1"/>
    <w:rsid w:val="00F60A0E"/>
    <w:rsid w:val="00F60C49"/>
    <w:rsid w:val="00F611B5"/>
    <w:rsid w:val="00F61818"/>
    <w:rsid w:val="00F61C90"/>
    <w:rsid w:val="00F61FFD"/>
    <w:rsid w:val="00F622F1"/>
    <w:rsid w:val="00F6253F"/>
    <w:rsid w:val="00F6285F"/>
    <w:rsid w:val="00F62B05"/>
    <w:rsid w:val="00F62B27"/>
    <w:rsid w:val="00F62D80"/>
    <w:rsid w:val="00F63211"/>
    <w:rsid w:val="00F6332B"/>
    <w:rsid w:val="00F63885"/>
    <w:rsid w:val="00F657E2"/>
    <w:rsid w:val="00F66591"/>
    <w:rsid w:val="00F674B3"/>
    <w:rsid w:val="00F67966"/>
    <w:rsid w:val="00F70D5E"/>
    <w:rsid w:val="00F71572"/>
    <w:rsid w:val="00F71CFA"/>
    <w:rsid w:val="00F7202A"/>
    <w:rsid w:val="00F72306"/>
    <w:rsid w:val="00F7254D"/>
    <w:rsid w:val="00F73CB4"/>
    <w:rsid w:val="00F73EDF"/>
    <w:rsid w:val="00F749B7"/>
    <w:rsid w:val="00F74EEE"/>
    <w:rsid w:val="00F751C9"/>
    <w:rsid w:val="00F76448"/>
    <w:rsid w:val="00F7692D"/>
    <w:rsid w:val="00F76AD5"/>
    <w:rsid w:val="00F77511"/>
    <w:rsid w:val="00F77768"/>
    <w:rsid w:val="00F77831"/>
    <w:rsid w:val="00F778C8"/>
    <w:rsid w:val="00F77E34"/>
    <w:rsid w:val="00F801A0"/>
    <w:rsid w:val="00F8075E"/>
    <w:rsid w:val="00F8099F"/>
    <w:rsid w:val="00F818CF"/>
    <w:rsid w:val="00F823B7"/>
    <w:rsid w:val="00F82BA2"/>
    <w:rsid w:val="00F83505"/>
    <w:rsid w:val="00F839F6"/>
    <w:rsid w:val="00F83D91"/>
    <w:rsid w:val="00F83E0B"/>
    <w:rsid w:val="00F84139"/>
    <w:rsid w:val="00F84AF2"/>
    <w:rsid w:val="00F84F3A"/>
    <w:rsid w:val="00F85841"/>
    <w:rsid w:val="00F858AC"/>
    <w:rsid w:val="00F8674D"/>
    <w:rsid w:val="00F86961"/>
    <w:rsid w:val="00F87109"/>
    <w:rsid w:val="00F874B2"/>
    <w:rsid w:val="00F87724"/>
    <w:rsid w:val="00F904A6"/>
    <w:rsid w:val="00F9063E"/>
    <w:rsid w:val="00F90BFD"/>
    <w:rsid w:val="00F923EC"/>
    <w:rsid w:val="00F92504"/>
    <w:rsid w:val="00F926D6"/>
    <w:rsid w:val="00F93535"/>
    <w:rsid w:val="00F93C35"/>
    <w:rsid w:val="00F942AC"/>
    <w:rsid w:val="00F943D8"/>
    <w:rsid w:val="00F94D0D"/>
    <w:rsid w:val="00F95C38"/>
    <w:rsid w:val="00F95F9E"/>
    <w:rsid w:val="00F96185"/>
    <w:rsid w:val="00F97459"/>
    <w:rsid w:val="00F97596"/>
    <w:rsid w:val="00F97E61"/>
    <w:rsid w:val="00FA1021"/>
    <w:rsid w:val="00FA12CC"/>
    <w:rsid w:val="00FA13FC"/>
    <w:rsid w:val="00FA161B"/>
    <w:rsid w:val="00FA165A"/>
    <w:rsid w:val="00FA1EC3"/>
    <w:rsid w:val="00FA28C8"/>
    <w:rsid w:val="00FA2B1E"/>
    <w:rsid w:val="00FA34AF"/>
    <w:rsid w:val="00FA3E07"/>
    <w:rsid w:val="00FA402F"/>
    <w:rsid w:val="00FA416C"/>
    <w:rsid w:val="00FA6300"/>
    <w:rsid w:val="00FA6C81"/>
    <w:rsid w:val="00FA780C"/>
    <w:rsid w:val="00FB0381"/>
    <w:rsid w:val="00FB145C"/>
    <w:rsid w:val="00FB16F9"/>
    <w:rsid w:val="00FB1D29"/>
    <w:rsid w:val="00FB1E04"/>
    <w:rsid w:val="00FB22B6"/>
    <w:rsid w:val="00FB376B"/>
    <w:rsid w:val="00FB3A06"/>
    <w:rsid w:val="00FB4769"/>
    <w:rsid w:val="00FB4929"/>
    <w:rsid w:val="00FB498A"/>
    <w:rsid w:val="00FB5242"/>
    <w:rsid w:val="00FB5F5D"/>
    <w:rsid w:val="00FB6A27"/>
    <w:rsid w:val="00FB72BA"/>
    <w:rsid w:val="00FB72F0"/>
    <w:rsid w:val="00FB7AFB"/>
    <w:rsid w:val="00FC0287"/>
    <w:rsid w:val="00FC316E"/>
    <w:rsid w:val="00FC3529"/>
    <w:rsid w:val="00FC3F90"/>
    <w:rsid w:val="00FC43BE"/>
    <w:rsid w:val="00FC4E29"/>
    <w:rsid w:val="00FC53FA"/>
    <w:rsid w:val="00FC5800"/>
    <w:rsid w:val="00FC5FA4"/>
    <w:rsid w:val="00FC6940"/>
    <w:rsid w:val="00FC6A55"/>
    <w:rsid w:val="00FC7314"/>
    <w:rsid w:val="00FD0622"/>
    <w:rsid w:val="00FD0DC0"/>
    <w:rsid w:val="00FD1838"/>
    <w:rsid w:val="00FD21E2"/>
    <w:rsid w:val="00FD2713"/>
    <w:rsid w:val="00FD2999"/>
    <w:rsid w:val="00FD32C2"/>
    <w:rsid w:val="00FD3DCA"/>
    <w:rsid w:val="00FD41C7"/>
    <w:rsid w:val="00FD437A"/>
    <w:rsid w:val="00FD53D1"/>
    <w:rsid w:val="00FD76FB"/>
    <w:rsid w:val="00FE0057"/>
    <w:rsid w:val="00FE01D8"/>
    <w:rsid w:val="00FE03DA"/>
    <w:rsid w:val="00FE10D4"/>
    <w:rsid w:val="00FE1B82"/>
    <w:rsid w:val="00FE1CF6"/>
    <w:rsid w:val="00FE1FC5"/>
    <w:rsid w:val="00FE3AFF"/>
    <w:rsid w:val="00FE3D16"/>
    <w:rsid w:val="00FE3FEC"/>
    <w:rsid w:val="00FE497D"/>
    <w:rsid w:val="00FE5CEE"/>
    <w:rsid w:val="00FE67B4"/>
    <w:rsid w:val="00FE69AD"/>
    <w:rsid w:val="00FE6E49"/>
    <w:rsid w:val="00FE7F2E"/>
    <w:rsid w:val="00FF0021"/>
    <w:rsid w:val="00FF0955"/>
    <w:rsid w:val="00FF10F3"/>
    <w:rsid w:val="00FF31AF"/>
    <w:rsid w:val="00FF32B7"/>
    <w:rsid w:val="00FF38C6"/>
    <w:rsid w:val="00FF4470"/>
    <w:rsid w:val="00FF46CC"/>
    <w:rsid w:val="00FF4715"/>
    <w:rsid w:val="00FF4DB2"/>
    <w:rsid w:val="00FF50A5"/>
    <w:rsid w:val="00FF5192"/>
    <w:rsid w:val="00FF5B5B"/>
    <w:rsid w:val="00FF63E6"/>
    <w:rsid w:val="00FF68E2"/>
    <w:rsid w:val="00FF7249"/>
    <w:rsid w:val="00FF7F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41DC9"/>
    <w:rPr>
      <w:sz w:val="20"/>
      <w:szCs w:val="20"/>
    </w:rPr>
  </w:style>
  <w:style w:type="paragraph" w:styleId="Heading1">
    <w:name w:val="heading 1"/>
    <w:basedOn w:val="Normal"/>
    <w:next w:val="Normal"/>
    <w:link w:val="Heading1Char"/>
    <w:uiPriority w:val="99"/>
    <w:qFormat/>
    <w:rsid w:val="008E7F6E"/>
    <w:pPr>
      <w:keepNext/>
      <w:jc w:val="both"/>
      <w:outlineLvl w:val="0"/>
    </w:pPr>
    <w:rPr>
      <w:sz w:val="26"/>
      <w:szCs w:val="26"/>
    </w:rPr>
  </w:style>
  <w:style w:type="paragraph" w:styleId="Heading2">
    <w:name w:val="heading 2"/>
    <w:basedOn w:val="Normal"/>
    <w:next w:val="Normal"/>
    <w:link w:val="Heading2Char1"/>
    <w:uiPriority w:val="99"/>
    <w:qFormat/>
    <w:rsid w:val="008E7F6E"/>
    <w:pPr>
      <w:keepNext/>
      <w:spacing w:after="120"/>
      <w:ind w:firstLine="709"/>
      <w:jc w:val="center"/>
      <w:outlineLvl w:val="1"/>
    </w:pPr>
    <w:rPr>
      <w:rFonts w:ascii="Verdana" w:hAnsi="Verdana" w:cs="Verdana"/>
      <w:b/>
      <w:bCs/>
    </w:rPr>
  </w:style>
  <w:style w:type="paragraph" w:styleId="Heading3">
    <w:name w:val="heading 3"/>
    <w:basedOn w:val="Normal"/>
    <w:next w:val="Normal"/>
    <w:link w:val="Heading3Char"/>
    <w:uiPriority w:val="99"/>
    <w:qFormat/>
    <w:rsid w:val="008E7F6E"/>
    <w:pPr>
      <w:keepNext/>
      <w:ind w:firstLine="425"/>
      <w:outlineLvl w:val="2"/>
    </w:pPr>
    <w:rPr>
      <w:rFonts w:ascii="Verdana" w:hAnsi="Verdana" w:cs="Verdana"/>
      <w:i/>
      <w:iCs/>
    </w:rPr>
  </w:style>
  <w:style w:type="paragraph" w:styleId="Heading4">
    <w:name w:val="heading 4"/>
    <w:basedOn w:val="Normal"/>
    <w:next w:val="Normal"/>
    <w:link w:val="Heading4Char"/>
    <w:uiPriority w:val="99"/>
    <w:qFormat/>
    <w:rsid w:val="008E7F6E"/>
    <w:pPr>
      <w:keepNext/>
      <w:ind w:firstLine="426"/>
      <w:outlineLvl w:val="3"/>
    </w:pPr>
    <w:rPr>
      <w:rFonts w:ascii="Verdana" w:hAnsi="Verdana" w:cs="Verdana"/>
      <w:i/>
      <w:iCs/>
    </w:rPr>
  </w:style>
  <w:style w:type="paragraph" w:styleId="Heading5">
    <w:name w:val="heading 5"/>
    <w:basedOn w:val="Normal"/>
    <w:next w:val="Normal"/>
    <w:link w:val="Heading5Char"/>
    <w:uiPriority w:val="99"/>
    <w:qFormat/>
    <w:rsid w:val="008E7F6E"/>
    <w:pPr>
      <w:keepNext/>
      <w:spacing w:after="120"/>
      <w:jc w:val="both"/>
      <w:outlineLvl w:val="4"/>
    </w:pPr>
    <w:rPr>
      <w:rFonts w:ascii="Verdana" w:hAnsi="Verdana" w:cs="Verdana"/>
      <w:i/>
      <w:iCs/>
    </w:rPr>
  </w:style>
  <w:style w:type="paragraph" w:styleId="Heading6">
    <w:name w:val="heading 6"/>
    <w:basedOn w:val="Normal"/>
    <w:next w:val="Normal"/>
    <w:link w:val="Heading6Char"/>
    <w:uiPriority w:val="99"/>
    <w:qFormat/>
    <w:rsid w:val="008E7F6E"/>
    <w:pPr>
      <w:keepNext/>
      <w:ind w:firstLine="425"/>
      <w:jc w:val="right"/>
      <w:outlineLvl w:val="5"/>
    </w:pPr>
    <w:rPr>
      <w:rFonts w:ascii="Verdana" w:hAnsi="Verdana" w:cs="Verdana"/>
      <w:i/>
      <w:iCs/>
    </w:rPr>
  </w:style>
  <w:style w:type="paragraph" w:styleId="Heading7">
    <w:name w:val="heading 7"/>
    <w:basedOn w:val="Normal"/>
    <w:next w:val="Normal"/>
    <w:link w:val="Heading7Char"/>
    <w:uiPriority w:val="99"/>
    <w:qFormat/>
    <w:rsid w:val="008E7F6E"/>
    <w:pPr>
      <w:spacing w:before="240" w:after="60"/>
      <w:outlineLvl w:val="6"/>
    </w:pPr>
    <w:rPr>
      <w:sz w:val="24"/>
      <w:szCs w:val="24"/>
    </w:rPr>
  </w:style>
  <w:style w:type="paragraph" w:styleId="Heading8">
    <w:name w:val="heading 8"/>
    <w:basedOn w:val="Normal"/>
    <w:next w:val="Normal"/>
    <w:link w:val="Heading8Char"/>
    <w:uiPriority w:val="99"/>
    <w:qFormat/>
    <w:locked/>
    <w:rsid w:val="004A7DE1"/>
    <w:pPr>
      <w:keepNext/>
      <w:ind w:firstLine="709"/>
      <w:jc w:val="both"/>
      <w:outlineLvl w:val="7"/>
    </w:pPr>
    <w:rPr>
      <w:rFonts w:ascii="Garamond" w:hAnsi="Garamond" w:cs="Garamond"/>
      <w:color w:val="FF0000"/>
      <w:sz w:val="24"/>
      <w:szCs w:val="24"/>
    </w:rPr>
  </w:style>
  <w:style w:type="paragraph" w:styleId="Heading9">
    <w:name w:val="heading 9"/>
    <w:basedOn w:val="Normal"/>
    <w:next w:val="Normal"/>
    <w:link w:val="Heading9Char"/>
    <w:uiPriority w:val="99"/>
    <w:qFormat/>
    <w:rsid w:val="008E7F6E"/>
    <w:pPr>
      <w:keepNext/>
      <w:ind w:firstLine="426"/>
      <w:jc w:val="right"/>
      <w:outlineLvl w:val="8"/>
    </w:pPr>
    <w:rPr>
      <w:rFonts w:ascii="Verdana" w:hAnsi="Verdana" w:cs="Verdana"/>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6030"/>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8D7F02"/>
    <w:rPr>
      <w:rFonts w:ascii="Verdana" w:hAnsi="Verdana" w:cs="Verdana"/>
      <w:b/>
      <w:bCs/>
      <w:lang w:val="ru-RU" w:eastAsia="ru-RU" w:bidi="ar-SA"/>
    </w:rPr>
  </w:style>
  <w:style w:type="character" w:customStyle="1" w:styleId="Heading3Char">
    <w:name w:val="Heading 3 Char"/>
    <w:basedOn w:val="DefaultParagraphFont"/>
    <w:link w:val="Heading3"/>
    <w:uiPriority w:val="99"/>
    <w:locked/>
    <w:rsid w:val="004C6030"/>
    <w:rPr>
      <w:rFonts w:ascii="Cambria" w:hAnsi="Cambria" w:cs="Cambria"/>
      <w:b/>
      <w:bCs/>
      <w:sz w:val="26"/>
      <w:szCs w:val="26"/>
    </w:rPr>
  </w:style>
  <w:style w:type="character" w:customStyle="1" w:styleId="Heading4Char">
    <w:name w:val="Heading 4 Char"/>
    <w:basedOn w:val="DefaultParagraphFont"/>
    <w:link w:val="Heading4"/>
    <w:uiPriority w:val="99"/>
    <w:locked/>
    <w:rsid w:val="004C6030"/>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4C6030"/>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4C6030"/>
    <w:rPr>
      <w:rFonts w:ascii="Calibri" w:hAnsi="Calibri" w:cs="Calibri"/>
      <w:b/>
      <w:bCs/>
    </w:rPr>
  </w:style>
  <w:style w:type="character" w:customStyle="1" w:styleId="Heading7Char">
    <w:name w:val="Heading 7 Char"/>
    <w:basedOn w:val="DefaultParagraphFont"/>
    <w:link w:val="Heading7"/>
    <w:uiPriority w:val="99"/>
    <w:semiHidden/>
    <w:locked/>
    <w:rsid w:val="004C6030"/>
    <w:rPr>
      <w:rFonts w:ascii="Calibri" w:hAnsi="Calibri" w:cs="Calibri"/>
      <w:sz w:val="24"/>
      <w:szCs w:val="24"/>
    </w:rPr>
  </w:style>
  <w:style w:type="character" w:customStyle="1" w:styleId="Heading8Char">
    <w:name w:val="Heading 8 Char"/>
    <w:basedOn w:val="DefaultParagraphFont"/>
    <w:link w:val="Heading8"/>
    <w:uiPriority w:val="99"/>
    <w:locked/>
    <w:rsid w:val="004A7DE1"/>
    <w:rPr>
      <w:rFonts w:ascii="Garamond" w:hAnsi="Garamond" w:cs="Garamond"/>
      <w:color w:val="FF0000"/>
      <w:sz w:val="24"/>
      <w:szCs w:val="24"/>
    </w:rPr>
  </w:style>
  <w:style w:type="character" w:customStyle="1" w:styleId="Heading9Char">
    <w:name w:val="Heading 9 Char"/>
    <w:basedOn w:val="DefaultParagraphFont"/>
    <w:link w:val="Heading9"/>
    <w:uiPriority w:val="99"/>
    <w:semiHidden/>
    <w:locked/>
    <w:rsid w:val="004C6030"/>
    <w:rPr>
      <w:rFonts w:ascii="Cambria" w:hAnsi="Cambria" w:cs="Cambria"/>
    </w:rPr>
  </w:style>
  <w:style w:type="character" w:customStyle="1" w:styleId="Heading2Char1">
    <w:name w:val="Heading 2 Char1"/>
    <w:basedOn w:val="DefaultParagraphFont"/>
    <w:link w:val="Heading2"/>
    <w:uiPriority w:val="99"/>
    <w:locked/>
    <w:rsid w:val="004C6030"/>
    <w:rPr>
      <w:rFonts w:ascii="Cambria" w:hAnsi="Cambria" w:cs="Cambria"/>
      <w:b/>
      <w:bCs/>
      <w:i/>
      <w:iCs/>
      <w:sz w:val="28"/>
      <w:szCs w:val="28"/>
    </w:rPr>
  </w:style>
  <w:style w:type="paragraph" w:styleId="BalloonText">
    <w:name w:val="Balloon Text"/>
    <w:basedOn w:val="Normal"/>
    <w:link w:val="BalloonTextChar"/>
    <w:uiPriority w:val="99"/>
    <w:semiHidden/>
    <w:rsid w:val="00541D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6030"/>
    <w:rPr>
      <w:rFonts w:cs="Times New Roman"/>
      <w:sz w:val="2"/>
      <w:szCs w:val="2"/>
    </w:rPr>
  </w:style>
  <w:style w:type="paragraph" w:customStyle="1" w:styleId="artx">
    <w:name w:val="artx"/>
    <w:basedOn w:val="Normal"/>
    <w:uiPriority w:val="99"/>
    <w:rsid w:val="00653FFB"/>
    <w:rPr>
      <w:rFonts w:ascii="Arial" w:hAnsi="Arial" w:cs="Arial"/>
      <w:color w:val="000000"/>
      <w:sz w:val="18"/>
      <w:szCs w:val="18"/>
    </w:rPr>
  </w:style>
  <w:style w:type="paragraph" w:styleId="BodyText">
    <w:name w:val="Body Text"/>
    <w:basedOn w:val="Normal"/>
    <w:link w:val="BodyTextChar"/>
    <w:uiPriority w:val="99"/>
    <w:rsid w:val="00D84EA4"/>
    <w:pPr>
      <w:spacing w:before="100" w:after="100"/>
      <w:jc w:val="both"/>
    </w:pPr>
    <w:rPr>
      <w:rFonts w:ascii="Verdana" w:hAnsi="Verdana" w:cs="Verdana"/>
      <w:sz w:val="18"/>
      <w:szCs w:val="18"/>
    </w:rPr>
  </w:style>
  <w:style w:type="character" w:customStyle="1" w:styleId="BodyTextChar">
    <w:name w:val="Body Text Char"/>
    <w:basedOn w:val="DefaultParagraphFont"/>
    <w:link w:val="BodyText"/>
    <w:uiPriority w:val="99"/>
    <w:locked/>
    <w:rsid w:val="004C6030"/>
    <w:rPr>
      <w:rFonts w:cs="Times New Roman"/>
      <w:sz w:val="20"/>
      <w:szCs w:val="20"/>
    </w:rPr>
  </w:style>
  <w:style w:type="paragraph" w:styleId="Footer">
    <w:name w:val="footer"/>
    <w:basedOn w:val="Normal"/>
    <w:link w:val="FooterChar"/>
    <w:uiPriority w:val="99"/>
    <w:rsid w:val="00541DC9"/>
    <w:pPr>
      <w:tabs>
        <w:tab w:val="center" w:pos="4153"/>
        <w:tab w:val="right" w:pos="8306"/>
      </w:tabs>
    </w:pPr>
  </w:style>
  <w:style w:type="character" w:customStyle="1" w:styleId="FooterChar">
    <w:name w:val="Footer Char"/>
    <w:basedOn w:val="DefaultParagraphFont"/>
    <w:link w:val="Footer"/>
    <w:uiPriority w:val="99"/>
    <w:locked/>
    <w:rsid w:val="009953E9"/>
    <w:rPr>
      <w:rFonts w:cs="Times New Roman"/>
      <w:lang w:val="ru-RU" w:eastAsia="ru-RU"/>
    </w:rPr>
  </w:style>
  <w:style w:type="character" w:styleId="PageNumber">
    <w:name w:val="page number"/>
    <w:basedOn w:val="DefaultParagraphFont"/>
    <w:uiPriority w:val="99"/>
    <w:rsid w:val="00541DC9"/>
    <w:rPr>
      <w:rFonts w:cs="Times New Roman"/>
    </w:rPr>
  </w:style>
  <w:style w:type="paragraph" w:styleId="Header">
    <w:name w:val="header"/>
    <w:basedOn w:val="Normal"/>
    <w:link w:val="HeaderChar"/>
    <w:uiPriority w:val="99"/>
    <w:rsid w:val="00541DC9"/>
    <w:pPr>
      <w:tabs>
        <w:tab w:val="center" w:pos="4153"/>
        <w:tab w:val="right" w:pos="8306"/>
      </w:tabs>
    </w:pPr>
  </w:style>
  <w:style w:type="character" w:customStyle="1" w:styleId="HeaderChar">
    <w:name w:val="Header Char"/>
    <w:basedOn w:val="DefaultParagraphFont"/>
    <w:link w:val="Header"/>
    <w:uiPriority w:val="99"/>
    <w:locked/>
    <w:rsid w:val="004C6030"/>
    <w:rPr>
      <w:rFonts w:cs="Times New Roman"/>
      <w:sz w:val="20"/>
      <w:szCs w:val="20"/>
    </w:rPr>
  </w:style>
  <w:style w:type="paragraph" w:styleId="FootnoteText">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
    <w:basedOn w:val="Normal"/>
    <w:link w:val="FootnoteTextChar1"/>
    <w:uiPriority w:val="99"/>
    <w:rsid w:val="008E7F6E"/>
  </w:style>
  <w:style w:type="character" w:customStyle="1" w:styleId="FootnoteTextChar">
    <w:name w:val="Footnote Text Char"/>
    <w:aliases w:val="Table_Footnote_last Char,Текст сноски Знак Знак Char Char1,Texto de nota al pie Char Char,Texto de nota al pie Char1,Текст сноски Знак Знак Char Char Char,Schriftart: 9 pt Char,Schriftart: 10 pt Char,Schriftart: 8 pt Char"/>
    <w:basedOn w:val="DefaultParagraphFont"/>
    <w:link w:val="FootnoteText"/>
    <w:uiPriority w:val="99"/>
    <w:semiHidden/>
    <w:locked/>
    <w:rsid w:val="006802FB"/>
    <w:rPr>
      <w:rFonts w:cs="Times New Roman"/>
      <w:sz w:val="20"/>
      <w:szCs w:val="20"/>
    </w:rPr>
  </w:style>
  <w:style w:type="character" w:customStyle="1" w:styleId="FootnoteTextChar1">
    <w:name w:val="Footnote Text Char1"/>
    <w:aliases w:val="Table_Footnote_last Char1,Текст сноски Знак Знак Char Char2,Texto de nota al pie Char Char1,Texto de nota al pie Char2,Текст сноски Знак Знак Char Char Char1,Schriftart: 9 pt Char1,Schriftart: 10 pt Char1,Schriftart: 8 pt Char1"/>
    <w:basedOn w:val="DefaultParagraphFont"/>
    <w:link w:val="FootnoteText"/>
    <w:uiPriority w:val="99"/>
    <w:locked/>
    <w:rsid w:val="004C6030"/>
    <w:rPr>
      <w:rFonts w:cs="Times New Roman"/>
      <w:sz w:val="20"/>
      <w:szCs w:val="20"/>
    </w:rPr>
  </w:style>
  <w:style w:type="character" w:styleId="FootnoteReference">
    <w:name w:val="footnote reference"/>
    <w:aliases w:val="Знак сноски 1,Знак сноски-FN"/>
    <w:basedOn w:val="DefaultParagraphFont"/>
    <w:uiPriority w:val="99"/>
    <w:rsid w:val="008E7F6E"/>
    <w:rPr>
      <w:rFonts w:cs="Times New Roman"/>
      <w:vertAlign w:val="superscript"/>
    </w:rPr>
  </w:style>
  <w:style w:type="paragraph" w:styleId="Title">
    <w:name w:val="Title"/>
    <w:basedOn w:val="Normal"/>
    <w:link w:val="TitleChar"/>
    <w:uiPriority w:val="99"/>
    <w:qFormat/>
    <w:rsid w:val="008E7F6E"/>
    <w:pPr>
      <w:spacing w:after="120"/>
      <w:jc w:val="center"/>
    </w:pPr>
    <w:rPr>
      <w:rFonts w:ascii="Verdana" w:hAnsi="Verdana" w:cs="Verdana"/>
      <w:b/>
      <w:bCs/>
    </w:rPr>
  </w:style>
  <w:style w:type="character" w:customStyle="1" w:styleId="TitleChar">
    <w:name w:val="Title Char"/>
    <w:basedOn w:val="DefaultParagraphFont"/>
    <w:link w:val="Title"/>
    <w:uiPriority w:val="99"/>
    <w:locked/>
    <w:rsid w:val="004C6030"/>
    <w:rPr>
      <w:rFonts w:ascii="Cambria" w:hAnsi="Cambria" w:cs="Cambria"/>
      <w:b/>
      <w:bCs/>
      <w:kern w:val="28"/>
      <w:sz w:val="32"/>
      <w:szCs w:val="32"/>
    </w:rPr>
  </w:style>
  <w:style w:type="character" w:styleId="Hyperlink">
    <w:name w:val="Hyperlink"/>
    <w:basedOn w:val="DefaultParagraphFont"/>
    <w:uiPriority w:val="99"/>
    <w:rsid w:val="008E7F6E"/>
    <w:rPr>
      <w:rFonts w:ascii="Tahoma" w:hAnsi="Tahoma" w:cs="Tahoma"/>
      <w:b/>
      <w:bCs/>
      <w:color w:val="auto"/>
      <w:sz w:val="20"/>
      <w:szCs w:val="20"/>
      <w:u w:val="single"/>
    </w:rPr>
  </w:style>
  <w:style w:type="character" w:styleId="Emphasis">
    <w:name w:val="Emphasis"/>
    <w:basedOn w:val="DefaultParagraphFont"/>
    <w:uiPriority w:val="99"/>
    <w:qFormat/>
    <w:rsid w:val="008E7F6E"/>
    <w:rPr>
      <w:rFonts w:cs="Times New Roman"/>
      <w:i/>
      <w:iCs/>
    </w:rPr>
  </w:style>
  <w:style w:type="paragraph" w:styleId="BodyText3">
    <w:name w:val="Body Text 3"/>
    <w:basedOn w:val="Normal"/>
    <w:link w:val="BodyText3Char"/>
    <w:uiPriority w:val="99"/>
    <w:rsid w:val="008E7F6E"/>
    <w:pPr>
      <w:spacing w:after="120"/>
    </w:pPr>
    <w:rPr>
      <w:sz w:val="16"/>
      <w:szCs w:val="16"/>
    </w:rPr>
  </w:style>
  <w:style w:type="character" w:customStyle="1" w:styleId="BodyText3Char">
    <w:name w:val="Body Text 3 Char"/>
    <w:basedOn w:val="DefaultParagraphFont"/>
    <w:link w:val="BodyText3"/>
    <w:uiPriority w:val="99"/>
    <w:locked/>
    <w:rsid w:val="004C6030"/>
    <w:rPr>
      <w:rFonts w:cs="Times New Roman"/>
      <w:sz w:val="16"/>
      <w:szCs w:val="16"/>
    </w:rPr>
  </w:style>
  <w:style w:type="character" w:styleId="LineNumber">
    <w:name w:val="line number"/>
    <w:basedOn w:val="DefaultParagraphFont"/>
    <w:uiPriority w:val="99"/>
    <w:rsid w:val="00B831E3"/>
    <w:rPr>
      <w:rFonts w:cs="Times New Roman"/>
    </w:rPr>
  </w:style>
  <w:style w:type="paragraph" w:customStyle="1" w:styleId="1">
    <w:name w:val="Знак Знак Знак Знак Знак Знак1 Знак Знак Знак Знак Знак Знак Знак Знак Знак Знак"/>
    <w:basedOn w:val="Normal"/>
    <w:uiPriority w:val="99"/>
    <w:rsid w:val="00EA3B13"/>
    <w:pPr>
      <w:spacing w:after="160" w:line="240" w:lineRule="exact"/>
    </w:pPr>
    <w:rPr>
      <w:rFonts w:ascii="Verdana" w:hAnsi="Verdana" w:cs="Verdana"/>
      <w:lang w:val="en-US" w:eastAsia="en-US"/>
    </w:rPr>
  </w:style>
  <w:style w:type="paragraph" w:styleId="BodyTextIndent2">
    <w:name w:val="Body Text Indent 2"/>
    <w:basedOn w:val="Normal"/>
    <w:link w:val="BodyTextIndent2Char1"/>
    <w:uiPriority w:val="99"/>
    <w:rsid w:val="005620F1"/>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33389"/>
    <w:rPr>
      <w:rFonts w:cs="Times New Roman"/>
      <w:lang w:val="ru-RU" w:eastAsia="ru-RU" w:bidi="ar-SA"/>
    </w:rPr>
  </w:style>
  <w:style w:type="character" w:customStyle="1" w:styleId="BodyTextIndent2Char1">
    <w:name w:val="Body Text Indent 2 Char1"/>
    <w:basedOn w:val="DefaultParagraphFont"/>
    <w:link w:val="BodyTextIndent2"/>
    <w:uiPriority w:val="99"/>
    <w:semiHidden/>
    <w:locked/>
    <w:rsid w:val="004C6030"/>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Normal"/>
    <w:uiPriority w:val="99"/>
    <w:rsid w:val="00FE03DA"/>
    <w:rPr>
      <w:rFonts w:ascii="Verdana" w:hAnsi="Verdana" w:cs="Verdana"/>
      <w:lang w:val="en-US" w:eastAsia="en-US"/>
    </w:rPr>
  </w:style>
  <w:style w:type="table" w:styleId="TableGrid">
    <w:name w:val="Table Grid"/>
    <w:basedOn w:val="TableNormal"/>
    <w:uiPriority w:val="99"/>
    <w:rsid w:val="00FE03D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DefaultParagraphFont"/>
    <w:uiPriority w:val="99"/>
    <w:rsid w:val="0048472D"/>
    <w:rPr>
      <w:rFonts w:ascii="Times New Roman" w:hAnsi="Times New Roman" w:cs="Times New Roman"/>
      <w:sz w:val="22"/>
      <w:szCs w:val="22"/>
    </w:rPr>
  </w:style>
  <w:style w:type="paragraph" w:styleId="BodyText2">
    <w:name w:val="Body Text 2"/>
    <w:basedOn w:val="Normal"/>
    <w:link w:val="BodyText2Char"/>
    <w:uiPriority w:val="99"/>
    <w:rsid w:val="00415C5F"/>
    <w:pPr>
      <w:spacing w:after="120" w:line="480" w:lineRule="auto"/>
    </w:pPr>
    <w:rPr>
      <w:sz w:val="24"/>
      <w:szCs w:val="24"/>
    </w:rPr>
  </w:style>
  <w:style w:type="character" w:customStyle="1" w:styleId="BodyText2Char">
    <w:name w:val="Body Text 2 Char"/>
    <w:basedOn w:val="DefaultParagraphFont"/>
    <w:link w:val="BodyText2"/>
    <w:uiPriority w:val="99"/>
    <w:semiHidden/>
    <w:locked/>
    <w:rsid w:val="004C6030"/>
    <w:rPr>
      <w:rFonts w:cs="Times New Roman"/>
      <w:sz w:val="20"/>
      <w:szCs w:val="20"/>
    </w:rPr>
  </w:style>
  <w:style w:type="paragraph" w:customStyle="1" w:styleId="p2">
    <w:name w:val="p2"/>
    <w:basedOn w:val="Normal"/>
    <w:uiPriority w:val="99"/>
    <w:rsid w:val="00415C5F"/>
    <w:pPr>
      <w:spacing w:before="100" w:beforeAutospacing="1" w:after="100" w:afterAutospacing="1"/>
      <w:jc w:val="both"/>
    </w:pPr>
    <w:rPr>
      <w:rFonts w:ascii="Arial" w:hAnsi="Arial" w:cs="Arial"/>
      <w:color w:val="000000"/>
    </w:rPr>
  </w:style>
  <w:style w:type="paragraph" w:styleId="PlainText">
    <w:name w:val="Plain Text"/>
    <w:basedOn w:val="Normal"/>
    <w:link w:val="PlainTextChar"/>
    <w:uiPriority w:val="99"/>
    <w:rsid w:val="008518C1"/>
    <w:rPr>
      <w:rFonts w:ascii="Courier New" w:hAnsi="Courier New" w:cs="Courier New"/>
    </w:rPr>
  </w:style>
  <w:style w:type="character" w:customStyle="1" w:styleId="PlainTextChar">
    <w:name w:val="Plain Text Char"/>
    <w:basedOn w:val="DefaultParagraphFont"/>
    <w:link w:val="PlainText"/>
    <w:uiPriority w:val="99"/>
    <w:locked/>
    <w:rsid w:val="004C6030"/>
    <w:rPr>
      <w:rFonts w:ascii="Courier New" w:hAnsi="Courier New" w:cs="Courier New"/>
      <w:sz w:val="20"/>
      <w:szCs w:val="20"/>
    </w:rPr>
  </w:style>
  <w:style w:type="paragraph" w:styleId="HTMLPreformatted">
    <w:name w:val="HTML Preformatted"/>
    <w:basedOn w:val="Normal"/>
    <w:link w:val="HTMLPreformattedChar1"/>
    <w:uiPriority w:val="99"/>
    <w:rsid w:val="0085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56F0E"/>
    <w:rPr>
      <w:rFonts w:ascii="Courier New" w:hAnsi="Courier New" w:cs="Courier New"/>
      <w:lang w:val="ru-RU" w:eastAsia="ru-RU"/>
    </w:rPr>
  </w:style>
  <w:style w:type="character" w:customStyle="1" w:styleId="HTMLPreformattedChar1">
    <w:name w:val="HTML Preformatted Char1"/>
    <w:basedOn w:val="DefaultParagraphFont"/>
    <w:link w:val="HTMLPreformatted"/>
    <w:uiPriority w:val="99"/>
    <w:locked/>
    <w:rsid w:val="00897612"/>
    <w:rPr>
      <w:rFonts w:ascii="Courier New" w:hAnsi="Courier New" w:cs="Courier New"/>
      <w:lang w:val="ru-RU" w:eastAsia="ru-RU"/>
    </w:rPr>
  </w:style>
  <w:style w:type="paragraph" w:styleId="BodyTextIndent">
    <w:name w:val="Body Text Indent"/>
    <w:basedOn w:val="Normal"/>
    <w:link w:val="BodyTextIndentChar"/>
    <w:uiPriority w:val="99"/>
    <w:rsid w:val="008518C1"/>
    <w:pPr>
      <w:spacing w:after="120"/>
      <w:ind w:left="283"/>
    </w:pPr>
  </w:style>
  <w:style w:type="character" w:customStyle="1" w:styleId="BodyTextIndentChar">
    <w:name w:val="Body Text Indent Char"/>
    <w:basedOn w:val="DefaultParagraphFont"/>
    <w:link w:val="BodyTextIndent"/>
    <w:uiPriority w:val="99"/>
    <w:locked/>
    <w:rsid w:val="004C6030"/>
    <w:rPr>
      <w:rFonts w:cs="Times New Roman"/>
      <w:sz w:val="20"/>
      <w:szCs w:val="20"/>
    </w:rPr>
  </w:style>
  <w:style w:type="paragraph" w:customStyle="1" w:styleId="Pa16">
    <w:name w:val="Pa16"/>
    <w:basedOn w:val="Normal"/>
    <w:next w:val="Normal"/>
    <w:uiPriority w:val="99"/>
    <w:rsid w:val="008518C1"/>
    <w:pPr>
      <w:autoSpaceDE w:val="0"/>
      <w:autoSpaceDN w:val="0"/>
      <w:adjustRightInd w:val="0"/>
      <w:spacing w:line="221" w:lineRule="atLeast"/>
    </w:pPr>
    <w:rPr>
      <w:rFonts w:ascii="FreeSetC" w:hAnsi="FreeSetC" w:cs="FreeSetC"/>
      <w:sz w:val="24"/>
      <w:szCs w:val="24"/>
    </w:rPr>
  </w:style>
  <w:style w:type="paragraph" w:styleId="BodyTextIndent3">
    <w:name w:val="Body Text Indent 3"/>
    <w:basedOn w:val="Normal"/>
    <w:link w:val="BodyTextIndent3Char"/>
    <w:uiPriority w:val="99"/>
    <w:rsid w:val="00AA4E8C"/>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4C6030"/>
    <w:rPr>
      <w:rFonts w:cs="Times New Roman"/>
      <w:sz w:val="16"/>
      <w:szCs w:val="16"/>
    </w:rPr>
  </w:style>
  <w:style w:type="paragraph" w:styleId="NormalWeb">
    <w:name w:val="Normal (Web)"/>
    <w:basedOn w:val="Normal"/>
    <w:uiPriority w:val="99"/>
    <w:rsid w:val="0058279C"/>
    <w:pPr>
      <w:spacing w:before="100" w:beforeAutospacing="1" w:after="100" w:afterAutospacing="1"/>
    </w:pPr>
    <w:rPr>
      <w:sz w:val="24"/>
      <w:szCs w:val="24"/>
    </w:rPr>
  </w:style>
  <w:style w:type="paragraph" w:customStyle="1" w:styleId="Normal1">
    <w:name w:val="Normal1"/>
    <w:link w:val="Normal0"/>
    <w:uiPriority w:val="99"/>
    <w:rsid w:val="00B61D93"/>
    <w:pPr>
      <w:spacing w:before="100" w:after="100"/>
    </w:pPr>
    <w:rPr>
      <w:sz w:val="24"/>
      <w:szCs w:val="24"/>
    </w:rPr>
  </w:style>
  <w:style w:type="character" w:customStyle="1" w:styleId="Normal0">
    <w:name w:val="Normal Знак"/>
    <w:basedOn w:val="DefaultParagraphFont"/>
    <w:link w:val="Normal1"/>
    <w:uiPriority w:val="99"/>
    <w:locked/>
    <w:rsid w:val="004C444A"/>
    <w:rPr>
      <w:rFonts w:cs="Times New Roman"/>
      <w:sz w:val="24"/>
      <w:szCs w:val="24"/>
      <w:lang w:val="ru-RU" w:eastAsia="ru-RU" w:bidi="ar-SA"/>
    </w:rPr>
  </w:style>
  <w:style w:type="character" w:styleId="CommentReference">
    <w:name w:val="annotation reference"/>
    <w:basedOn w:val="DefaultParagraphFont"/>
    <w:uiPriority w:val="99"/>
    <w:semiHidden/>
    <w:rsid w:val="00AF52A3"/>
    <w:rPr>
      <w:rFonts w:cs="Times New Roman"/>
      <w:sz w:val="16"/>
      <w:szCs w:val="16"/>
    </w:rPr>
  </w:style>
  <w:style w:type="paragraph" w:styleId="CommentText">
    <w:name w:val="annotation text"/>
    <w:basedOn w:val="Normal"/>
    <w:link w:val="CommentTextChar"/>
    <w:uiPriority w:val="99"/>
    <w:semiHidden/>
    <w:rsid w:val="00AF52A3"/>
  </w:style>
  <w:style w:type="character" w:customStyle="1" w:styleId="CommentTextChar">
    <w:name w:val="Comment Text Char"/>
    <w:basedOn w:val="DefaultParagraphFont"/>
    <w:link w:val="CommentText"/>
    <w:uiPriority w:val="99"/>
    <w:semiHidden/>
    <w:locked/>
    <w:rsid w:val="004C6030"/>
    <w:rPr>
      <w:rFonts w:cs="Times New Roman"/>
      <w:sz w:val="20"/>
      <w:szCs w:val="20"/>
    </w:rPr>
  </w:style>
  <w:style w:type="paragraph" w:styleId="CommentSubject">
    <w:name w:val="annotation subject"/>
    <w:basedOn w:val="CommentText"/>
    <w:next w:val="CommentText"/>
    <w:link w:val="CommentSubjectChar"/>
    <w:uiPriority w:val="99"/>
    <w:semiHidden/>
    <w:rsid w:val="00AF52A3"/>
    <w:rPr>
      <w:b/>
      <w:bCs/>
    </w:rPr>
  </w:style>
  <w:style w:type="character" w:customStyle="1" w:styleId="CommentSubjectChar">
    <w:name w:val="Comment Subject Char"/>
    <w:basedOn w:val="CommentTextChar"/>
    <w:link w:val="CommentSubject"/>
    <w:uiPriority w:val="99"/>
    <w:semiHidden/>
    <w:locked/>
    <w:rsid w:val="004C6030"/>
    <w:rPr>
      <w:b/>
      <w:bCs/>
    </w:rPr>
  </w:style>
  <w:style w:type="paragraph" w:customStyle="1" w:styleId="caaieiaie1">
    <w:name w:val="caaieiaie 1"/>
    <w:basedOn w:val="Normal"/>
    <w:next w:val="Normal"/>
    <w:uiPriority w:val="99"/>
    <w:rsid w:val="00570C81"/>
    <w:pPr>
      <w:keepNext/>
    </w:pPr>
    <w:rPr>
      <w:sz w:val="24"/>
      <w:szCs w:val="24"/>
      <w:lang w:val="en-US"/>
    </w:rPr>
  </w:style>
  <w:style w:type="paragraph" w:customStyle="1" w:styleId="2">
    <w:name w:val="2"/>
    <w:basedOn w:val="Normal"/>
    <w:uiPriority w:val="99"/>
    <w:rsid w:val="005F227A"/>
    <w:rPr>
      <w:rFonts w:ascii="Verdana" w:hAnsi="Verdana" w:cs="Verdana"/>
      <w:lang w:val="en-US" w:eastAsia="en-US"/>
    </w:rPr>
  </w:style>
  <w:style w:type="paragraph" w:customStyle="1" w:styleId="normal2">
    <w:name w:val="normal"/>
    <w:basedOn w:val="Normal"/>
    <w:uiPriority w:val="99"/>
    <w:rsid w:val="004C444A"/>
    <w:pPr>
      <w:spacing w:before="100" w:beforeAutospacing="1" w:after="100" w:afterAutospacing="1"/>
    </w:pPr>
    <w:rPr>
      <w:sz w:val="24"/>
      <w:szCs w:val="24"/>
    </w:rPr>
  </w:style>
  <w:style w:type="paragraph" w:customStyle="1" w:styleId="10">
    <w:name w:val="Абзац списка1"/>
    <w:basedOn w:val="Normal"/>
    <w:uiPriority w:val="99"/>
    <w:rsid w:val="00284603"/>
    <w:pPr>
      <w:ind w:left="720" w:firstLine="709"/>
      <w:jc w:val="both"/>
    </w:pPr>
    <w:rPr>
      <w:rFonts w:ascii="Calibri" w:hAnsi="Calibri" w:cs="Calibri"/>
      <w:sz w:val="22"/>
      <w:szCs w:val="22"/>
    </w:rPr>
  </w:style>
  <w:style w:type="paragraph" w:customStyle="1" w:styleId="par">
    <w:name w:val="par"/>
    <w:basedOn w:val="Normal"/>
    <w:uiPriority w:val="99"/>
    <w:rsid w:val="0047598D"/>
    <w:pPr>
      <w:spacing w:before="100" w:beforeAutospacing="1" w:after="100" w:afterAutospacing="1"/>
    </w:pPr>
    <w:rPr>
      <w:sz w:val="24"/>
      <w:szCs w:val="24"/>
    </w:rPr>
  </w:style>
  <w:style w:type="character" w:customStyle="1" w:styleId="Strong1">
    <w:name w:val="Strong1"/>
    <w:uiPriority w:val="99"/>
    <w:rsid w:val="002B77F2"/>
    <w:rPr>
      <w:b/>
    </w:rPr>
  </w:style>
  <w:style w:type="paragraph" w:customStyle="1" w:styleId="a">
    <w:name w:val="a"/>
    <w:basedOn w:val="Normal"/>
    <w:uiPriority w:val="99"/>
    <w:rsid w:val="000020E5"/>
    <w:pPr>
      <w:spacing w:before="60"/>
      <w:jc w:val="both"/>
    </w:pPr>
    <w:rPr>
      <w:rFonts w:ascii="Arial" w:hAnsi="Arial" w:cs="Arial"/>
    </w:rPr>
  </w:style>
  <w:style w:type="paragraph" w:customStyle="1" w:styleId="a0">
    <w:name w:val="Знак"/>
    <w:basedOn w:val="Normal"/>
    <w:uiPriority w:val="99"/>
    <w:rsid w:val="005F20F4"/>
    <w:rPr>
      <w:rFonts w:ascii="Verdana" w:hAnsi="Verdana" w:cs="Verdana"/>
      <w:lang w:val="en-US" w:eastAsia="en-US"/>
    </w:rPr>
  </w:style>
  <w:style w:type="paragraph" w:customStyle="1" w:styleId="11">
    <w:name w:val="Знак Знак Знак Знак Знак Знак Знак Знак Знак1 Знак Знак Знак Знак"/>
    <w:basedOn w:val="Normal"/>
    <w:uiPriority w:val="99"/>
    <w:rsid w:val="0099174B"/>
    <w:pPr>
      <w:spacing w:after="160" w:line="240" w:lineRule="exact"/>
    </w:pPr>
    <w:rPr>
      <w:rFonts w:ascii="Verdana" w:hAnsi="Verdana" w:cs="Verdana"/>
      <w:lang w:val="en-US" w:eastAsia="en-US"/>
    </w:rPr>
  </w:style>
  <w:style w:type="paragraph" w:styleId="Closing">
    <w:name w:val="Closing"/>
    <w:basedOn w:val="Normal"/>
    <w:link w:val="ClosingChar"/>
    <w:uiPriority w:val="99"/>
    <w:rsid w:val="00F1587F"/>
    <w:pPr>
      <w:spacing w:line="220" w:lineRule="atLeast"/>
      <w:ind w:left="840" w:right="-360"/>
    </w:pPr>
  </w:style>
  <w:style w:type="character" w:customStyle="1" w:styleId="ClosingChar">
    <w:name w:val="Closing Char"/>
    <w:basedOn w:val="DefaultParagraphFont"/>
    <w:link w:val="Closing"/>
    <w:uiPriority w:val="99"/>
    <w:locked/>
    <w:rsid w:val="004C6030"/>
    <w:rPr>
      <w:rFonts w:cs="Times New Roman"/>
      <w:sz w:val="20"/>
      <w:szCs w:val="20"/>
    </w:rPr>
  </w:style>
  <w:style w:type="paragraph" w:customStyle="1" w:styleId="Iauiue">
    <w:name w:val="Iau?iue"/>
    <w:uiPriority w:val="99"/>
    <w:rsid w:val="006A5175"/>
    <w:rPr>
      <w:sz w:val="20"/>
      <w:szCs w:val="20"/>
    </w:rPr>
  </w:style>
  <w:style w:type="paragraph" w:customStyle="1" w:styleId="12">
    <w:name w:val="Знак1"/>
    <w:basedOn w:val="Normal"/>
    <w:uiPriority w:val="99"/>
    <w:rsid w:val="00226D6F"/>
    <w:rPr>
      <w:rFonts w:ascii="Verdana" w:hAnsi="Verdana" w:cs="Verdana"/>
      <w:lang w:val="en-US" w:eastAsia="en-US"/>
    </w:rPr>
  </w:style>
  <w:style w:type="character" w:styleId="Strong">
    <w:name w:val="Strong"/>
    <w:basedOn w:val="DefaultParagraphFont"/>
    <w:uiPriority w:val="99"/>
    <w:qFormat/>
    <w:rsid w:val="00226D6F"/>
    <w:rPr>
      <w:rFonts w:cs="Times New Roman"/>
      <w:b/>
      <w:bCs/>
    </w:rPr>
  </w:style>
  <w:style w:type="character" w:customStyle="1" w:styleId="text-small">
    <w:name w:val="text-small"/>
    <w:basedOn w:val="DefaultParagraphFont"/>
    <w:uiPriority w:val="99"/>
    <w:rsid w:val="00226D6F"/>
    <w:rPr>
      <w:rFonts w:cs="Times New Roman"/>
    </w:rPr>
  </w:style>
  <w:style w:type="character" w:customStyle="1" w:styleId="margintext-small">
    <w:name w:val="margin text-small"/>
    <w:basedOn w:val="DefaultParagraphFont"/>
    <w:uiPriority w:val="99"/>
    <w:rsid w:val="00226D6F"/>
    <w:rPr>
      <w:rFonts w:cs="Times New Roman"/>
    </w:rPr>
  </w:style>
  <w:style w:type="paragraph" w:customStyle="1" w:styleId="ConsNormal">
    <w:name w:val="ConsNormal"/>
    <w:uiPriority w:val="99"/>
    <w:rsid w:val="00226D6F"/>
    <w:pPr>
      <w:widowControl w:val="0"/>
      <w:autoSpaceDE w:val="0"/>
      <w:autoSpaceDN w:val="0"/>
      <w:adjustRightInd w:val="0"/>
      <w:ind w:right="19772" w:firstLine="720"/>
    </w:pPr>
    <w:rPr>
      <w:rFonts w:ascii="Arial" w:hAnsi="Arial" w:cs="Arial"/>
      <w:sz w:val="20"/>
      <w:szCs w:val="20"/>
    </w:rPr>
  </w:style>
  <w:style w:type="character" w:customStyle="1" w:styleId="FontStyle11">
    <w:name w:val="Font Style11"/>
    <w:basedOn w:val="DefaultParagraphFont"/>
    <w:uiPriority w:val="99"/>
    <w:rsid w:val="00226D6F"/>
    <w:rPr>
      <w:rFonts w:ascii="Times New Roman" w:hAnsi="Times New Roman" w:cs="Times New Roman"/>
      <w:sz w:val="24"/>
      <w:szCs w:val="24"/>
    </w:rPr>
  </w:style>
  <w:style w:type="character" w:customStyle="1" w:styleId="b-news-groupsnews-description">
    <w:name w:val="b-news-groups__news-description"/>
    <w:basedOn w:val="DefaultParagraphFont"/>
    <w:uiPriority w:val="99"/>
    <w:rsid w:val="00376494"/>
    <w:rPr>
      <w:rFonts w:cs="Times New Roman"/>
    </w:rPr>
  </w:style>
  <w:style w:type="character" w:customStyle="1" w:styleId="13">
    <w:name w:val="Знак Знак1"/>
    <w:basedOn w:val="DefaultParagraphFont"/>
    <w:uiPriority w:val="99"/>
    <w:rsid w:val="00A64DB1"/>
    <w:rPr>
      <w:rFonts w:cs="Times New Roman"/>
      <w:lang w:val="ru-RU" w:eastAsia="ru-RU"/>
    </w:rPr>
  </w:style>
  <w:style w:type="paragraph" w:customStyle="1" w:styleId="20">
    <w:name w:val="Знак2 Знак Знак Знак"/>
    <w:basedOn w:val="Normal"/>
    <w:uiPriority w:val="99"/>
    <w:rsid w:val="002D77DE"/>
    <w:rPr>
      <w:rFonts w:ascii="Verdana" w:hAnsi="Verdana" w:cs="Verdana"/>
      <w:lang w:val="en-US" w:eastAsia="en-US"/>
    </w:rPr>
  </w:style>
  <w:style w:type="character" w:customStyle="1" w:styleId="blk">
    <w:name w:val="blk"/>
    <w:basedOn w:val="DefaultParagraphFont"/>
    <w:uiPriority w:val="99"/>
    <w:rsid w:val="00CA6373"/>
    <w:rPr>
      <w:rFonts w:cs="Times New Roman"/>
    </w:rPr>
  </w:style>
  <w:style w:type="paragraph" w:customStyle="1" w:styleId="14">
    <w:name w:val="Без интервала1"/>
    <w:uiPriority w:val="99"/>
    <w:rsid w:val="00795BC1"/>
    <w:rPr>
      <w:rFonts w:ascii="Calibri" w:hAnsi="Calibri" w:cs="Calibri"/>
    </w:rPr>
  </w:style>
  <w:style w:type="paragraph" w:customStyle="1" w:styleId="21">
    <w:name w:val="Знак2 Знак Знак Знак1"/>
    <w:basedOn w:val="Normal"/>
    <w:uiPriority w:val="99"/>
    <w:rsid w:val="00C94023"/>
    <w:rPr>
      <w:rFonts w:ascii="Verdana" w:hAnsi="Verdana" w:cs="Verdana"/>
      <w:lang w:val="en-US" w:eastAsia="en-US"/>
    </w:rPr>
  </w:style>
  <w:style w:type="paragraph" w:customStyle="1" w:styleId="MainText">
    <w:name w:val="MainText"/>
    <w:uiPriority w:val="99"/>
    <w:rsid w:val="00C15B85"/>
    <w:pPr>
      <w:overflowPunct w:val="0"/>
      <w:autoSpaceDE w:val="0"/>
      <w:autoSpaceDN w:val="0"/>
      <w:adjustRightInd w:val="0"/>
      <w:ind w:firstLine="567"/>
      <w:jc w:val="both"/>
    </w:pPr>
    <w:rPr>
      <w:rFonts w:ascii="PragmaticaC" w:hAnsi="PragmaticaC" w:cs="PragmaticaC"/>
      <w:color w:val="000000"/>
      <w:sz w:val="19"/>
      <w:szCs w:val="19"/>
      <w:lang w:val="en-US" w:eastAsia="en-US"/>
    </w:rPr>
  </w:style>
  <w:style w:type="paragraph" w:customStyle="1" w:styleId="Default">
    <w:name w:val="Default"/>
    <w:uiPriority w:val="99"/>
    <w:rsid w:val="003E01A1"/>
    <w:pPr>
      <w:autoSpaceDE w:val="0"/>
      <w:autoSpaceDN w:val="0"/>
      <w:adjustRightInd w:val="0"/>
    </w:pPr>
    <w:rPr>
      <w:color w:val="000000"/>
      <w:sz w:val="24"/>
      <w:szCs w:val="24"/>
    </w:rPr>
  </w:style>
  <w:style w:type="paragraph" w:customStyle="1" w:styleId="15">
    <w:name w:val="1"/>
    <w:basedOn w:val="Normal"/>
    <w:uiPriority w:val="99"/>
    <w:rsid w:val="00E92484"/>
    <w:rPr>
      <w:rFonts w:ascii="Verdana" w:hAnsi="Verdana" w:cs="Verdana"/>
      <w:lang w:val="en-US" w:eastAsia="en-US"/>
    </w:rPr>
  </w:style>
  <w:style w:type="paragraph" w:customStyle="1" w:styleId="ListParagraph1">
    <w:name w:val="List Paragraph1"/>
    <w:basedOn w:val="Normal"/>
    <w:uiPriority w:val="99"/>
    <w:rsid w:val="00531652"/>
    <w:pPr>
      <w:spacing w:after="200" w:line="276" w:lineRule="auto"/>
      <w:ind w:left="720"/>
    </w:pPr>
    <w:rPr>
      <w:rFonts w:ascii="Calibri" w:hAnsi="Calibri" w:cs="Calibri"/>
      <w:sz w:val="22"/>
      <w:szCs w:val="22"/>
      <w:lang w:eastAsia="en-US"/>
    </w:rPr>
  </w:style>
  <w:style w:type="paragraph" w:customStyle="1" w:styleId="110">
    <w:name w:val="Знак Знак Знак Знак Знак Знак1 Знак Знак Знак Знак Знак Знак Знак Знак Знак Знак1"/>
    <w:basedOn w:val="Normal"/>
    <w:uiPriority w:val="99"/>
    <w:rsid w:val="00D41471"/>
    <w:pPr>
      <w:spacing w:after="160" w:line="240" w:lineRule="exact"/>
    </w:pPr>
    <w:rPr>
      <w:rFonts w:ascii="Verdana" w:hAnsi="Verdana" w:cs="Verdana"/>
      <w:lang w:val="en-US" w:eastAsia="en-US"/>
    </w:rPr>
  </w:style>
  <w:style w:type="paragraph" w:customStyle="1" w:styleId="ConsPlusNormal">
    <w:name w:val="ConsPlusNormal"/>
    <w:uiPriority w:val="99"/>
    <w:rsid w:val="00A64E05"/>
    <w:pPr>
      <w:widowControl w:val="0"/>
      <w:autoSpaceDE w:val="0"/>
      <w:autoSpaceDN w:val="0"/>
      <w:adjustRightInd w:val="0"/>
    </w:pPr>
    <w:rPr>
      <w:rFonts w:ascii="Arial" w:hAnsi="Arial" w:cs="Arial"/>
      <w:sz w:val="20"/>
      <w:szCs w:val="20"/>
    </w:rPr>
  </w:style>
  <w:style w:type="paragraph" w:customStyle="1" w:styleId="Style6">
    <w:name w:val="Style6"/>
    <w:basedOn w:val="Normal"/>
    <w:uiPriority w:val="99"/>
    <w:rsid w:val="00CE4FF8"/>
    <w:pPr>
      <w:widowControl w:val="0"/>
      <w:autoSpaceDE w:val="0"/>
      <w:autoSpaceDN w:val="0"/>
      <w:adjustRightInd w:val="0"/>
      <w:spacing w:line="226" w:lineRule="exact"/>
      <w:ind w:firstLine="580"/>
      <w:jc w:val="both"/>
    </w:pPr>
    <w:rPr>
      <w:sz w:val="24"/>
      <w:szCs w:val="24"/>
    </w:rPr>
  </w:style>
  <w:style w:type="character" w:customStyle="1" w:styleId="FontStyle13">
    <w:name w:val="Font Style13"/>
    <w:basedOn w:val="DefaultParagraphFont"/>
    <w:uiPriority w:val="99"/>
    <w:rsid w:val="00CE4FF8"/>
    <w:rPr>
      <w:rFonts w:ascii="Times New Roman" w:hAnsi="Times New Roman" w:cs="Times New Roman"/>
      <w:sz w:val="18"/>
      <w:szCs w:val="18"/>
    </w:rPr>
  </w:style>
  <w:style w:type="character" w:customStyle="1" w:styleId="FontStyle14">
    <w:name w:val="Font Style14"/>
    <w:basedOn w:val="DefaultParagraphFont"/>
    <w:uiPriority w:val="99"/>
    <w:rsid w:val="00CE4FF8"/>
    <w:rPr>
      <w:rFonts w:ascii="Times New Roman" w:hAnsi="Times New Roman" w:cs="Times New Roman"/>
      <w:b/>
      <w:bCs/>
      <w:i/>
      <w:iCs/>
      <w:sz w:val="16"/>
      <w:szCs w:val="16"/>
    </w:rPr>
  </w:style>
  <w:style w:type="paragraph" w:customStyle="1" w:styleId="Style4">
    <w:name w:val="Style4"/>
    <w:basedOn w:val="Normal"/>
    <w:uiPriority w:val="99"/>
    <w:rsid w:val="00403E66"/>
    <w:pPr>
      <w:widowControl w:val="0"/>
      <w:autoSpaceDE w:val="0"/>
      <w:autoSpaceDN w:val="0"/>
      <w:adjustRightInd w:val="0"/>
      <w:spacing w:line="267" w:lineRule="exact"/>
      <w:ind w:firstLine="720"/>
      <w:jc w:val="both"/>
    </w:pPr>
    <w:rPr>
      <w:sz w:val="24"/>
      <w:szCs w:val="24"/>
    </w:rPr>
  </w:style>
  <w:style w:type="paragraph" w:customStyle="1" w:styleId="16">
    <w:name w:val="Обычный1"/>
    <w:uiPriority w:val="99"/>
    <w:rsid w:val="0075144C"/>
    <w:pPr>
      <w:spacing w:before="100" w:after="100"/>
    </w:pPr>
    <w:rPr>
      <w:sz w:val="24"/>
      <w:szCs w:val="20"/>
    </w:rPr>
  </w:style>
  <w:style w:type="paragraph" w:customStyle="1" w:styleId="ConsPlusNonformat">
    <w:name w:val="ConsPlusNonformat"/>
    <w:uiPriority w:val="99"/>
    <w:rsid w:val="004A7DE1"/>
    <w:pPr>
      <w:ind w:firstLine="709"/>
    </w:pPr>
    <w:rPr>
      <w:rFonts w:ascii="Courier New" w:hAnsi="Courier New" w:cs="Courier New"/>
      <w:sz w:val="20"/>
      <w:szCs w:val="20"/>
    </w:rPr>
  </w:style>
  <w:style w:type="paragraph" w:styleId="ListParagraph">
    <w:name w:val="List Paragraph"/>
    <w:basedOn w:val="Normal"/>
    <w:uiPriority w:val="99"/>
    <w:qFormat/>
    <w:rsid w:val="004A7DE1"/>
    <w:pPr>
      <w:ind w:left="720" w:firstLine="709"/>
    </w:pPr>
  </w:style>
  <w:style w:type="paragraph" w:styleId="EndnoteText">
    <w:name w:val="endnote text"/>
    <w:basedOn w:val="Normal"/>
    <w:link w:val="EndnoteTextChar"/>
    <w:uiPriority w:val="99"/>
    <w:rsid w:val="004A7DE1"/>
    <w:pPr>
      <w:ind w:firstLine="709"/>
    </w:pPr>
  </w:style>
  <w:style w:type="character" w:customStyle="1" w:styleId="EndnoteTextChar">
    <w:name w:val="Endnote Text Char"/>
    <w:basedOn w:val="DefaultParagraphFont"/>
    <w:link w:val="EndnoteText"/>
    <w:uiPriority w:val="99"/>
    <w:locked/>
    <w:rsid w:val="004A7DE1"/>
    <w:rPr>
      <w:rFonts w:cs="Times New Roman"/>
    </w:rPr>
  </w:style>
  <w:style w:type="character" w:styleId="EndnoteReference">
    <w:name w:val="endnote reference"/>
    <w:basedOn w:val="DefaultParagraphFont"/>
    <w:uiPriority w:val="99"/>
    <w:rsid w:val="004A7DE1"/>
    <w:rPr>
      <w:rFonts w:cs="Times New Roman"/>
      <w:vertAlign w:val="superscript"/>
    </w:rPr>
  </w:style>
  <w:style w:type="character" w:customStyle="1" w:styleId="8">
    <w:name w:val="Знак Знак8"/>
    <w:basedOn w:val="DefaultParagraphFont"/>
    <w:uiPriority w:val="99"/>
    <w:semiHidden/>
    <w:locked/>
    <w:rsid w:val="00D719F1"/>
    <w:rPr>
      <w:rFonts w:ascii="Verdana" w:hAnsi="Verdana" w:cs="Verdana"/>
      <w:lang w:val="ru-RU" w:eastAsia="ru-RU" w:bidi="ar-SA"/>
    </w:rPr>
  </w:style>
  <w:style w:type="paragraph" w:customStyle="1" w:styleId="111">
    <w:name w:val="Обычный11"/>
    <w:uiPriority w:val="99"/>
    <w:rsid w:val="00DC6F94"/>
    <w:pPr>
      <w:spacing w:before="100" w:after="100"/>
    </w:pPr>
    <w:rPr>
      <w:sz w:val="24"/>
      <w:szCs w:val="20"/>
    </w:rPr>
  </w:style>
  <w:style w:type="paragraph" w:styleId="NoSpacing">
    <w:name w:val="No Spacing"/>
    <w:uiPriority w:val="99"/>
    <w:qFormat/>
    <w:rsid w:val="00DC6F94"/>
    <w:rPr>
      <w:rFonts w:ascii="Calibri" w:hAnsi="Calibri"/>
    </w:rPr>
  </w:style>
  <w:style w:type="character" w:customStyle="1" w:styleId="margin">
    <w:name w:val="margin"/>
    <w:basedOn w:val="DefaultParagraphFont"/>
    <w:uiPriority w:val="99"/>
    <w:rsid w:val="00DC6F94"/>
    <w:rPr>
      <w:rFonts w:cs="Times New Roman"/>
    </w:rPr>
  </w:style>
  <w:style w:type="character" w:customStyle="1" w:styleId="st">
    <w:name w:val="st"/>
    <w:basedOn w:val="DefaultParagraphFont"/>
    <w:uiPriority w:val="99"/>
    <w:rsid w:val="003A349A"/>
    <w:rPr>
      <w:rFonts w:cs="Times New Roman"/>
      <w:lang w:val="ru-RU"/>
    </w:rPr>
  </w:style>
  <w:style w:type="character" w:customStyle="1" w:styleId="FontStyle64">
    <w:name w:val="Font Style64"/>
    <w:basedOn w:val="DefaultParagraphFont"/>
    <w:uiPriority w:val="99"/>
    <w:rsid w:val="009F003C"/>
    <w:rPr>
      <w:rFonts w:ascii="Book Antiqua" w:hAnsi="Book Antiqua" w:cs="Book Antiqua"/>
      <w:sz w:val="18"/>
      <w:szCs w:val="18"/>
    </w:rPr>
  </w:style>
  <w:style w:type="character" w:customStyle="1" w:styleId="17">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basedOn w:val="DefaultParagraphFont"/>
    <w:uiPriority w:val="99"/>
    <w:locked/>
    <w:rsid w:val="00980420"/>
    <w:rPr>
      <w:rFonts w:cs="Times New Roman"/>
      <w:lang w:val="ru-RU" w:eastAsia="ru-RU" w:bidi="ar-SA"/>
    </w:rPr>
  </w:style>
  <w:style w:type="paragraph" w:customStyle="1" w:styleId="hyphenator502hide">
    <w:name w:val="hyphenator502hide"/>
    <w:basedOn w:val="Normal"/>
    <w:uiPriority w:val="99"/>
    <w:rsid w:val="00FA6300"/>
    <w:pPr>
      <w:spacing w:before="100" w:beforeAutospacing="1" w:after="100" w:afterAutospacing="1"/>
    </w:pPr>
    <w:rPr>
      <w:sz w:val="24"/>
      <w:szCs w:val="24"/>
    </w:rPr>
  </w:style>
  <w:style w:type="paragraph" w:customStyle="1" w:styleId="22">
    <w:name w:val="Знак2"/>
    <w:basedOn w:val="Normal"/>
    <w:uiPriority w:val="99"/>
    <w:rsid w:val="009552ED"/>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475151646">
      <w:marLeft w:val="0"/>
      <w:marRight w:val="0"/>
      <w:marTop w:val="0"/>
      <w:marBottom w:val="0"/>
      <w:divBdr>
        <w:top w:val="none" w:sz="0" w:space="0" w:color="auto"/>
        <w:left w:val="none" w:sz="0" w:space="0" w:color="auto"/>
        <w:bottom w:val="none" w:sz="0" w:space="0" w:color="auto"/>
        <w:right w:val="none" w:sz="0" w:space="0" w:color="auto"/>
      </w:divBdr>
    </w:div>
    <w:div w:id="475151647">
      <w:marLeft w:val="0"/>
      <w:marRight w:val="0"/>
      <w:marTop w:val="0"/>
      <w:marBottom w:val="0"/>
      <w:divBdr>
        <w:top w:val="none" w:sz="0" w:space="0" w:color="auto"/>
        <w:left w:val="none" w:sz="0" w:space="0" w:color="auto"/>
        <w:bottom w:val="none" w:sz="0" w:space="0" w:color="auto"/>
        <w:right w:val="none" w:sz="0" w:space="0" w:color="auto"/>
      </w:divBdr>
    </w:div>
    <w:div w:id="475151648">
      <w:marLeft w:val="0"/>
      <w:marRight w:val="0"/>
      <w:marTop w:val="0"/>
      <w:marBottom w:val="0"/>
      <w:divBdr>
        <w:top w:val="none" w:sz="0" w:space="0" w:color="auto"/>
        <w:left w:val="none" w:sz="0" w:space="0" w:color="auto"/>
        <w:bottom w:val="none" w:sz="0" w:space="0" w:color="auto"/>
        <w:right w:val="none" w:sz="0" w:space="0" w:color="auto"/>
      </w:divBdr>
    </w:div>
    <w:div w:id="475151649">
      <w:marLeft w:val="0"/>
      <w:marRight w:val="0"/>
      <w:marTop w:val="0"/>
      <w:marBottom w:val="0"/>
      <w:divBdr>
        <w:top w:val="none" w:sz="0" w:space="0" w:color="auto"/>
        <w:left w:val="none" w:sz="0" w:space="0" w:color="auto"/>
        <w:bottom w:val="none" w:sz="0" w:space="0" w:color="auto"/>
        <w:right w:val="none" w:sz="0" w:space="0" w:color="auto"/>
      </w:divBdr>
    </w:div>
    <w:div w:id="475151650">
      <w:marLeft w:val="0"/>
      <w:marRight w:val="0"/>
      <w:marTop w:val="0"/>
      <w:marBottom w:val="0"/>
      <w:divBdr>
        <w:top w:val="none" w:sz="0" w:space="0" w:color="auto"/>
        <w:left w:val="none" w:sz="0" w:space="0" w:color="auto"/>
        <w:bottom w:val="none" w:sz="0" w:space="0" w:color="auto"/>
        <w:right w:val="none" w:sz="0" w:space="0" w:color="auto"/>
      </w:divBdr>
    </w:div>
    <w:div w:id="475151651">
      <w:marLeft w:val="0"/>
      <w:marRight w:val="0"/>
      <w:marTop w:val="0"/>
      <w:marBottom w:val="0"/>
      <w:divBdr>
        <w:top w:val="none" w:sz="0" w:space="0" w:color="auto"/>
        <w:left w:val="none" w:sz="0" w:space="0" w:color="auto"/>
        <w:bottom w:val="none" w:sz="0" w:space="0" w:color="auto"/>
        <w:right w:val="none" w:sz="0" w:space="0" w:color="auto"/>
      </w:divBdr>
    </w:div>
    <w:div w:id="475151653">
      <w:marLeft w:val="0"/>
      <w:marRight w:val="0"/>
      <w:marTop w:val="0"/>
      <w:marBottom w:val="0"/>
      <w:divBdr>
        <w:top w:val="none" w:sz="0" w:space="0" w:color="auto"/>
        <w:left w:val="none" w:sz="0" w:space="0" w:color="auto"/>
        <w:bottom w:val="none" w:sz="0" w:space="0" w:color="auto"/>
        <w:right w:val="none" w:sz="0" w:space="0" w:color="auto"/>
      </w:divBdr>
      <w:divsChild>
        <w:div w:id="475151652">
          <w:marLeft w:val="0"/>
          <w:marRight w:val="0"/>
          <w:marTop w:val="0"/>
          <w:marBottom w:val="0"/>
          <w:divBdr>
            <w:top w:val="none" w:sz="0" w:space="0" w:color="auto"/>
            <w:left w:val="none" w:sz="0" w:space="0" w:color="auto"/>
            <w:bottom w:val="none" w:sz="0" w:space="0" w:color="auto"/>
            <w:right w:val="none" w:sz="0" w:space="0" w:color="auto"/>
          </w:divBdr>
        </w:div>
      </w:divsChild>
    </w:div>
    <w:div w:id="475151654">
      <w:marLeft w:val="0"/>
      <w:marRight w:val="0"/>
      <w:marTop w:val="0"/>
      <w:marBottom w:val="0"/>
      <w:divBdr>
        <w:top w:val="none" w:sz="0" w:space="0" w:color="auto"/>
        <w:left w:val="none" w:sz="0" w:space="0" w:color="auto"/>
        <w:bottom w:val="none" w:sz="0" w:space="0" w:color="auto"/>
        <w:right w:val="none" w:sz="0" w:space="0" w:color="auto"/>
      </w:divBdr>
    </w:div>
    <w:div w:id="475151655">
      <w:marLeft w:val="0"/>
      <w:marRight w:val="0"/>
      <w:marTop w:val="0"/>
      <w:marBottom w:val="0"/>
      <w:divBdr>
        <w:top w:val="none" w:sz="0" w:space="0" w:color="auto"/>
        <w:left w:val="none" w:sz="0" w:space="0" w:color="auto"/>
        <w:bottom w:val="none" w:sz="0" w:space="0" w:color="auto"/>
        <w:right w:val="none" w:sz="0" w:space="0" w:color="auto"/>
      </w:divBdr>
    </w:div>
    <w:div w:id="475151656">
      <w:marLeft w:val="0"/>
      <w:marRight w:val="0"/>
      <w:marTop w:val="0"/>
      <w:marBottom w:val="0"/>
      <w:divBdr>
        <w:top w:val="none" w:sz="0" w:space="0" w:color="auto"/>
        <w:left w:val="none" w:sz="0" w:space="0" w:color="auto"/>
        <w:bottom w:val="none" w:sz="0" w:space="0" w:color="auto"/>
        <w:right w:val="none" w:sz="0" w:space="0" w:color="auto"/>
      </w:divBdr>
    </w:div>
    <w:div w:id="475151657">
      <w:marLeft w:val="0"/>
      <w:marRight w:val="0"/>
      <w:marTop w:val="0"/>
      <w:marBottom w:val="0"/>
      <w:divBdr>
        <w:top w:val="none" w:sz="0" w:space="0" w:color="auto"/>
        <w:left w:val="none" w:sz="0" w:space="0" w:color="auto"/>
        <w:bottom w:val="none" w:sz="0" w:space="0" w:color="auto"/>
        <w:right w:val="none" w:sz="0" w:space="0" w:color="auto"/>
      </w:divBdr>
    </w:div>
    <w:div w:id="475151658">
      <w:marLeft w:val="0"/>
      <w:marRight w:val="0"/>
      <w:marTop w:val="0"/>
      <w:marBottom w:val="0"/>
      <w:divBdr>
        <w:top w:val="none" w:sz="0" w:space="0" w:color="auto"/>
        <w:left w:val="none" w:sz="0" w:space="0" w:color="auto"/>
        <w:bottom w:val="none" w:sz="0" w:space="0" w:color="auto"/>
        <w:right w:val="none" w:sz="0" w:space="0" w:color="auto"/>
      </w:divBdr>
    </w:div>
    <w:div w:id="475151659">
      <w:marLeft w:val="0"/>
      <w:marRight w:val="0"/>
      <w:marTop w:val="0"/>
      <w:marBottom w:val="0"/>
      <w:divBdr>
        <w:top w:val="none" w:sz="0" w:space="0" w:color="auto"/>
        <w:left w:val="none" w:sz="0" w:space="0" w:color="auto"/>
        <w:bottom w:val="none" w:sz="0" w:space="0" w:color="auto"/>
        <w:right w:val="none" w:sz="0" w:space="0" w:color="auto"/>
      </w:divBdr>
    </w:div>
    <w:div w:id="475151660">
      <w:marLeft w:val="0"/>
      <w:marRight w:val="0"/>
      <w:marTop w:val="0"/>
      <w:marBottom w:val="0"/>
      <w:divBdr>
        <w:top w:val="none" w:sz="0" w:space="0" w:color="auto"/>
        <w:left w:val="none" w:sz="0" w:space="0" w:color="auto"/>
        <w:bottom w:val="none" w:sz="0" w:space="0" w:color="auto"/>
        <w:right w:val="none" w:sz="0" w:space="0" w:color="auto"/>
      </w:divBdr>
    </w:div>
    <w:div w:id="475151661">
      <w:marLeft w:val="0"/>
      <w:marRight w:val="0"/>
      <w:marTop w:val="0"/>
      <w:marBottom w:val="0"/>
      <w:divBdr>
        <w:top w:val="none" w:sz="0" w:space="0" w:color="auto"/>
        <w:left w:val="none" w:sz="0" w:space="0" w:color="auto"/>
        <w:bottom w:val="none" w:sz="0" w:space="0" w:color="auto"/>
        <w:right w:val="none" w:sz="0" w:space="0" w:color="auto"/>
      </w:divBdr>
    </w:div>
    <w:div w:id="475151662">
      <w:marLeft w:val="0"/>
      <w:marRight w:val="0"/>
      <w:marTop w:val="0"/>
      <w:marBottom w:val="0"/>
      <w:divBdr>
        <w:top w:val="none" w:sz="0" w:space="0" w:color="auto"/>
        <w:left w:val="none" w:sz="0" w:space="0" w:color="auto"/>
        <w:bottom w:val="none" w:sz="0" w:space="0" w:color="auto"/>
        <w:right w:val="none" w:sz="0" w:space="0" w:color="auto"/>
      </w:divBdr>
    </w:div>
    <w:div w:id="4751516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1053;&#1040;%20&#1055;&#1056;&#1041;/&#1059;&#1082;&#1072;&#1079;&#1072;&#1085;&#1080;&#1103;/2017/998-&#1059;%20&#1059;&#1082;&#1072;&#1079;&#1072;&#1085;&#1080;&#1077;%20&#1086;&#1073;%20&#1086;&#1090;&#1084;&#1077;&#1085;&#1077;%20&#1059;&#1082;&#1072;&#1079;&#1072;&#1085;&#1080;&#1103;%20&#1074;%209-&#1048;%20&#1086;&#1090;%2007%2006%202017&#1075;%20%20986-&#1059;.doc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1053;&#1040;%20&#1055;&#1056;&#1041;/&#1059;&#1082;&#1072;&#1079;&#1072;&#1085;&#1080;&#1103;/2017/989-&#1059;%20&#1059;&#1082;&#1072;&#1079;&#1072;&#1085;&#1080;&#1077;%20989-&#1059;%20%20&#1086;%20%20&#1074;&#1085;&#1077;&#1089;&#1077;&#1085;&#1080;&#1080;%20%20&#1080;&#1079;&#1084;&#1077;&#1085;&#1077;&#1085;&#1080;&#1081;%20%20&#1074;%2046-%20&#1056;.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1053;&#1040;%20&#1055;&#1056;&#1041;/&#1059;&#1082;&#1072;&#1079;&#1072;&#1085;&#1080;&#1103;/2017/1014-Y.docx" TargetMode="External"/><Relationship Id="rId5" Type="http://schemas.openxmlformats.org/officeDocument/2006/relationships/footnotes" Target="footnotes.xml"/><Relationship Id="rId15" Type="http://schemas.openxmlformats.org/officeDocument/2006/relationships/hyperlink" Target="&#1053;&#1040;%20&#1055;&#1056;&#1041;/&#1059;&#1082;&#1072;&#1079;&#1072;&#1085;&#1080;&#1103;/2017/1005-&#1059;.docx" TargetMode="External"/><Relationship Id="rId10" Type="http://schemas.openxmlformats.org/officeDocument/2006/relationships/hyperlink" Target="&#1053;&#1040;%20&#1055;&#1056;&#1041;/&#1059;&#1082;&#1072;&#1079;&#1072;&#1085;&#1080;&#1103;/2017/1013-&#1059;.docx" TargetMode="External"/><Relationship Id="rId4" Type="http://schemas.openxmlformats.org/officeDocument/2006/relationships/webSettings" Target="webSettings.xml"/><Relationship Id="rId9" Type="http://schemas.openxmlformats.org/officeDocument/2006/relationships/hyperlink" Target="&#1053;&#1040;%20&#1055;&#1056;&#1041;/&#1059;&#1082;&#1072;&#1079;&#1072;&#1085;&#1080;&#1103;/2017/1015-&#1059;.doc" TargetMode="External"/><Relationship Id="rId14" Type="http://schemas.openxmlformats.org/officeDocument/2006/relationships/hyperlink" Target="&#1053;&#1040;%20&#1055;&#1056;&#1041;/&#1059;&#1082;&#1072;&#1079;&#1072;&#1085;&#1080;&#1103;/2017/989-&#1059;%20&#1059;&#1082;&#1072;&#1079;&#1072;&#1085;&#1080;&#1077;%20989-&#1059;%20%20&#1086;%20%20&#1074;&#1085;&#1077;&#1089;&#1077;&#1085;&#1080;&#1080;%20%20&#1080;&#1079;&#1084;&#1077;&#1085;&#1077;&#1085;&#1080;&#1081;%20%20&#1074;%2046-%20&#105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51</Pages>
  <Words>24028</Words>
  <Characters>-32766</Characters>
  <Application>Microsoft Office Outlook</Application>
  <DocSecurity>0</DocSecurity>
  <Lines>0</Lines>
  <Paragraphs>0</Paragraphs>
  <ScaleCrop>false</ScaleCrop>
  <Company>PRB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Мельник М.В.</dc:creator>
  <cp:keywords/>
  <dc:description/>
  <cp:lastModifiedBy>Pro</cp:lastModifiedBy>
  <cp:revision>9</cp:revision>
  <cp:lastPrinted>2018-06-20T10:48:00Z</cp:lastPrinted>
  <dcterms:created xsi:type="dcterms:W3CDTF">2018-04-12T15:03:00Z</dcterms:created>
  <dcterms:modified xsi:type="dcterms:W3CDTF">2018-06-20T10:50:00Z</dcterms:modified>
</cp:coreProperties>
</file>