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88" w:rsidRPr="00527DE5" w:rsidRDefault="00C20988" w:rsidP="00B02709">
      <w:pPr>
        <w:ind w:left="3544" w:right="-1"/>
        <w:jc w:val="right"/>
        <w:outlineLvl w:val="0"/>
        <w:rPr>
          <w:bCs/>
          <w:sz w:val="28"/>
          <w:szCs w:val="28"/>
        </w:rPr>
      </w:pPr>
      <w:r w:rsidRPr="00527DE5">
        <w:rPr>
          <w:bCs/>
          <w:sz w:val="28"/>
          <w:szCs w:val="28"/>
        </w:rPr>
        <w:t xml:space="preserve">Приложение </w:t>
      </w:r>
    </w:p>
    <w:p w:rsidR="00C20988" w:rsidRPr="00527DE5" w:rsidRDefault="00C20988" w:rsidP="00B02709">
      <w:pPr>
        <w:ind w:left="3544" w:right="-1"/>
        <w:jc w:val="right"/>
        <w:outlineLvl w:val="0"/>
        <w:rPr>
          <w:bCs/>
          <w:sz w:val="28"/>
          <w:szCs w:val="28"/>
        </w:rPr>
      </w:pPr>
      <w:r w:rsidRPr="00527DE5">
        <w:rPr>
          <w:bCs/>
          <w:sz w:val="28"/>
          <w:szCs w:val="28"/>
        </w:rPr>
        <w:t>к Постановлению Верховного Совета</w:t>
      </w:r>
    </w:p>
    <w:p w:rsidR="00C20988" w:rsidRPr="00527DE5" w:rsidRDefault="00C20988" w:rsidP="00B02709">
      <w:pPr>
        <w:ind w:left="3544" w:right="-1"/>
        <w:jc w:val="right"/>
        <w:outlineLvl w:val="0"/>
        <w:rPr>
          <w:bCs/>
          <w:sz w:val="28"/>
          <w:szCs w:val="28"/>
        </w:rPr>
      </w:pPr>
      <w:r w:rsidRPr="00527DE5">
        <w:rPr>
          <w:bCs/>
          <w:sz w:val="28"/>
          <w:szCs w:val="28"/>
        </w:rPr>
        <w:t>Приднестровской Молдавской Республики</w:t>
      </w:r>
    </w:p>
    <w:p w:rsidR="00C20988" w:rsidRPr="00B02709" w:rsidRDefault="00C20988" w:rsidP="00B02709">
      <w:pPr>
        <w:pStyle w:val="BodyText"/>
        <w:spacing w:before="0" w:after="0"/>
        <w:ind w:left="3544"/>
        <w:jc w:val="right"/>
        <w:rPr>
          <w:rFonts w:ascii="Times New Roman" w:hAnsi="Times New Roman" w:cs="Times New Roman"/>
          <w:bCs/>
          <w:sz w:val="28"/>
          <w:szCs w:val="28"/>
          <w:lang w:val="en-US"/>
        </w:rPr>
      </w:pPr>
      <w:r w:rsidRPr="00527DE5">
        <w:rPr>
          <w:rFonts w:ascii="Times New Roman" w:hAnsi="Times New Roman" w:cs="Times New Roman"/>
          <w:bCs/>
          <w:sz w:val="28"/>
          <w:szCs w:val="28"/>
        </w:rPr>
        <w:t xml:space="preserve">от </w:t>
      </w:r>
      <w:r>
        <w:rPr>
          <w:rFonts w:ascii="Times New Roman" w:hAnsi="Times New Roman" w:cs="Times New Roman"/>
          <w:bCs/>
          <w:sz w:val="28"/>
          <w:szCs w:val="28"/>
        </w:rPr>
        <w:t>2</w:t>
      </w:r>
      <w:r>
        <w:rPr>
          <w:rFonts w:ascii="Times New Roman" w:hAnsi="Times New Roman" w:cs="Times New Roman"/>
          <w:bCs/>
          <w:sz w:val="28"/>
          <w:szCs w:val="28"/>
          <w:lang w:val="en-US"/>
        </w:rPr>
        <w:t xml:space="preserve">6 </w:t>
      </w:r>
      <w:r>
        <w:rPr>
          <w:rFonts w:ascii="Times New Roman" w:hAnsi="Times New Roman" w:cs="Times New Roman"/>
          <w:bCs/>
          <w:sz w:val="28"/>
          <w:szCs w:val="28"/>
        </w:rPr>
        <w:t>июня</w:t>
      </w:r>
      <w:r w:rsidRPr="00527DE5">
        <w:rPr>
          <w:rFonts w:ascii="Times New Roman" w:hAnsi="Times New Roman" w:cs="Times New Roman"/>
          <w:bCs/>
          <w:sz w:val="28"/>
          <w:szCs w:val="28"/>
        </w:rPr>
        <w:t xml:space="preserve"> 201</w:t>
      </w:r>
      <w:r>
        <w:rPr>
          <w:rFonts w:ascii="Times New Roman" w:hAnsi="Times New Roman" w:cs="Times New Roman"/>
          <w:bCs/>
          <w:sz w:val="28"/>
          <w:szCs w:val="28"/>
          <w:lang w:val="en-US"/>
        </w:rPr>
        <w:t>9</w:t>
      </w:r>
      <w:r w:rsidRPr="00527DE5">
        <w:rPr>
          <w:rFonts w:ascii="Times New Roman" w:hAnsi="Times New Roman" w:cs="Times New Roman"/>
          <w:bCs/>
          <w:sz w:val="28"/>
          <w:szCs w:val="28"/>
        </w:rPr>
        <w:t xml:space="preserve"> года № </w:t>
      </w:r>
      <w:r>
        <w:rPr>
          <w:rFonts w:ascii="Times New Roman" w:hAnsi="Times New Roman" w:cs="Times New Roman"/>
          <w:bCs/>
          <w:sz w:val="28"/>
          <w:szCs w:val="28"/>
        </w:rPr>
        <w:t>2</w:t>
      </w:r>
      <w:r>
        <w:rPr>
          <w:rFonts w:ascii="Times New Roman" w:hAnsi="Times New Roman" w:cs="Times New Roman"/>
          <w:bCs/>
          <w:sz w:val="28"/>
          <w:szCs w:val="28"/>
          <w:lang w:val="en-US"/>
        </w:rPr>
        <w:t>933</w:t>
      </w:r>
    </w:p>
    <w:p w:rsidR="00C20988" w:rsidRDefault="00C20988" w:rsidP="00B02709">
      <w:pPr>
        <w:autoSpaceDE w:val="0"/>
        <w:autoSpaceDN w:val="0"/>
        <w:adjustRightInd w:val="0"/>
        <w:ind w:firstLine="540"/>
        <w:jc w:val="right"/>
        <w:outlineLvl w:val="0"/>
        <w:rPr>
          <w:sz w:val="28"/>
          <w:szCs w:val="28"/>
        </w:rPr>
      </w:pPr>
      <w:r w:rsidRPr="00527DE5">
        <w:rPr>
          <w:bCs/>
          <w:sz w:val="28"/>
          <w:szCs w:val="28"/>
        </w:rPr>
        <w:t>«</w:t>
      </w:r>
      <w:r w:rsidRPr="00527DE5">
        <w:rPr>
          <w:sz w:val="28"/>
          <w:szCs w:val="28"/>
        </w:rPr>
        <w:t xml:space="preserve">Об </w:t>
      </w:r>
      <w:r>
        <w:rPr>
          <w:sz w:val="28"/>
          <w:szCs w:val="28"/>
        </w:rPr>
        <w:t>утверждении отчета Приднестровского</w:t>
      </w:r>
    </w:p>
    <w:p w:rsidR="00C20988" w:rsidRPr="00527DE5" w:rsidRDefault="00C20988" w:rsidP="00B02709">
      <w:pPr>
        <w:autoSpaceDE w:val="0"/>
        <w:autoSpaceDN w:val="0"/>
        <w:adjustRightInd w:val="0"/>
        <w:ind w:firstLine="540"/>
        <w:jc w:val="right"/>
        <w:outlineLvl w:val="0"/>
        <w:rPr>
          <w:sz w:val="22"/>
          <w:szCs w:val="22"/>
        </w:rPr>
      </w:pPr>
      <w:r>
        <w:rPr>
          <w:sz w:val="28"/>
          <w:szCs w:val="28"/>
        </w:rPr>
        <w:t>республиканского банка за 201</w:t>
      </w:r>
      <w:r>
        <w:rPr>
          <w:sz w:val="28"/>
          <w:szCs w:val="28"/>
          <w:lang w:val="en-US"/>
        </w:rPr>
        <w:t>8</w:t>
      </w:r>
      <w:r>
        <w:rPr>
          <w:sz w:val="28"/>
          <w:szCs w:val="28"/>
        </w:rPr>
        <w:t xml:space="preserve"> год</w:t>
      </w:r>
      <w:r w:rsidRPr="00527DE5">
        <w:rPr>
          <w:bCs/>
          <w:sz w:val="28"/>
          <w:szCs w:val="28"/>
        </w:rPr>
        <w:t>»</w:t>
      </w:r>
    </w:p>
    <w:p w:rsidR="00C20988" w:rsidRPr="003D73E2" w:rsidRDefault="00C20988" w:rsidP="00B02709">
      <w:pPr>
        <w:widowControl w:val="0"/>
        <w:jc w:val="both"/>
      </w:pPr>
    </w:p>
    <w:p w:rsidR="00C20988" w:rsidRPr="003D73E2" w:rsidRDefault="00C20988" w:rsidP="008512DA">
      <w:pPr>
        <w:widowControl w:val="0"/>
      </w:pPr>
    </w:p>
    <w:p w:rsidR="00C20988" w:rsidRPr="003D73E2" w:rsidRDefault="00C20988" w:rsidP="008512DA">
      <w:pPr>
        <w:widowControl w:val="0"/>
      </w:pPr>
    </w:p>
    <w:p w:rsidR="00C20988" w:rsidRPr="003D73E2" w:rsidRDefault="00C20988" w:rsidP="008512DA">
      <w:pPr>
        <w:widowControl w:val="0"/>
      </w:pPr>
    </w:p>
    <w:p w:rsidR="00C20988" w:rsidRPr="003D73E2" w:rsidRDefault="00C20988" w:rsidP="008512DA">
      <w:pPr>
        <w:widowControl w:val="0"/>
      </w:pPr>
    </w:p>
    <w:p w:rsidR="00C20988" w:rsidRPr="003D73E2" w:rsidRDefault="00C20988" w:rsidP="008512DA">
      <w:pPr>
        <w:widowControl w:val="0"/>
      </w:pPr>
    </w:p>
    <w:p w:rsidR="00C20988" w:rsidRPr="003D73E2" w:rsidRDefault="00C20988" w:rsidP="008512DA">
      <w:pPr>
        <w:widowControl w:val="0"/>
      </w:pPr>
    </w:p>
    <w:p w:rsidR="00C20988" w:rsidRPr="003D73E2" w:rsidRDefault="00C20988" w:rsidP="008512DA">
      <w:pPr>
        <w:widowControl w:val="0"/>
      </w:pPr>
    </w:p>
    <w:p w:rsidR="00C20988" w:rsidRPr="003D73E2" w:rsidRDefault="00C20988" w:rsidP="008512DA">
      <w:pPr>
        <w:widowControl w:val="0"/>
      </w:pPr>
    </w:p>
    <w:p w:rsidR="00C20988" w:rsidRPr="003D73E2" w:rsidRDefault="00C20988" w:rsidP="008512DA">
      <w:pPr>
        <w:widowControl w:val="0"/>
      </w:pPr>
    </w:p>
    <w:p w:rsidR="00C20988" w:rsidRPr="00C14900" w:rsidRDefault="00C20988" w:rsidP="00C14900">
      <w:pPr>
        <w:pStyle w:val="IntenseQuote"/>
        <w:pBdr>
          <w:bottom w:val="none" w:sz="0" w:space="0" w:color="auto"/>
        </w:pBdr>
        <w:rPr>
          <w:color w:val="auto"/>
        </w:rPr>
      </w:pPr>
    </w:p>
    <w:p w:rsidR="00C20988" w:rsidRPr="00C14900" w:rsidRDefault="00C20988" w:rsidP="00C14900">
      <w:pPr>
        <w:pStyle w:val="IntenseQuote"/>
        <w:pBdr>
          <w:bottom w:val="none" w:sz="0" w:space="0" w:color="auto"/>
        </w:pBdr>
        <w:rPr>
          <w:color w:val="auto"/>
        </w:rPr>
      </w:pPr>
    </w:p>
    <w:p w:rsidR="00C20988" w:rsidRPr="00C14900" w:rsidRDefault="00C20988" w:rsidP="00C14900">
      <w:pPr>
        <w:pStyle w:val="IntenseQuote"/>
        <w:pBdr>
          <w:bottom w:val="none" w:sz="0" w:space="0" w:color="auto"/>
        </w:pBdr>
        <w:rPr>
          <w:color w:val="auto"/>
        </w:rPr>
      </w:pPr>
    </w:p>
    <w:p w:rsidR="00C20988" w:rsidRPr="00C14900" w:rsidRDefault="00C20988" w:rsidP="00C14900">
      <w:pPr>
        <w:pStyle w:val="IntenseQuote"/>
        <w:pBdr>
          <w:bottom w:val="none" w:sz="0" w:space="0" w:color="auto"/>
        </w:pBdr>
        <w:jc w:val="center"/>
        <w:rPr>
          <w:b w:val="0"/>
          <w:shadow/>
          <w:color w:val="auto"/>
          <w:sz w:val="72"/>
          <w:szCs w:val="72"/>
        </w:rPr>
      </w:pPr>
      <w:r w:rsidRPr="00C14900">
        <w:rPr>
          <w:b w:val="0"/>
          <w:shadow/>
          <w:color w:val="auto"/>
          <w:sz w:val="72"/>
          <w:szCs w:val="72"/>
        </w:rPr>
        <w:t>ОТЧЁТ</w:t>
      </w:r>
    </w:p>
    <w:p w:rsidR="00C20988" w:rsidRPr="00C14900" w:rsidRDefault="00C20988" w:rsidP="00C14900">
      <w:pPr>
        <w:pStyle w:val="IntenseQuote"/>
        <w:pBdr>
          <w:bottom w:val="none" w:sz="0" w:space="0" w:color="auto"/>
        </w:pBdr>
        <w:jc w:val="center"/>
        <w:rPr>
          <w:b w:val="0"/>
          <w:shadow/>
          <w:color w:val="auto"/>
          <w:sz w:val="60"/>
          <w:szCs w:val="60"/>
        </w:rPr>
      </w:pPr>
      <w:r w:rsidRPr="00C14900">
        <w:rPr>
          <w:b w:val="0"/>
          <w:shadow/>
          <w:color w:val="auto"/>
          <w:sz w:val="60"/>
          <w:szCs w:val="60"/>
        </w:rPr>
        <w:t>ПРИДНЕСТРОВСКОГО РЕСПУБЛИКАНСКОГО БАНКА</w:t>
      </w:r>
    </w:p>
    <w:p w:rsidR="00C20988" w:rsidRPr="00C14900" w:rsidRDefault="00C20988" w:rsidP="00C14900">
      <w:pPr>
        <w:pStyle w:val="IntenseQuote"/>
        <w:pBdr>
          <w:bottom w:val="none" w:sz="0" w:space="0" w:color="auto"/>
        </w:pBdr>
        <w:jc w:val="center"/>
        <w:rPr>
          <w:b w:val="0"/>
          <w:shadow/>
          <w:color w:val="auto"/>
          <w:sz w:val="60"/>
          <w:szCs w:val="60"/>
          <w:vertAlign w:val="superscript"/>
        </w:rPr>
      </w:pPr>
      <w:r w:rsidRPr="00C14900">
        <w:rPr>
          <w:b w:val="0"/>
          <w:shadow/>
          <w:color w:val="auto"/>
          <w:sz w:val="60"/>
          <w:szCs w:val="60"/>
        </w:rPr>
        <w:t>ЗА 2018 ГОД</w:t>
      </w:r>
    </w:p>
    <w:p w:rsidR="00C20988" w:rsidRPr="00C14900" w:rsidRDefault="00C20988" w:rsidP="00C14900">
      <w:pPr>
        <w:pStyle w:val="IntenseQuote"/>
        <w:pBdr>
          <w:bottom w:val="none" w:sz="0" w:space="0" w:color="auto"/>
        </w:pBdr>
        <w:rPr>
          <w:b w:val="0"/>
          <w:color w:val="auto"/>
        </w:rPr>
      </w:pPr>
    </w:p>
    <w:p w:rsidR="00C20988" w:rsidRPr="00C14900" w:rsidRDefault="00C20988" w:rsidP="00C14900">
      <w:pPr>
        <w:pStyle w:val="IntenseQuote"/>
        <w:pBdr>
          <w:bottom w:val="none" w:sz="0" w:space="0" w:color="auto"/>
        </w:pBdr>
        <w:tabs>
          <w:tab w:val="left" w:pos="7350"/>
        </w:tabs>
        <w:rPr>
          <w:b w:val="0"/>
          <w:color w:val="auto"/>
          <w:lang w:val="en-US"/>
        </w:rPr>
      </w:pPr>
      <w:r w:rsidRPr="00C14900">
        <w:rPr>
          <w:b w:val="0"/>
          <w:color w:val="auto"/>
        </w:rPr>
        <w:tab/>
      </w:r>
    </w:p>
    <w:p w:rsidR="00C20988" w:rsidRPr="00C14900" w:rsidRDefault="00C20988" w:rsidP="00C14900">
      <w:pPr>
        <w:rPr>
          <w:lang w:val="en-US"/>
        </w:rPr>
      </w:pPr>
    </w:p>
    <w:p w:rsidR="00C20988" w:rsidRDefault="00C20988" w:rsidP="00C14900">
      <w:pPr>
        <w:rPr>
          <w:lang w:val="en-US"/>
        </w:rPr>
      </w:pPr>
    </w:p>
    <w:p w:rsidR="00C20988" w:rsidRDefault="00C20988" w:rsidP="00C14900">
      <w:pPr>
        <w:rPr>
          <w:lang w:val="en-US"/>
        </w:rPr>
      </w:pPr>
    </w:p>
    <w:p w:rsidR="00C20988" w:rsidRDefault="00C20988" w:rsidP="00C14900">
      <w:pPr>
        <w:rPr>
          <w:lang w:val="en-US"/>
        </w:rPr>
      </w:pPr>
    </w:p>
    <w:p w:rsidR="00C20988" w:rsidRPr="00C14900" w:rsidRDefault="00C20988" w:rsidP="00C14900">
      <w:pPr>
        <w:rPr>
          <w:lang w:val="en-US"/>
        </w:rPr>
      </w:pPr>
    </w:p>
    <w:p w:rsidR="00C20988" w:rsidRPr="00C14900" w:rsidRDefault="00C20988" w:rsidP="00A84C2F">
      <w:pPr>
        <w:pStyle w:val="BodyTextIndent2"/>
        <w:widowControl w:val="0"/>
        <w:tabs>
          <w:tab w:val="left" w:pos="993"/>
        </w:tabs>
        <w:spacing w:after="0" w:line="240" w:lineRule="auto"/>
        <w:ind w:left="993"/>
        <w:rPr>
          <w:bCs/>
          <w:sz w:val="24"/>
        </w:rPr>
      </w:pPr>
      <w:r w:rsidRPr="00C14900">
        <w:rPr>
          <w:bCs/>
          <w:sz w:val="24"/>
        </w:rPr>
        <w:t>Согласован Банковским советом</w:t>
      </w:r>
    </w:p>
    <w:p w:rsidR="00C20988" w:rsidRPr="00C14900" w:rsidRDefault="00C20988" w:rsidP="00A84C2F">
      <w:pPr>
        <w:pStyle w:val="BodyTextIndent2"/>
        <w:widowControl w:val="0"/>
        <w:tabs>
          <w:tab w:val="left" w:pos="993"/>
        </w:tabs>
        <w:spacing w:after="0" w:line="240" w:lineRule="auto"/>
        <w:ind w:left="993"/>
        <w:rPr>
          <w:bCs/>
          <w:sz w:val="24"/>
        </w:rPr>
      </w:pPr>
      <w:r w:rsidRPr="00C14900">
        <w:rPr>
          <w:bCs/>
          <w:sz w:val="24"/>
        </w:rPr>
        <w:t>11 апреля 2019 года, протокол № 2</w:t>
      </w:r>
    </w:p>
    <w:p w:rsidR="00C20988" w:rsidRPr="00F92E08" w:rsidRDefault="00C20988" w:rsidP="008512DA">
      <w:pPr>
        <w:pStyle w:val="BodyTextIndent2"/>
        <w:widowControl w:val="0"/>
        <w:tabs>
          <w:tab w:val="left" w:pos="0"/>
        </w:tabs>
        <w:spacing w:after="0" w:line="240" w:lineRule="auto"/>
        <w:ind w:left="0"/>
        <w:jc w:val="center"/>
        <w:rPr>
          <w:b/>
          <w:bCs/>
          <w:sz w:val="22"/>
        </w:rPr>
      </w:pPr>
    </w:p>
    <w:p w:rsidR="00C20988" w:rsidRPr="00E85DD7" w:rsidRDefault="00C20988" w:rsidP="00533389">
      <w:pPr>
        <w:pStyle w:val="BodyTextIndent2"/>
        <w:tabs>
          <w:tab w:val="left" w:pos="0"/>
        </w:tabs>
        <w:spacing w:after="0" w:line="240" w:lineRule="auto"/>
        <w:ind w:left="0"/>
        <w:jc w:val="both"/>
        <w:rPr>
          <w:b/>
          <w:bCs/>
          <w:sz w:val="22"/>
          <w:szCs w:val="22"/>
        </w:rPr>
        <w:sectPr w:rsidR="00C20988" w:rsidRPr="00E85DD7" w:rsidSect="00533389">
          <w:headerReference w:type="default" r:id="rId7"/>
          <w:footerReference w:type="default" r:id="rId8"/>
          <w:pgSz w:w="11906" w:h="16838" w:code="9"/>
          <w:pgMar w:top="1418" w:right="849" w:bottom="1418" w:left="1134" w:header="992" w:footer="873"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2"/>
          <w:cols w:space="720"/>
          <w:titlePg/>
        </w:sectPr>
      </w:pPr>
    </w:p>
    <w:tbl>
      <w:tblPr>
        <w:tblpPr w:leftFromText="180" w:rightFromText="180" w:vertAnchor="page" w:horzAnchor="margin" w:tblpX="108" w:tblpY="1445"/>
        <w:tblW w:w="9606" w:type="dxa"/>
        <w:tblLayout w:type="fixed"/>
        <w:tblLook w:val="0000"/>
      </w:tblPr>
      <w:tblGrid>
        <w:gridCol w:w="8897"/>
        <w:gridCol w:w="709"/>
      </w:tblGrid>
      <w:tr w:rsidR="00C20988" w:rsidRPr="00E85DD7">
        <w:trPr>
          <w:cantSplit/>
          <w:trHeight w:val="300"/>
        </w:trPr>
        <w:tc>
          <w:tcPr>
            <w:tcW w:w="9606" w:type="dxa"/>
            <w:gridSpan w:val="2"/>
            <w:vAlign w:val="center"/>
          </w:tcPr>
          <w:p w:rsidR="00C20988" w:rsidRPr="00A24EAB" w:rsidRDefault="00C20988" w:rsidP="008512DA">
            <w:pPr>
              <w:pStyle w:val="BodyTextIndent2"/>
              <w:widowControl w:val="0"/>
              <w:tabs>
                <w:tab w:val="left" w:pos="0"/>
              </w:tabs>
              <w:spacing w:after="0" w:line="240" w:lineRule="auto"/>
              <w:ind w:left="-108"/>
              <w:jc w:val="center"/>
              <w:rPr>
                <w:b/>
                <w:bCs/>
                <w:sz w:val="28"/>
                <w:szCs w:val="28"/>
              </w:rPr>
            </w:pPr>
            <w:r w:rsidRPr="00A24EAB">
              <w:rPr>
                <w:b/>
                <w:bCs/>
                <w:sz w:val="28"/>
                <w:szCs w:val="28"/>
              </w:rPr>
              <w:t>СОДЕРЖАНИЕ</w:t>
            </w:r>
          </w:p>
        </w:tc>
      </w:tr>
      <w:tr w:rsidR="00C20988" w:rsidRPr="00E85DD7">
        <w:trPr>
          <w:trHeight w:val="300"/>
        </w:trPr>
        <w:tc>
          <w:tcPr>
            <w:tcW w:w="8897" w:type="dxa"/>
            <w:vAlign w:val="center"/>
          </w:tcPr>
          <w:p w:rsidR="00C20988" w:rsidRPr="00A24EAB" w:rsidRDefault="00C20988" w:rsidP="008512DA">
            <w:pPr>
              <w:pStyle w:val="BodyTextIndent2"/>
              <w:widowControl w:val="0"/>
              <w:spacing w:after="0" w:line="240" w:lineRule="auto"/>
              <w:ind w:left="-30"/>
              <w:rPr>
                <w:b/>
                <w:bCs/>
                <w:sz w:val="24"/>
                <w:szCs w:val="24"/>
              </w:rPr>
            </w:pPr>
            <w:r w:rsidRPr="00A24EAB">
              <w:rPr>
                <w:b/>
                <w:bCs/>
                <w:sz w:val="24"/>
                <w:szCs w:val="24"/>
              </w:rPr>
              <w:t>Введение</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b/>
                <w:bCs/>
                <w:sz w:val="24"/>
                <w:szCs w:val="24"/>
              </w:rPr>
            </w:pPr>
            <w:r w:rsidRPr="00A24EAB">
              <w:rPr>
                <w:b/>
                <w:bCs/>
                <w:sz w:val="24"/>
                <w:szCs w:val="24"/>
              </w:rPr>
              <w:t>3</w:t>
            </w:r>
          </w:p>
        </w:tc>
      </w:tr>
      <w:tr w:rsidR="00C20988" w:rsidRPr="00E85DD7">
        <w:trPr>
          <w:trHeight w:val="300"/>
        </w:trPr>
        <w:tc>
          <w:tcPr>
            <w:tcW w:w="8897" w:type="dxa"/>
            <w:vAlign w:val="center"/>
          </w:tcPr>
          <w:p w:rsidR="00C20988" w:rsidRPr="00A24EAB" w:rsidRDefault="00C20988" w:rsidP="00207A4A">
            <w:pPr>
              <w:pStyle w:val="BodyTextIndent2"/>
              <w:widowControl w:val="0"/>
              <w:spacing w:after="0" w:line="240" w:lineRule="auto"/>
              <w:ind w:left="0"/>
              <w:rPr>
                <w:b/>
                <w:bCs/>
                <w:i/>
                <w:iCs/>
                <w:sz w:val="24"/>
                <w:szCs w:val="24"/>
              </w:rPr>
            </w:pPr>
            <w:r w:rsidRPr="00A24EAB">
              <w:rPr>
                <w:b/>
                <w:bCs/>
                <w:sz w:val="24"/>
                <w:szCs w:val="24"/>
              </w:rPr>
              <w:t xml:space="preserve">1. Экономическое и финансовое положение </w:t>
            </w:r>
            <w:r w:rsidRPr="00A24EAB">
              <w:rPr>
                <w:b/>
                <w:bCs/>
                <w:color w:val="000000"/>
                <w:sz w:val="24"/>
                <w:szCs w:val="24"/>
              </w:rPr>
              <w:t>Приднестровской Молдавской Республики</w:t>
            </w:r>
            <w:r w:rsidRPr="00A24EAB">
              <w:rPr>
                <w:b/>
                <w:bCs/>
                <w:sz w:val="24"/>
                <w:szCs w:val="24"/>
              </w:rPr>
              <w:t xml:space="preserve"> в 2018 году</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b/>
                <w:bCs/>
                <w:sz w:val="24"/>
                <w:szCs w:val="24"/>
              </w:rPr>
            </w:pPr>
            <w:r w:rsidRPr="00A24EAB">
              <w:rPr>
                <w:b/>
                <w:bCs/>
                <w:sz w:val="24"/>
                <w:szCs w:val="24"/>
              </w:rPr>
              <w:t>5</w:t>
            </w:r>
          </w:p>
        </w:tc>
      </w:tr>
      <w:tr w:rsidR="00C20988" w:rsidRPr="00E85DD7">
        <w:trPr>
          <w:trHeight w:val="300"/>
        </w:trPr>
        <w:tc>
          <w:tcPr>
            <w:tcW w:w="8897" w:type="dxa"/>
            <w:vAlign w:val="center"/>
          </w:tcPr>
          <w:p w:rsidR="00C20988" w:rsidRPr="00A24EAB" w:rsidRDefault="00C20988" w:rsidP="00207A4A">
            <w:pPr>
              <w:pStyle w:val="BodyTextIndent2"/>
              <w:widowControl w:val="0"/>
              <w:spacing w:after="0" w:line="240" w:lineRule="auto"/>
              <w:ind w:left="672" w:hanging="388"/>
              <w:rPr>
                <w:sz w:val="24"/>
                <w:szCs w:val="24"/>
              </w:rPr>
            </w:pPr>
            <w:r w:rsidRPr="00A24EAB">
              <w:rPr>
                <w:sz w:val="24"/>
                <w:szCs w:val="24"/>
              </w:rPr>
              <w:t>1.1. Внешние условия: мировая экономика и международные рынки</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5</w:t>
            </w:r>
          </w:p>
        </w:tc>
      </w:tr>
      <w:tr w:rsidR="00C20988" w:rsidRPr="00E85DD7">
        <w:trPr>
          <w:trHeight w:val="300"/>
        </w:trPr>
        <w:tc>
          <w:tcPr>
            <w:tcW w:w="8897" w:type="dxa"/>
            <w:vAlign w:val="center"/>
          </w:tcPr>
          <w:p w:rsidR="00C20988" w:rsidRPr="00A24EAB" w:rsidRDefault="00C20988" w:rsidP="008512DA">
            <w:pPr>
              <w:pStyle w:val="BodyTextIndent2"/>
              <w:widowControl w:val="0"/>
              <w:spacing w:after="0" w:line="240" w:lineRule="auto"/>
              <w:ind w:left="672" w:hanging="388"/>
              <w:rPr>
                <w:sz w:val="24"/>
                <w:szCs w:val="24"/>
              </w:rPr>
            </w:pPr>
            <w:r w:rsidRPr="00A24EAB">
              <w:rPr>
                <w:sz w:val="24"/>
                <w:szCs w:val="24"/>
              </w:rPr>
              <w:t>1.2. Экономическое положение Приднестровья</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6</w:t>
            </w:r>
          </w:p>
        </w:tc>
      </w:tr>
      <w:tr w:rsidR="00C20988" w:rsidRPr="00E85DD7">
        <w:trPr>
          <w:trHeight w:val="300"/>
        </w:trPr>
        <w:tc>
          <w:tcPr>
            <w:tcW w:w="8897" w:type="dxa"/>
            <w:vAlign w:val="center"/>
          </w:tcPr>
          <w:p w:rsidR="00C20988" w:rsidRPr="00A24EAB" w:rsidRDefault="00C20988" w:rsidP="00D02513">
            <w:pPr>
              <w:pStyle w:val="BodyTextIndent2"/>
              <w:spacing w:after="0" w:line="240" w:lineRule="auto"/>
              <w:ind w:left="709"/>
              <w:rPr>
                <w:i/>
                <w:sz w:val="24"/>
                <w:szCs w:val="24"/>
              </w:rPr>
            </w:pPr>
            <w:r w:rsidRPr="00A24EAB">
              <w:rPr>
                <w:i/>
                <w:sz w:val="24"/>
                <w:szCs w:val="24"/>
              </w:rPr>
              <w:t>Реальный сектор</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6</w:t>
            </w:r>
          </w:p>
        </w:tc>
      </w:tr>
      <w:tr w:rsidR="00C20988" w:rsidRPr="00E85DD7" w:rsidTr="00207A4A">
        <w:trPr>
          <w:trHeight w:val="105"/>
        </w:trPr>
        <w:tc>
          <w:tcPr>
            <w:tcW w:w="8897" w:type="dxa"/>
            <w:vAlign w:val="center"/>
          </w:tcPr>
          <w:p w:rsidR="00C20988" w:rsidRPr="00A24EAB" w:rsidRDefault="00C20988" w:rsidP="00D02513">
            <w:pPr>
              <w:pStyle w:val="BodyTextIndent2"/>
              <w:spacing w:after="0" w:line="240" w:lineRule="auto"/>
              <w:ind w:left="709"/>
              <w:rPr>
                <w:i/>
                <w:sz w:val="24"/>
                <w:szCs w:val="24"/>
              </w:rPr>
            </w:pPr>
            <w:r w:rsidRPr="00A24EAB">
              <w:rPr>
                <w:i/>
                <w:sz w:val="24"/>
                <w:szCs w:val="24"/>
              </w:rPr>
              <w:t>Динамика цен</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9</w:t>
            </w:r>
          </w:p>
        </w:tc>
      </w:tr>
      <w:tr w:rsidR="00C20988" w:rsidRPr="00E85DD7">
        <w:trPr>
          <w:trHeight w:val="300"/>
        </w:trPr>
        <w:tc>
          <w:tcPr>
            <w:tcW w:w="8897" w:type="dxa"/>
            <w:vAlign w:val="center"/>
          </w:tcPr>
          <w:p w:rsidR="00C20988" w:rsidRPr="00A24EAB" w:rsidRDefault="00C20988" w:rsidP="00D02513">
            <w:pPr>
              <w:pStyle w:val="BodyTextIndent2"/>
              <w:spacing w:after="0" w:line="240" w:lineRule="auto"/>
              <w:ind w:left="709"/>
              <w:rPr>
                <w:i/>
                <w:sz w:val="24"/>
                <w:szCs w:val="24"/>
              </w:rPr>
            </w:pPr>
            <w:r w:rsidRPr="00A24EAB">
              <w:rPr>
                <w:i/>
                <w:sz w:val="24"/>
                <w:szCs w:val="24"/>
              </w:rPr>
              <w:t>Социальная сфера</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11</w:t>
            </w:r>
          </w:p>
        </w:tc>
      </w:tr>
      <w:tr w:rsidR="00C20988" w:rsidRPr="00E85DD7">
        <w:trPr>
          <w:trHeight w:val="80"/>
        </w:trPr>
        <w:tc>
          <w:tcPr>
            <w:tcW w:w="8897" w:type="dxa"/>
            <w:vAlign w:val="center"/>
          </w:tcPr>
          <w:p w:rsidR="00C20988" w:rsidRPr="00A24EAB" w:rsidRDefault="00C20988" w:rsidP="00207A4A">
            <w:pPr>
              <w:pStyle w:val="BodyTextIndent2"/>
              <w:widowControl w:val="0"/>
              <w:spacing w:after="0" w:line="240" w:lineRule="auto"/>
              <w:ind w:left="672" w:hanging="388"/>
              <w:rPr>
                <w:sz w:val="24"/>
                <w:szCs w:val="24"/>
              </w:rPr>
            </w:pPr>
            <w:r w:rsidRPr="00A24EAB">
              <w:rPr>
                <w:sz w:val="24"/>
                <w:szCs w:val="24"/>
              </w:rPr>
              <w:t>1.3. Платёжный баланс</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12</w:t>
            </w:r>
          </w:p>
        </w:tc>
      </w:tr>
      <w:tr w:rsidR="00C20988" w:rsidRPr="00E85DD7">
        <w:trPr>
          <w:trHeight w:val="80"/>
        </w:trPr>
        <w:tc>
          <w:tcPr>
            <w:tcW w:w="8897" w:type="dxa"/>
            <w:vAlign w:val="center"/>
          </w:tcPr>
          <w:p w:rsidR="00C20988" w:rsidRPr="00A24EAB" w:rsidRDefault="00C20988" w:rsidP="00207A4A">
            <w:pPr>
              <w:pStyle w:val="BodyTextIndent2"/>
              <w:widowControl w:val="0"/>
              <w:spacing w:after="0" w:line="240" w:lineRule="auto"/>
              <w:ind w:left="672" w:hanging="388"/>
              <w:rPr>
                <w:sz w:val="24"/>
                <w:szCs w:val="24"/>
              </w:rPr>
            </w:pPr>
            <w:r w:rsidRPr="00A24EAB">
              <w:rPr>
                <w:sz w:val="24"/>
                <w:szCs w:val="24"/>
              </w:rPr>
              <w:t>1.4. Государственные финансы</w:t>
            </w:r>
          </w:p>
        </w:tc>
        <w:tc>
          <w:tcPr>
            <w:tcW w:w="709" w:type="dxa"/>
            <w:vAlign w:val="center"/>
          </w:tcPr>
          <w:p w:rsidR="00C20988" w:rsidRPr="00A24EAB" w:rsidRDefault="00C20988" w:rsidP="00A57551">
            <w:pPr>
              <w:pStyle w:val="BodyTextIndent2"/>
              <w:widowControl w:val="0"/>
              <w:tabs>
                <w:tab w:val="left" w:pos="317"/>
              </w:tabs>
              <w:spacing w:after="0" w:line="240" w:lineRule="auto"/>
              <w:ind w:left="-108"/>
              <w:jc w:val="center"/>
              <w:rPr>
                <w:sz w:val="24"/>
                <w:szCs w:val="24"/>
              </w:rPr>
            </w:pPr>
            <w:r w:rsidRPr="00A24EAB">
              <w:rPr>
                <w:sz w:val="24"/>
                <w:szCs w:val="24"/>
              </w:rPr>
              <w:t>15</w:t>
            </w:r>
          </w:p>
        </w:tc>
      </w:tr>
      <w:tr w:rsidR="00C20988" w:rsidRPr="00E85DD7">
        <w:trPr>
          <w:trHeight w:val="300"/>
        </w:trPr>
        <w:tc>
          <w:tcPr>
            <w:tcW w:w="8897" w:type="dxa"/>
            <w:vAlign w:val="center"/>
          </w:tcPr>
          <w:p w:rsidR="00C20988" w:rsidRPr="00A24EAB" w:rsidRDefault="00C20988" w:rsidP="00207A4A">
            <w:pPr>
              <w:pStyle w:val="BodyTextIndent2"/>
              <w:widowControl w:val="0"/>
              <w:spacing w:after="0" w:line="240" w:lineRule="auto"/>
              <w:ind w:left="672" w:hanging="388"/>
              <w:rPr>
                <w:sz w:val="24"/>
                <w:szCs w:val="24"/>
              </w:rPr>
            </w:pPr>
            <w:r w:rsidRPr="00A24EAB">
              <w:rPr>
                <w:sz w:val="24"/>
                <w:szCs w:val="24"/>
              </w:rPr>
              <w:t>1.5. Финансовый сектор</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17</w:t>
            </w:r>
          </w:p>
        </w:tc>
      </w:tr>
      <w:tr w:rsidR="00C20988" w:rsidRPr="00E85DD7">
        <w:trPr>
          <w:trHeight w:val="300"/>
        </w:trPr>
        <w:tc>
          <w:tcPr>
            <w:tcW w:w="8897" w:type="dxa"/>
            <w:vAlign w:val="center"/>
          </w:tcPr>
          <w:p w:rsidR="00C20988" w:rsidRPr="00A24EAB" w:rsidRDefault="00C20988" w:rsidP="00207A4A">
            <w:pPr>
              <w:pStyle w:val="BodyTextIndent2"/>
              <w:spacing w:after="0" w:line="240" w:lineRule="auto"/>
              <w:ind w:left="595"/>
              <w:rPr>
                <w:i/>
                <w:sz w:val="24"/>
                <w:szCs w:val="24"/>
              </w:rPr>
            </w:pPr>
            <w:r w:rsidRPr="00A24EAB">
              <w:rPr>
                <w:i/>
                <w:sz w:val="24"/>
                <w:szCs w:val="24"/>
              </w:rPr>
              <w:t>Денежный рынок</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17</w:t>
            </w:r>
          </w:p>
        </w:tc>
      </w:tr>
      <w:tr w:rsidR="00C20988" w:rsidRPr="00E85DD7">
        <w:trPr>
          <w:trHeight w:val="300"/>
        </w:trPr>
        <w:tc>
          <w:tcPr>
            <w:tcW w:w="8897" w:type="dxa"/>
            <w:vAlign w:val="center"/>
          </w:tcPr>
          <w:p w:rsidR="00C20988" w:rsidRPr="00A24EAB" w:rsidRDefault="00C20988" w:rsidP="00207A4A">
            <w:pPr>
              <w:pStyle w:val="BodyTextIndent2"/>
              <w:spacing w:after="0" w:line="240" w:lineRule="auto"/>
              <w:ind w:left="595"/>
              <w:rPr>
                <w:sz w:val="24"/>
                <w:szCs w:val="24"/>
              </w:rPr>
            </w:pPr>
            <w:r w:rsidRPr="00A24EAB">
              <w:rPr>
                <w:i/>
                <w:sz w:val="24"/>
                <w:szCs w:val="24"/>
              </w:rPr>
              <w:t>Валютный рынок</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18</w:t>
            </w:r>
          </w:p>
        </w:tc>
      </w:tr>
      <w:tr w:rsidR="00C20988" w:rsidRPr="00E85DD7">
        <w:trPr>
          <w:trHeight w:val="300"/>
        </w:trPr>
        <w:tc>
          <w:tcPr>
            <w:tcW w:w="8897" w:type="dxa"/>
            <w:vAlign w:val="center"/>
          </w:tcPr>
          <w:p w:rsidR="00C20988" w:rsidRPr="00A24EAB" w:rsidRDefault="00C20988" w:rsidP="00207A4A">
            <w:pPr>
              <w:pStyle w:val="BodyTextIndent2"/>
              <w:spacing w:after="0" w:line="240" w:lineRule="auto"/>
              <w:ind w:left="595"/>
              <w:rPr>
                <w:sz w:val="24"/>
                <w:szCs w:val="24"/>
              </w:rPr>
            </w:pPr>
            <w:r w:rsidRPr="00A24EAB">
              <w:rPr>
                <w:i/>
                <w:sz w:val="24"/>
                <w:szCs w:val="24"/>
              </w:rPr>
              <w:t>Банковская система</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19</w:t>
            </w:r>
          </w:p>
        </w:tc>
      </w:tr>
      <w:tr w:rsidR="00C20988" w:rsidRPr="00E85DD7">
        <w:trPr>
          <w:trHeight w:val="300"/>
        </w:trPr>
        <w:tc>
          <w:tcPr>
            <w:tcW w:w="8897" w:type="dxa"/>
            <w:vAlign w:val="center"/>
          </w:tcPr>
          <w:p w:rsidR="00C20988" w:rsidRPr="00A24EAB" w:rsidRDefault="00C20988" w:rsidP="00207A4A">
            <w:pPr>
              <w:pStyle w:val="BodyTextIndent2"/>
              <w:spacing w:after="0" w:line="240" w:lineRule="auto"/>
              <w:ind w:left="595"/>
              <w:rPr>
                <w:i/>
                <w:sz w:val="24"/>
                <w:szCs w:val="24"/>
              </w:rPr>
            </w:pPr>
            <w:r w:rsidRPr="00A24EAB">
              <w:rPr>
                <w:i/>
                <w:sz w:val="24"/>
                <w:szCs w:val="24"/>
              </w:rPr>
              <w:t>Страховой рынок</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23</w:t>
            </w:r>
          </w:p>
        </w:tc>
      </w:tr>
      <w:tr w:rsidR="00C20988" w:rsidRPr="00E85DD7">
        <w:trPr>
          <w:trHeight w:val="300"/>
        </w:trPr>
        <w:tc>
          <w:tcPr>
            <w:tcW w:w="8897" w:type="dxa"/>
            <w:vAlign w:val="center"/>
          </w:tcPr>
          <w:p w:rsidR="00C20988" w:rsidRPr="00A24EAB" w:rsidRDefault="00C20988" w:rsidP="00182680">
            <w:pPr>
              <w:pStyle w:val="BodyTextIndent2"/>
              <w:widowControl w:val="0"/>
              <w:spacing w:after="0" w:line="240" w:lineRule="auto"/>
              <w:ind w:left="672" w:hanging="388"/>
              <w:rPr>
                <w:sz w:val="24"/>
                <w:szCs w:val="24"/>
              </w:rPr>
            </w:pPr>
            <w:r w:rsidRPr="00A24EAB">
              <w:rPr>
                <w:sz w:val="24"/>
                <w:szCs w:val="24"/>
              </w:rPr>
              <w:t>1.6. Платёжная система</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23</w:t>
            </w:r>
          </w:p>
        </w:tc>
      </w:tr>
      <w:tr w:rsidR="00C20988" w:rsidRPr="00E85DD7">
        <w:trPr>
          <w:trHeight w:val="300"/>
        </w:trPr>
        <w:tc>
          <w:tcPr>
            <w:tcW w:w="8897" w:type="dxa"/>
            <w:vAlign w:val="center"/>
          </w:tcPr>
          <w:p w:rsidR="00C20988" w:rsidRPr="00A24EAB" w:rsidRDefault="00C20988" w:rsidP="00207A4A">
            <w:pPr>
              <w:pStyle w:val="BodyTextIndent2"/>
              <w:widowControl w:val="0"/>
              <w:spacing w:after="0" w:line="240" w:lineRule="auto"/>
              <w:ind w:left="0"/>
              <w:rPr>
                <w:sz w:val="24"/>
                <w:szCs w:val="24"/>
              </w:rPr>
            </w:pPr>
            <w:r w:rsidRPr="00A24EAB">
              <w:rPr>
                <w:b/>
                <w:bCs/>
                <w:sz w:val="24"/>
                <w:szCs w:val="24"/>
              </w:rPr>
              <w:t>2. Деятельность Приднестровского республиканского банка в 2018 году</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b/>
                <w:bCs/>
                <w:sz w:val="24"/>
                <w:szCs w:val="24"/>
              </w:rPr>
            </w:pPr>
            <w:r w:rsidRPr="00A24EAB">
              <w:rPr>
                <w:b/>
                <w:bCs/>
                <w:sz w:val="24"/>
                <w:szCs w:val="24"/>
              </w:rPr>
              <w:t>26</w:t>
            </w:r>
          </w:p>
        </w:tc>
      </w:tr>
      <w:tr w:rsidR="00C20988" w:rsidRPr="00E85DD7">
        <w:trPr>
          <w:trHeight w:val="225"/>
        </w:trPr>
        <w:tc>
          <w:tcPr>
            <w:tcW w:w="8897" w:type="dxa"/>
            <w:vAlign w:val="center"/>
          </w:tcPr>
          <w:p w:rsidR="00C20988" w:rsidRPr="00A24EAB" w:rsidRDefault="00C20988" w:rsidP="008512DA">
            <w:pPr>
              <w:pStyle w:val="BodyTextIndent2"/>
              <w:widowControl w:val="0"/>
              <w:spacing w:after="0" w:line="240" w:lineRule="auto"/>
              <w:ind w:left="672" w:hanging="388"/>
              <w:rPr>
                <w:sz w:val="24"/>
                <w:szCs w:val="24"/>
              </w:rPr>
            </w:pPr>
            <w:r w:rsidRPr="00A24EAB">
              <w:rPr>
                <w:sz w:val="24"/>
                <w:szCs w:val="24"/>
              </w:rPr>
              <w:t>2.1. Денежно-кредитная политика</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26</w:t>
            </w:r>
          </w:p>
        </w:tc>
      </w:tr>
      <w:tr w:rsidR="00C20988" w:rsidRPr="00E85DD7">
        <w:trPr>
          <w:trHeight w:val="258"/>
        </w:trPr>
        <w:tc>
          <w:tcPr>
            <w:tcW w:w="8897" w:type="dxa"/>
            <w:vAlign w:val="center"/>
          </w:tcPr>
          <w:p w:rsidR="00C20988" w:rsidRPr="00A24EAB" w:rsidRDefault="00C20988" w:rsidP="00870351">
            <w:pPr>
              <w:pStyle w:val="BodyTextIndent2"/>
              <w:widowControl w:val="0"/>
              <w:spacing w:after="0" w:line="240" w:lineRule="auto"/>
              <w:ind w:left="672" w:firstLine="37"/>
              <w:rPr>
                <w:i/>
                <w:iCs/>
                <w:sz w:val="24"/>
                <w:szCs w:val="24"/>
              </w:rPr>
            </w:pPr>
            <w:r w:rsidRPr="00A24EAB">
              <w:rPr>
                <w:i/>
                <w:iCs/>
                <w:sz w:val="24"/>
                <w:szCs w:val="24"/>
              </w:rPr>
              <w:t>Цели и результаты денежно-кредитной политики</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26</w:t>
            </w:r>
          </w:p>
        </w:tc>
      </w:tr>
      <w:tr w:rsidR="00C20988" w:rsidRPr="00E85DD7">
        <w:trPr>
          <w:trHeight w:val="258"/>
        </w:trPr>
        <w:tc>
          <w:tcPr>
            <w:tcW w:w="8897" w:type="dxa"/>
            <w:vAlign w:val="center"/>
          </w:tcPr>
          <w:p w:rsidR="00C20988" w:rsidRPr="00A24EAB" w:rsidRDefault="00C20988" w:rsidP="008512DA">
            <w:pPr>
              <w:pStyle w:val="BodyTextIndent2"/>
              <w:widowControl w:val="0"/>
              <w:spacing w:after="0" w:line="240" w:lineRule="auto"/>
              <w:ind w:left="672" w:firstLine="37"/>
              <w:rPr>
                <w:i/>
                <w:iCs/>
                <w:sz w:val="24"/>
                <w:szCs w:val="24"/>
              </w:rPr>
            </w:pPr>
            <w:r w:rsidRPr="00A24EAB">
              <w:rPr>
                <w:i/>
                <w:iCs/>
                <w:sz w:val="24"/>
                <w:szCs w:val="24"/>
              </w:rPr>
              <w:t>Инструменты денежно-кредитной политики</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27</w:t>
            </w:r>
          </w:p>
        </w:tc>
      </w:tr>
      <w:tr w:rsidR="00C20988" w:rsidRPr="00E85DD7">
        <w:trPr>
          <w:trHeight w:val="135"/>
        </w:trPr>
        <w:tc>
          <w:tcPr>
            <w:tcW w:w="8897" w:type="dxa"/>
            <w:vAlign w:val="center"/>
          </w:tcPr>
          <w:p w:rsidR="00C20988" w:rsidRPr="00A24EAB" w:rsidRDefault="00C20988" w:rsidP="008512DA">
            <w:pPr>
              <w:pStyle w:val="BodyTextIndent2"/>
              <w:widowControl w:val="0"/>
              <w:spacing w:after="0" w:line="240" w:lineRule="auto"/>
              <w:ind w:left="672" w:hanging="388"/>
              <w:rPr>
                <w:sz w:val="24"/>
                <w:szCs w:val="24"/>
              </w:rPr>
            </w:pPr>
            <w:r w:rsidRPr="00A24EAB">
              <w:rPr>
                <w:sz w:val="24"/>
                <w:szCs w:val="24"/>
              </w:rPr>
              <w:t>2.2. Динамика золотовалютных резервов</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27</w:t>
            </w:r>
          </w:p>
        </w:tc>
      </w:tr>
      <w:tr w:rsidR="00C20988" w:rsidRPr="00E85DD7">
        <w:trPr>
          <w:trHeight w:val="258"/>
        </w:trPr>
        <w:tc>
          <w:tcPr>
            <w:tcW w:w="8897" w:type="dxa"/>
            <w:vAlign w:val="center"/>
          </w:tcPr>
          <w:p w:rsidR="00C20988" w:rsidRPr="00A24EAB" w:rsidRDefault="00C20988" w:rsidP="0027181C">
            <w:pPr>
              <w:pStyle w:val="BodyTextIndent2"/>
              <w:widowControl w:val="0"/>
              <w:spacing w:after="0" w:line="240" w:lineRule="auto"/>
              <w:ind w:left="672" w:hanging="388"/>
              <w:rPr>
                <w:sz w:val="24"/>
                <w:szCs w:val="24"/>
              </w:rPr>
            </w:pPr>
            <w:r w:rsidRPr="00A24EAB">
              <w:rPr>
                <w:sz w:val="24"/>
                <w:szCs w:val="24"/>
              </w:rPr>
              <w:t>2.3. Регулирование и надзор в банковской и страховой сферах</w:t>
            </w:r>
          </w:p>
        </w:tc>
        <w:tc>
          <w:tcPr>
            <w:tcW w:w="709" w:type="dxa"/>
            <w:vAlign w:val="center"/>
          </w:tcPr>
          <w:p w:rsidR="00C20988" w:rsidRPr="00A24EAB" w:rsidRDefault="00C20988" w:rsidP="00E95790">
            <w:pPr>
              <w:pStyle w:val="BodyTextIndent2"/>
              <w:widowControl w:val="0"/>
              <w:tabs>
                <w:tab w:val="left" w:pos="317"/>
              </w:tabs>
              <w:spacing w:after="0" w:line="240" w:lineRule="auto"/>
              <w:ind w:left="-108"/>
              <w:jc w:val="center"/>
              <w:rPr>
                <w:sz w:val="24"/>
                <w:szCs w:val="24"/>
              </w:rPr>
            </w:pPr>
            <w:r w:rsidRPr="00A24EAB">
              <w:rPr>
                <w:sz w:val="24"/>
                <w:szCs w:val="24"/>
              </w:rPr>
              <w:t>27</w:t>
            </w:r>
          </w:p>
        </w:tc>
      </w:tr>
      <w:tr w:rsidR="00C20988" w:rsidRPr="00E85DD7">
        <w:trPr>
          <w:trHeight w:val="258"/>
        </w:trPr>
        <w:tc>
          <w:tcPr>
            <w:tcW w:w="8897" w:type="dxa"/>
            <w:vAlign w:val="center"/>
          </w:tcPr>
          <w:p w:rsidR="00C20988" w:rsidRPr="00A24EAB" w:rsidRDefault="00C20988" w:rsidP="008512DA">
            <w:pPr>
              <w:pStyle w:val="BodyTextIndent2"/>
              <w:widowControl w:val="0"/>
              <w:spacing w:after="0" w:line="240" w:lineRule="auto"/>
              <w:ind w:left="672" w:firstLine="37"/>
              <w:rPr>
                <w:i/>
                <w:iCs/>
                <w:sz w:val="24"/>
                <w:szCs w:val="24"/>
              </w:rPr>
            </w:pPr>
            <w:r w:rsidRPr="00A24EAB">
              <w:rPr>
                <w:i/>
                <w:iCs/>
                <w:sz w:val="24"/>
                <w:szCs w:val="24"/>
              </w:rPr>
              <w:t>Регистрация и лицензирование банковской деятельности</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27</w:t>
            </w:r>
          </w:p>
        </w:tc>
      </w:tr>
      <w:tr w:rsidR="00C20988" w:rsidRPr="00E85DD7">
        <w:trPr>
          <w:trHeight w:val="258"/>
        </w:trPr>
        <w:tc>
          <w:tcPr>
            <w:tcW w:w="8897" w:type="dxa"/>
            <w:vAlign w:val="center"/>
          </w:tcPr>
          <w:p w:rsidR="00C20988" w:rsidRPr="00A24EAB" w:rsidRDefault="00C20988" w:rsidP="008512DA">
            <w:pPr>
              <w:pStyle w:val="BodyTextIndent2"/>
              <w:widowControl w:val="0"/>
              <w:spacing w:after="0" w:line="240" w:lineRule="auto"/>
              <w:ind w:left="672" w:firstLine="37"/>
              <w:rPr>
                <w:i/>
                <w:iCs/>
                <w:sz w:val="24"/>
                <w:szCs w:val="24"/>
              </w:rPr>
            </w:pPr>
            <w:r w:rsidRPr="00A24EAB">
              <w:rPr>
                <w:i/>
                <w:iCs/>
                <w:sz w:val="24"/>
                <w:szCs w:val="24"/>
              </w:rPr>
              <w:t>Дистанционный надзор</w:t>
            </w:r>
          </w:p>
        </w:tc>
        <w:tc>
          <w:tcPr>
            <w:tcW w:w="709" w:type="dxa"/>
            <w:vAlign w:val="center"/>
          </w:tcPr>
          <w:p w:rsidR="00C20988" w:rsidRPr="00A24EAB" w:rsidRDefault="00C20988" w:rsidP="009E186B">
            <w:pPr>
              <w:pStyle w:val="BodyTextIndent2"/>
              <w:widowControl w:val="0"/>
              <w:tabs>
                <w:tab w:val="left" w:pos="317"/>
              </w:tabs>
              <w:spacing w:after="0" w:line="240" w:lineRule="auto"/>
              <w:ind w:left="-108"/>
              <w:jc w:val="center"/>
              <w:rPr>
                <w:sz w:val="24"/>
                <w:szCs w:val="24"/>
              </w:rPr>
            </w:pPr>
            <w:r w:rsidRPr="00A24EAB">
              <w:rPr>
                <w:sz w:val="24"/>
                <w:szCs w:val="24"/>
              </w:rPr>
              <w:t>28</w:t>
            </w:r>
          </w:p>
        </w:tc>
      </w:tr>
      <w:tr w:rsidR="00C20988" w:rsidRPr="00E85DD7">
        <w:trPr>
          <w:trHeight w:val="258"/>
        </w:trPr>
        <w:tc>
          <w:tcPr>
            <w:tcW w:w="8897" w:type="dxa"/>
            <w:vAlign w:val="center"/>
          </w:tcPr>
          <w:p w:rsidR="00C20988" w:rsidRPr="00A24EAB" w:rsidRDefault="00C20988" w:rsidP="008512DA">
            <w:pPr>
              <w:pStyle w:val="BodyTextIndent2"/>
              <w:widowControl w:val="0"/>
              <w:spacing w:after="0" w:line="240" w:lineRule="auto"/>
              <w:ind w:left="672" w:firstLine="37"/>
              <w:rPr>
                <w:i/>
                <w:iCs/>
                <w:sz w:val="24"/>
                <w:szCs w:val="24"/>
              </w:rPr>
            </w:pPr>
            <w:r w:rsidRPr="00A24EAB">
              <w:rPr>
                <w:i/>
                <w:iCs/>
                <w:sz w:val="24"/>
                <w:szCs w:val="24"/>
              </w:rPr>
              <w:t>Банковское регулирование</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29</w:t>
            </w:r>
          </w:p>
        </w:tc>
      </w:tr>
      <w:tr w:rsidR="00C20988" w:rsidRPr="00E85DD7">
        <w:trPr>
          <w:trHeight w:val="258"/>
        </w:trPr>
        <w:tc>
          <w:tcPr>
            <w:tcW w:w="8897" w:type="dxa"/>
            <w:vAlign w:val="center"/>
          </w:tcPr>
          <w:p w:rsidR="00C20988" w:rsidRPr="00A24EAB" w:rsidRDefault="00C20988" w:rsidP="008512DA">
            <w:pPr>
              <w:pStyle w:val="BodyTextIndent2"/>
              <w:widowControl w:val="0"/>
              <w:spacing w:after="0" w:line="240" w:lineRule="auto"/>
              <w:ind w:left="672" w:firstLine="37"/>
              <w:rPr>
                <w:i/>
                <w:iCs/>
                <w:sz w:val="24"/>
                <w:szCs w:val="24"/>
              </w:rPr>
            </w:pPr>
            <w:r w:rsidRPr="00A24EAB">
              <w:rPr>
                <w:i/>
                <w:iCs/>
                <w:sz w:val="24"/>
                <w:szCs w:val="24"/>
              </w:rPr>
              <w:t>Инспектирование кредитных организаций</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31</w:t>
            </w:r>
          </w:p>
        </w:tc>
      </w:tr>
      <w:tr w:rsidR="00C20988" w:rsidRPr="00E85DD7">
        <w:trPr>
          <w:trHeight w:val="258"/>
        </w:trPr>
        <w:tc>
          <w:tcPr>
            <w:tcW w:w="8897" w:type="dxa"/>
            <w:vAlign w:val="center"/>
          </w:tcPr>
          <w:p w:rsidR="00C20988" w:rsidRPr="00A24EAB" w:rsidRDefault="00C20988" w:rsidP="00870351">
            <w:pPr>
              <w:pStyle w:val="BodyTextIndent2"/>
              <w:widowControl w:val="0"/>
              <w:spacing w:after="0" w:line="240" w:lineRule="auto"/>
              <w:ind w:left="672" w:firstLine="37"/>
              <w:rPr>
                <w:i/>
                <w:iCs/>
                <w:sz w:val="24"/>
                <w:szCs w:val="24"/>
              </w:rPr>
            </w:pPr>
            <w:r w:rsidRPr="00A24EAB">
              <w:rPr>
                <w:i/>
                <w:iCs/>
                <w:sz w:val="24"/>
                <w:szCs w:val="24"/>
              </w:rPr>
              <w:t>Регулирование страхового рынка</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31</w:t>
            </w:r>
          </w:p>
        </w:tc>
      </w:tr>
      <w:tr w:rsidR="00C20988" w:rsidRPr="00E85DD7">
        <w:trPr>
          <w:trHeight w:val="268"/>
        </w:trPr>
        <w:tc>
          <w:tcPr>
            <w:tcW w:w="8897" w:type="dxa"/>
            <w:vAlign w:val="center"/>
          </w:tcPr>
          <w:p w:rsidR="00C20988" w:rsidRPr="00A24EAB" w:rsidRDefault="00C20988" w:rsidP="008512DA">
            <w:pPr>
              <w:pStyle w:val="BodyTextIndent2"/>
              <w:widowControl w:val="0"/>
              <w:spacing w:after="0" w:line="240" w:lineRule="auto"/>
              <w:ind w:left="672" w:hanging="388"/>
              <w:rPr>
                <w:sz w:val="24"/>
                <w:szCs w:val="24"/>
              </w:rPr>
            </w:pPr>
            <w:r w:rsidRPr="00A24EAB">
              <w:rPr>
                <w:sz w:val="24"/>
                <w:szCs w:val="24"/>
              </w:rPr>
              <w:t>2.4. Валютное регулирование и валютный контроль</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32</w:t>
            </w:r>
          </w:p>
        </w:tc>
      </w:tr>
      <w:tr w:rsidR="00C20988" w:rsidRPr="00E85DD7">
        <w:trPr>
          <w:trHeight w:val="268"/>
        </w:trPr>
        <w:tc>
          <w:tcPr>
            <w:tcW w:w="8897" w:type="dxa"/>
            <w:vAlign w:val="center"/>
          </w:tcPr>
          <w:p w:rsidR="00C20988" w:rsidRPr="00A24EAB" w:rsidRDefault="00C20988" w:rsidP="00870351">
            <w:pPr>
              <w:pStyle w:val="BodyTextIndent2"/>
              <w:widowControl w:val="0"/>
              <w:spacing w:after="0" w:line="240" w:lineRule="auto"/>
              <w:ind w:left="672" w:hanging="388"/>
              <w:rPr>
                <w:sz w:val="24"/>
                <w:szCs w:val="24"/>
              </w:rPr>
            </w:pPr>
            <w:r w:rsidRPr="00A24EAB">
              <w:rPr>
                <w:sz w:val="24"/>
                <w:szCs w:val="24"/>
              </w:rPr>
              <w:t xml:space="preserve">2.5. Противодействие легализации (отмыванию) доходов, полученных преступным путём, и финансированию терроризма </w:t>
            </w:r>
          </w:p>
        </w:tc>
        <w:tc>
          <w:tcPr>
            <w:tcW w:w="709" w:type="dxa"/>
            <w:vAlign w:val="center"/>
          </w:tcPr>
          <w:p w:rsidR="00C20988" w:rsidRPr="00A24EAB" w:rsidRDefault="00C20988" w:rsidP="009E186B">
            <w:pPr>
              <w:pStyle w:val="BodyTextIndent2"/>
              <w:widowControl w:val="0"/>
              <w:tabs>
                <w:tab w:val="left" w:pos="317"/>
              </w:tabs>
              <w:spacing w:after="0" w:line="240" w:lineRule="auto"/>
              <w:ind w:left="-108"/>
              <w:jc w:val="center"/>
              <w:rPr>
                <w:sz w:val="24"/>
                <w:szCs w:val="24"/>
              </w:rPr>
            </w:pPr>
            <w:r w:rsidRPr="00A24EAB">
              <w:rPr>
                <w:sz w:val="24"/>
                <w:szCs w:val="24"/>
              </w:rPr>
              <w:t>34</w:t>
            </w:r>
          </w:p>
        </w:tc>
      </w:tr>
      <w:tr w:rsidR="00C20988" w:rsidRPr="00E85DD7">
        <w:trPr>
          <w:trHeight w:val="258"/>
        </w:trPr>
        <w:tc>
          <w:tcPr>
            <w:tcW w:w="8897" w:type="dxa"/>
            <w:vAlign w:val="center"/>
          </w:tcPr>
          <w:p w:rsidR="00C20988" w:rsidRPr="00A24EAB" w:rsidRDefault="00C20988" w:rsidP="008512DA">
            <w:pPr>
              <w:pStyle w:val="BodyTextIndent2"/>
              <w:widowControl w:val="0"/>
              <w:spacing w:after="0" w:line="240" w:lineRule="auto"/>
              <w:ind w:left="672" w:hanging="388"/>
              <w:rPr>
                <w:sz w:val="24"/>
                <w:szCs w:val="24"/>
              </w:rPr>
            </w:pPr>
            <w:r w:rsidRPr="00A24EAB">
              <w:rPr>
                <w:sz w:val="24"/>
                <w:szCs w:val="24"/>
              </w:rPr>
              <w:t>2.6. Функционирование платёжной системы Приднестровского республиканского банка</w:t>
            </w:r>
          </w:p>
        </w:tc>
        <w:tc>
          <w:tcPr>
            <w:tcW w:w="709" w:type="dxa"/>
            <w:vAlign w:val="center"/>
          </w:tcPr>
          <w:p w:rsidR="00C20988" w:rsidRPr="00A24EAB" w:rsidRDefault="00C20988" w:rsidP="00E95790">
            <w:pPr>
              <w:pStyle w:val="BodyTextIndent2"/>
              <w:widowControl w:val="0"/>
              <w:tabs>
                <w:tab w:val="left" w:pos="317"/>
              </w:tabs>
              <w:spacing w:after="0" w:line="240" w:lineRule="auto"/>
              <w:ind w:left="-108"/>
              <w:jc w:val="center"/>
              <w:rPr>
                <w:sz w:val="24"/>
                <w:szCs w:val="24"/>
              </w:rPr>
            </w:pPr>
            <w:r w:rsidRPr="00A24EAB">
              <w:rPr>
                <w:sz w:val="24"/>
                <w:szCs w:val="24"/>
              </w:rPr>
              <w:t>35</w:t>
            </w:r>
          </w:p>
        </w:tc>
      </w:tr>
      <w:tr w:rsidR="00C20988" w:rsidRPr="00E85DD7">
        <w:trPr>
          <w:trHeight w:val="258"/>
        </w:trPr>
        <w:tc>
          <w:tcPr>
            <w:tcW w:w="8897" w:type="dxa"/>
            <w:vAlign w:val="center"/>
          </w:tcPr>
          <w:p w:rsidR="00C20988" w:rsidRPr="00A24EAB" w:rsidRDefault="00C20988" w:rsidP="008512DA">
            <w:pPr>
              <w:pStyle w:val="BodyTextIndent2"/>
              <w:widowControl w:val="0"/>
              <w:spacing w:after="0" w:line="240" w:lineRule="auto"/>
              <w:ind w:left="672" w:hanging="388"/>
              <w:rPr>
                <w:sz w:val="24"/>
                <w:szCs w:val="24"/>
              </w:rPr>
            </w:pPr>
            <w:r w:rsidRPr="00A24EAB">
              <w:rPr>
                <w:sz w:val="24"/>
                <w:szCs w:val="24"/>
              </w:rPr>
              <w:t>2.7. Организация наличного денежного обращения</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36</w:t>
            </w:r>
          </w:p>
        </w:tc>
      </w:tr>
      <w:tr w:rsidR="00C20988" w:rsidRPr="00E85DD7">
        <w:trPr>
          <w:trHeight w:val="312"/>
        </w:trPr>
        <w:tc>
          <w:tcPr>
            <w:tcW w:w="8897" w:type="dxa"/>
            <w:vAlign w:val="center"/>
          </w:tcPr>
          <w:p w:rsidR="00C20988" w:rsidRPr="00A24EAB" w:rsidRDefault="00C20988" w:rsidP="00870351">
            <w:pPr>
              <w:pStyle w:val="BodyTextIndent2"/>
              <w:widowControl w:val="0"/>
              <w:spacing w:after="0" w:line="240" w:lineRule="auto"/>
              <w:ind w:left="672" w:hanging="388"/>
              <w:rPr>
                <w:sz w:val="24"/>
                <w:szCs w:val="24"/>
              </w:rPr>
            </w:pPr>
            <w:r w:rsidRPr="00A24EAB">
              <w:rPr>
                <w:sz w:val="24"/>
                <w:szCs w:val="24"/>
              </w:rPr>
              <w:t>2.8. Совершенствование бухгалтерского учёта и отчётности кредитных и страховых организаций</w:t>
            </w:r>
          </w:p>
        </w:tc>
        <w:tc>
          <w:tcPr>
            <w:tcW w:w="709" w:type="dxa"/>
            <w:vAlign w:val="center"/>
          </w:tcPr>
          <w:p w:rsidR="00C20988" w:rsidRPr="00A24EAB" w:rsidRDefault="00C20988" w:rsidP="00E95790">
            <w:pPr>
              <w:pStyle w:val="BodyTextIndent2"/>
              <w:widowControl w:val="0"/>
              <w:tabs>
                <w:tab w:val="left" w:pos="317"/>
              </w:tabs>
              <w:spacing w:after="0" w:line="240" w:lineRule="auto"/>
              <w:ind w:left="-108"/>
              <w:jc w:val="center"/>
              <w:rPr>
                <w:sz w:val="24"/>
                <w:szCs w:val="24"/>
              </w:rPr>
            </w:pPr>
            <w:r w:rsidRPr="00A24EAB">
              <w:rPr>
                <w:sz w:val="24"/>
                <w:szCs w:val="24"/>
              </w:rPr>
              <w:t>37</w:t>
            </w:r>
          </w:p>
        </w:tc>
      </w:tr>
      <w:tr w:rsidR="00C20988" w:rsidRPr="00E85DD7">
        <w:trPr>
          <w:trHeight w:val="312"/>
        </w:trPr>
        <w:tc>
          <w:tcPr>
            <w:tcW w:w="8897" w:type="dxa"/>
            <w:vAlign w:val="center"/>
          </w:tcPr>
          <w:p w:rsidR="00C20988" w:rsidRPr="00A24EAB" w:rsidRDefault="00C20988" w:rsidP="00870351">
            <w:pPr>
              <w:pStyle w:val="BodyTextIndent2"/>
              <w:widowControl w:val="0"/>
              <w:spacing w:after="0" w:line="240" w:lineRule="auto"/>
              <w:ind w:left="672" w:hanging="388"/>
              <w:rPr>
                <w:sz w:val="24"/>
                <w:szCs w:val="24"/>
              </w:rPr>
            </w:pPr>
            <w:r w:rsidRPr="00A24EAB">
              <w:rPr>
                <w:sz w:val="24"/>
                <w:szCs w:val="24"/>
              </w:rPr>
              <w:t>2.9. Взаимодействие Приднестровского республиканского банка с органами государственной власти</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38</w:t>
            </w:r>
          </w:p>
        </w:tc>
      </w:tr>
      <w:tr w:rsidR="00C20988" w:rsidRPr="00E85DD7">
        <w:trPr>
          <w:trHeight w:val="312"/>
        </w:trPr>
        <w:tc>
          <w:tcPr>
            <w:tcW w:w="8897" w:type="dxa"/>
            <w:vAlign w:val="center"/>
          </w:tcPr>
          <w:p w:rsidR="00C20988" w:rsidRPr="00A24EAB" w:rsidRDefault="00C20988" w:rsidP="00FC53FA">
            <w:pPr>
              <w:pStyle w:val="BodyTextIndent2"/>
              <w:widowControl w:val="0"/>
              <w:spacing w:after="0" w:line="240" w:lineRule="auto"/>
              <w:ind w:left="686" w:hanging="406"/>
              <w:rPr>
                <w:i/>
                <w:iCs/>
                <w:sz w:val="24"/>
                <w:szCs w:val="24"/>
              </w:rPr>
            </w:pPr>
            <w:r w:rsidRPr="00A24EAB">
              <w:rPr>
                <w:sz w:val="24"/>
                <w:szCs w:val="24"/>
              </w:rPr>
              <w:t>2.10. Организация внутренней деятельности Приднестровского республиканского банка</w:t>
            </w:r>
          </w:p>
        </w:tc>
        <w:tc>
          <w:tcPr>
            <w:tcW w:w="709" w:type="dxa"/>
            <w:vAlign w:val="center"/>
          </w:tcPr>
          <w:p w:rsidR="00C20988" w:rsidRPr="00A24EAB" w:rsidRDefault="00C20988" w:rsidP="00E95790">
            <w:pPr>
              <w:pStyle w:val="BodyTextIndent2"/>
              <w:widowControl w:val="0"/>
              <w:tabs>
                <w:tab w:val="left" w:pos="317"/>
              </w:tabs>
              <w:spacing w:after="0" w:line="240" w:lineRule="auto"/>
              <w:ind w:left="-108"/>
              <w:jc w:val="center"/>
              <w:rPr>
                <w:sz w:val="24"/>
                <w:szCs w:val="24"/>
              </w:rPr>
            </w:pPr>
            <w:r w:rsidRPr="00A24EAB">
              <w:rPr>
                <w:sz w:val="24"/>
                <w:szCs w:val="24"/>
              </w:rPr>
              <w:t>39</w:t>
            </w:r>
          </w:p>
        </w:tc>
      </w:tr>
      <w:tr w:rsidR="00C20988" w:rsidRPr="00E85DD7">
        <w:trPr>
          <w:trHeight w:val="312"/>
        </w:trPr>
        <w:tc>
          <w:tcPr>
            <w:tcW w:w="8897" w:type="dxa"/>
            <w:vAlign w:val="center"/>
          </w:tcPr>
          <w:p w:rsidR="00C20988" w:rsidRPr="00A24EAB" w:rsidRDefault="00C20988" w:rsidP="008512DA">
            <w:pPr>
              <w:widowControl w:val="0"/>
              <w:ind w:left="728" w:hanging="14"/>
              <w:jc w:val="both"/>
              <w:rPr>
                <w:sz w:val="23"/>
                <w:szCs w:val="23"/>
              </w:rPr>
            </w:pPr>
            <w:r w:rsidRPr="00A24EAB">
              <w:rPr>
                <w:i/>
                <w:iCs/>
                <w:sz w:val="23"/>
                <w:szCs w:val="23"/>
              </w:rPr>
              <w:t>Организационная структура банка, кадровое обеспечение и обучение персонала</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39</w:t>
            </w:r>
          </w:p>
        </w:tc>
      </w:tr>
      <w:tr w:rsidR="00C20988" w:rsidRPr="00E85DD7">
        <w:trPr>
          <w:trHeight w:val="312"/>
        </w:trPr>
        <w:tc>
          <w:tcPr>
            <w:tcW w:w="8897" w:type="dxa"/>
            <w:vAlign w:val="center"/>
          </w:tcPr>
          <w:p w:rsidR="00C20988" w:rsidRPr="00A24EAB" w:rsidRDefault="00C20988" w:rsidP="008512DA">
            <w:pPr>
              <w:widowControl w:val="0"/>
              <w:ind w:left="728" w:hanging="14"/>
              <w:jc w:val="both"/>
              <w:rPr>
                <w:sz w:val="24"/>
                <w:szCs w:val="24"/>
              </w:rPr>
            </w:pPr>
            <w:r w:rsidRPr="00A24EAB">
              <w:rPr>
                <w:i/>
                <w:iCs/>
                <w:sz w:val="24"/>
                <w:szCs w:val="24"/>
              </w:rPr>
              <w:t>Техническое обеспечение</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40</w:t>
            </w:r>
          </w:p>
        </w:tc>
      </w:tr>
      <w:tr w:rsidR="00C20988" w:rsidRPr="00E85DD7">
        <w:trPr>
          <w:trHeight w:val="312"/>
        </w:trPr>
        <w:tc>
          <w:tcPr>
            <w:tcW w:w="8897" w:type="dxa"/>
            <w:vAlign w:val="center"/>
          </w:tcPr>
          <w:p w:rsidR="00C20988" w:rsidRPr="00A24EAB" w:rsidRDefault="00C20988" w:rsidP="00870351">
            <w:pPr>
              <w:widowControl w:val="0"/>
              <w:ind w:left="728" w:hanging="14"/>
              <w:rPr>
                <w:sz w:val="24"/>
                <w:szCs w:val="24"/>
              </w:rPr>
            </w:pPr>
            <w:r w:rsidRPr="00A24EAB">
              <w:rPr>
                <w:i/>
                <w:iCs/>
                <w:sz w:val="24"/>
                <w:szCs w:val="24"/>
              </w:rPr>
              <w:t>Совершенствование законодательства. Претензионно-исковая работа</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sz w:val="24"/>
                <w:szCs w:val="24"/>
              </w:rPr>
            </w:pPr>
            <w:r w:rsidRPr="00A24EAB">
              <w:rPr>
                <w:sz w:val="24"/>
                <w:szCs w:val="24"/>
              </w:rPr>
              <w:t>41</w:t>
            </w:r>
          </w:p>
        </w:tc>
      </w:tr>
      <w:tr w:rsidR="00C20988" w:rsidRPr="00E85DD7">
        <w:trPr>
          <w:trHeight w:val="312"/>
        </w:trPr>
        <w:tc>
          <w:tcPr>
            <w:tcW w:w="8897" w:type="dxa"/>
            <w:vAlign w:val="center"/>
          </w:tcPr>
          <w:p w:rsidR="00C20988" w:rsidRPr="00A24EAB" w:rsidRDefault="00C20988" w:rsidP="008512DA">
            <w:pPr>
              <w:widowControl w:val="0"/>
              <w:ind w:left="728"/>
              <w:jc w:val="both"/>
              <w:rPr>
                <w:i/>
                <w:iCs/>
                <w:sz w:val="24"/>
                <w:szCs w:val="24"/>
              </w:rPr>
            </w:pPr>
            <w:r w:rsidRPr="00A24EAB">
              <w:rPr>
                <w:i/>
                <w:iCs/>
                <w:sz w:val="24"/>
                <w:szCs w:val="24"/>
              </w:rPr>
              <w:t>Управление рисками банковских операций</w:t>
            </w:r>
          </w:p>
        </w:tc>
        <w:tc>
          <w:tcPr>
            <w:tcW w:w="709" w:type="dxa"/>
            <w:vAlign w:val="center"/>
          </w:tcPr>
          <w:p w:rsidR="00C20988" w:rsidRPr="00A24EAB" w:rsidRDefault="00C20988" w:rsidP="00EA0A5D">
            <w:pPr>
              <w:pStyle w:val="BodyTextIndent2"/>
              <w:widowControl w:val="0"/>
              <w:tabs>
                <w:tab w:val="left" w:pos="317"/>
              </w:tabs>
              <w:spacing w:after="0" w:line="240" w:lineRule="auto"/>
              <w:ind w:left="-108"/>
              <w:jc w:val="center"/>
              <w:rPr>
                <w:sz w:val="24"/>
                <w:szCs w:val="24"/>
              </w:rPr>
            </w:pPr>
            <w:r w:rsidRPr="00A24EAB">
              <w:rPr>
                <w:sz w:val="24"/>
                <w:szCs w:val="24"/>
              </w:rPr>
              <w:t>42</w:t>
            </w:r>
          </w:p>
        </w:tc>
      </w:tr>
      <w:tr w:rsidR="00C20988" w:rsidRPr="00E85DD7">
        <w:trPr>
          <w:trHeight w:val="312"/>
        </w:trPr>
        <w:tc>
          <w:tcPr>
            <w:tcW w:w="8897" w:type="dxa"/>
            <w:vAlign w:val="center"/>
          </w:tcPr>
          <w:p w:rsidR="00C20988" w:rsidRPr="00A24EAB" w:rsidRDefault="00C20988" w:rsidP="008512DA">
            <w:pPr>
              <w:widowControl w:val="0"/>
              <w:ind w:left="728"/>
              <w:jc w:val="both"/>
              <w:rPr>
                <w:i/>
                <w:iCs/>
                <w:sz w:val="24"/>
                <w:szCs w:val="24"/>
              </w:rPr>
            </w:pPr>
            <w:r w:rsidRPr="00A24EAB">
              <w:rPr>
                <w:i/>
                <w:iCs/>
                <w:sz w:val="24"/>
                <w:szCs w:val="24"/>
              </w:rPr>
              <w:t>Контроль и внутренний аудит</w:t>
            </w:r>
          </w:p>
        </w:tc>
        <w:tc>
          <w:tcPr>
            <w:tcW w:w="709" w:type="dxa"/>
            <w:vAlign w:val="center"/>
          </w:tcPr>
          <w:p w:rsidR="00C20988" w:rsidRPr="00A24EAB" w:rsidRDefault="00C20988" w:rsidP="009E186B">
            <w:pPr>
              <w:pStyle w:val="BodyTextIndent2"/>
              <w:widowControl w:val="0"/>
              <w:tabs>
                <w:tab w:val="left" w:pos="317"/>
              </w:tabs>
              <w:spacing w:after="0" w:line="240" w:lineRule="auto"/>
              <w:ind w:left="-108"/>
              <w:jc w:val="center"/>
              <w:rPr>
                <w:sz w:val="24"/>
                <w:szCs w:val="24"/>
              </w:rPr>
            </w:pPr>
            <w:r w:rsidRPr="00A24EAB">
              <w:rPr>
                <w:sz w:val="24"/>
                <w:szCs w:val="24"/>
              </w:rPr>
              <w:t>42</w:t>
            </w:r>
          </w:p>
        </w:tc>
      </w:tr>
      <w:tr w:rsidR="00C20988" w:rsidRPr="00E85DD7">
        <w:trPr>
          <w:trHeight w:val="312"/>
        </w:trPr>
        <w:tc>
          <w:tcPr>
            <w:tcW w:w="8897" w:type="dxa"/>
            <w:vAlign w:val="center"/>
          </w:tcPr>
          <w:p w:rsidR="00C20988" w:rsidRPr="00A24EAB" w:rsidRDefault="00C20988" w:rsidP="008512DA">
            <w:pPr>
              <w:widowControl w:val="0"/>
              <w:ind w:left="728"/>
              <w:jc w:val="both"/>
              <w:rPr>
                <w:i/>
                <w:iCs/>
                <w:sz w:val="24"/>
                <w:szCs w:val="24"/>
              </w:rPr>
            </w:pPr>
            <w:r w:rsidRPr="00A24EAB">
              <w:rPr>
                <w:i/>
                <w:iCs/>
                <w:sz w:val="24"/>
                <w:szCs w:val="24"/>
              </w:rPr>
              <w:t>Информационно-разъяснительная деятельность</w:t>
            </w:r>
          </w:p>
        </w:tc>
        <w:tc>
          <w:tcPr>
            <w:tcW w:w="709" w:type="dxa"/>
            <w:vAlign w:val="center"/>
          </w:tcPr>
          <w:p w:rsidR="00C20988" w:rsidRPr="00A24EAB" w:rsidRDefault="00C20988" w:rsidP="009E186B">
            <w:pPr>
              <w:pStyle w:val="BodyTextIndent2"/>
              <w:widowControl w:val="0"/>
              <w:tabs>
                <w:tab w:val="left" w:pos="317"/>
              </w:tabs>
              <w:spacing w:after="0" w:line="240" w:lineRule="auto"/>
              <w:ind w:left="-108"/>
              <w:jc w:val="center"/>
              <w:rPr>
                <w:sz w:val="24"/>
                <w:szCs w:val="24"/>
              </w:rPr>
            </w:pPr>
            <w:r w:rsidRPr="00A24EAB">
              <w:rPr>
                <w:sz w:val="24"/>
                <w:szCs w:val="24"/>
              </w:rPr>
              <w:t>43</w:t>
            </w:r>
          </w:p>
        </w:tc>
      </w:tr>
      <w:tr w:rsidR="00C20988" w:rsidRPr="00E85DD7">
        <w:trPr>
          <w:trHeight w:val="312"/>
        </w:trPr>
        <w:tc>
          <w:tcPr>
            <w:tcW w:w="8897" w:type="dxa"/>
            <w:vAlign w:val="center"/>
          </w:tcPr>
          <w:p w:rsidR="00C20988" w:rsidRPr="00A24EAB" w:rsidRDefault="00C20988" w:rsidP="00182680">
            <w:pPr>
              <w:pStyle w:val="BodyTextIndent2"/>
              <w:widowControl w:val="0"/>
              <w:spacing w:after="0" w:line="240" w:lineRule="auto"/>
              <w:ind w:left="0"/>
              <w:rPr>
                <w:b/>
                <w:bCs/>
                <w:sz w:val="24"/>
                <w:szCs w:val="24"/>
              </w:rPr>
            </w:pPr>
            <w:r w:rsidRPr="00A24EAB">
              <w:rPr>
                <w:b/>
                <w:bCs/>
                <w:sz w:val="24"/>
                <w:szCs w:val="24"/>
              </w:rPr>
              <w:t>3. Основные нормативно-правовые акты Приднестровского республиканского банка, принятые в 2018 году</w:t>
            </w:r>
          </w:p>
        </w:tc>
        <w:tc>
          <w:tcPr>
            <w:tcW w:w="709" w:type="dxa"/>
            <w:vAlign w:val="center"/>
          </w:tcPr>
          <w:p w:rsidR="00C20988" w:rsidRPr="00A24EAB" w:rsidRDefault="00C20988" w:rsidP="008512DA">
            <w:pPr>
              <w:pStyle w:val="BodyTextIndent2"/>
              <w:widowControl w:val="0"/>
              <w:tabs>
                <w:tab w:val="left" w:pos="317"/>
              </w:tabs>
              <w:spacing w:after="0" w:line="240" w:lineRule="auto"/>
              <w:ind w:left="-108"/>
              <w:jc w:val="center"/>
              <w:rPr>
                <w:b/>
                <w:bCs/>
                <w:sz w:val="24"/>
                <w:szCs w:val="24"/>
              </w:rPr>
            </w:pPr>
            <w:r w:rsidRPr="00A24EAB">
              <w:rPr>
                <w:b/>
                <w:bCs/>
                <w:sz w:val="24"/>
                <w:szCs w:val="24"/>
              </w:rPr>
              <w:t>45</w:t>
            </w:r>
          </w:p>
        </w:tc>
      </w:tr>
      <w:tr w:rsidR="00C20988" w:rsidRPr="00E85DD7" w:rsidTr="00A24EAB">
        <w:trPr>
          <w:trHeight w:val="250"/>
        </w:trPr>
        <w:tc>
          <w:tcPr>
            <w:tcW w:w="8897" w:type="dxa"/>
            <w:vAlign w:val="center"/>
          </w:tcPr>
          <w:p w:rsidR="00C20988" w:rsidRPr="00A24EAB" w:rsidRDefault="00C20988" w:rsidP="00590B0A">
            <w:pPr>
              <w:pStyle w:val="BodyTextIndent2"/>
              <w:widowControl w:val="0"/>
              <w:spacing w:after="0" w:line="240" w:lineRule="auto"/>
              <w:ind w:left="-30"/>
              <w:rPr>
                <w:b/>
                <w:bCs/>
                <w:sz w:val="24"/>
                <w:szCs w:val="24"/>
              </w:rPr>
            </w:pPr>
            <w:r w:rsidRPr="00A24EAB">
              <w:rPr>
                <w:b/>
                <w:bCs/>
                <w:sz w:val="24"/>
                <w:szCs w:val="24"/>
              </w:rPr>
              <w:t>Приложение.  Отчёт об исполнении сметы доходов и расходов Приднестровского республиканского банка за 2018 год</w:t>
            </w:r>
          </w:p>
        </w:tc>
        <w:tc>
          <w:tcPr>
            <w:tcW w:w="709" w:type="dxa"/>
            <w:vAlign w:val="center"/>
          </w:tcPr>
          <w:p w:rsidR="00C20988" w:rsidRPr="00A24EAB" w:rsidRDefault="00C20988" w:rsidP="00A24EAB">
            <w:pPr>
              <w:pStyle w:val="BodyTextIndent2"/>
              <w:widowControl w:val="0"/>
              <w:tabs>
                <w:tab w:val="left" w:pos="317"/>
              </w:tabs>
              <w:spacing w:after="0" w:line="240" w:lineRule="auto"/>
              <w:ind w:left="-108"/>
              <w:jc w:val="center"/>
              <w:rPr>
                <w:sz w:val="24"/>
                <w:szCs w:val="24"/>
              </w:rPr>
            </w:pPr>
            <w:r w:rsidRPr="00A24EAB">
              <w:rPr>
                <w:b/>
                <w:bCs/>
                <w:sz w:val="24"/>
                <w:szCs w:val="24"/>
              </w:rPr>
              <w:t>57</w:t>
            </w:r>
          </w:p>
        </w:tc>
      </w:tr>
    </w:tbl>
    <w:p w:rsidR="00C20988" w:rsidRPr="00E85DD7" w:rsidRDefault="00C20988" w:rsidP="002D2B0D">
      <w:pPr>
        <w:jc w:val="center"/>
        <w:rPr>
          <w:b/>
          <w:bCs/>
          <w:sz w:val="28"/>
          <w:szCs w:val="28"/>
        </w:rPr>
      </w:pPr>
      <w:r w:rsidRPr="00E85DD7">
        <w:rPr>
          <w:b/>
          <w:bCs/>
          <w:sz w:val="28"/>
          <w:szCs w:val="28"/>
        </w:rPr>
        <w:t>ВВЕДЕНИЕ</w:t>
      </w:r>
    </w:p>
    <w:p w:rsidR="00C20988" w:rsidRDefault="00C20988" w:rsidP="000D5444">
      <w:pPr>
        <w:widowControl w:val="0"/>
        <w:spacing w:before="120"/>
        <w:ind w:firstLine="425"/>
        <w:jc w:val="both"/>
        <w:rPr>
          <w:sz w:val="24"/>
          <w:szCs w:val="24"/>
        </w:rPr>
      </w:pPr>
      <w:r w:rsidRPr="00E85DD7">
        <w:rPr>
          <w:sz w:val="24"/>
          <w:szCs w:val="24"/>
        </w:rPr>
        <w:t>Отчёт Приднестровского республиканского банка за 201</w:t>
      </w:r>
      <w:r>
        <w:rPr>
          <w:sz w:val="24"/>
          <w:szCs w:val="24"/>
        </w:rPr>
        <w:t>8</w:t>
      </w:r>
      <w:r w:rsidRPr="00E85DD7">
        <w:rPr>
          <w:sz w:val="24"/>
          <w:szCs w:val="24"/>
        </w:rPr>
        <w:t xml:space="preserve"> год подготовлен в соответствии со статьёй 23 Закона Приднестровской Молдавской Республики </w:t>
      </w:r>
      <w:r w:rsidRPr="00E85DD7">
        <w:rPr>
          <w:sz w:val="24"/>
          <w:szCs w:val="24"/>
        </w:rPr>
        <w:br/>
        <w:t>от 7 мая 2007 года № 212-З-</w:t>
      </w:r>
      <w:r w:rsidRPr="00E85DD7">
        <w:rPr>
          <w:sz w:val="24"/>
          <w:szCs w:val="24"/>
          <w:lang w:val="en-US"/>
        </w:rPr>
        <w:t>IV</w:t>
      </w:r>
      <w:r w:rsidRPr="00E85DD7">
        <w:rPr>
          <w:sz w:val="24"/>
          <w:szCs w:val="24"/>
        </w:rPr>
        <w:t xml:space="preserve"> </w:t>
      </w:r>
      <w:r>
        <w:rPr>
          <w:sz w:val="24"/>
          <w:szCs w:val="24"/>
        </w:rPr>
        <w:t>«</w:t>
      </w:r>
      <w:r w:rsidRPr="00E85DD7">
        <w:rPr>
          <w:sz w:val="24"/>
          <w:szCs w:val="24"/>
        </w:rPr>
        <w:t>О центральном банке Приднестровской Молдавской Республики</w:t>
      </w:r>
      <w:r>
        <w:rPr>
          <w:sz w:val="24"/>
          <w:szCs w:val="24"/>
        </w:rPr>
        <w:t>»,</w:t>
      </w:r>
      <w:r w:rsidRPr="00E85DD7">
        <w:rPr>
          <w:sz w:val="24"/>
          <w:szCs w:val="24"/>
        </w:rPr>
        <w:t xml:space="preserve"> содержит анализ макроэкономических условий проведения денежно-кредитной политики и отражает основные результаты деятельности центрального банка за отчётный период, включая годовую финансовую отчётность и аудиторское заключение по ней.</w:t>
      </w:r>
    </w:p>
    <w:p w:rsidR="00C20988" w:rsidRDefault="00C20988" w:rsidP="000D5444">
      <w:pPr>
        <w:pStyle w:val="BodyText"/>
        <w:spacing w:before="0" w:after="0"/>
        <w:ind w:firstLine="425"/>
        <w:rPr>
          <w:rFonts w:ascii="Times New Roman" w:hAnsi="Times New Roman" w:cs="Times New Roman"/>
          <w:sz w:val="24"/>
          <w:szCs w:val="24"/>
        </w:rPr>
      </w:pPr>
      <w:r w:rsidRPr="00115BDD">
        <w:rPr>
          <w:rFonts w:ascii="Times New Roman" w:hAnsi="Times New Roman" w:cs="Times New Roman"/>
          <w:sz w:val="24"/>
          <w:szCs w:val="24"/>
        </w:rPr>
        <w:t xml:space="preserve">В отчётном периоде, как и в предыдущем году, денежно-кредитная политика сохранила </w:t>
      </w:r>
      <w:r>
        <w:rPr>
          <w:rFonts w:ascii="Times New Roman" w:hAnsi="Times New Roman" w:cs="Times New Roman"/>
          <w:sz w:val="24"/>
          <w:szCs w:val="24"/>
        </w:rPr>
        <w:t>характер</w:t>
      </w:r>
      <w:r w:rsidRPr="00115BDD">
        <w:rPr>
          <w:rFonts w:ascii="Times New Roman" w:hAnsi="Times New Roman" w:cs="Times New Roman"/>
          <w:sz w:val="24"/>
          <w:szCs w:val="24"/>
        </w:rPr>
        <w:t xml:space="preserve"> «подстраивающейся»</w:t>
      </w:r>
      <w:r>
        <w:rPr>
          <w:rFonts w:ascii="Times New Roman" w:hAnsi="Times New Roman" w:cs="Times New Roman"/>
          <w:sz w:val="24"/>
          <w:szCs w:val="24"/>
        </w:rPr>
        <w:t xml:space="preserve">, </w:t>
      </w:r>
      <w:r w:rsidRPr="00E22B10">
        <w:rPr>
          <w:rFonts w:ascii="Times New Roman" w:hAnsi="Times New Roman" w:cs="Times New Roman"/>
          <w:sz w:val="24"/>
          <w:szCs w:val="24"/>
        </w:rPr>
        <w:t>направленной на адаптацию экономики к изменяющимся внешним условиям в странах</w:t>
      </w:r>
      <w:r>
        <w:rPr>
          <w:rFonts w:ascii="Times New Roman" w:hAnsi="Times New Roman" w:cs="Times New Roman"/>
          <w:sz w:val="24"/>
          <w:szCs w:val="24"/>
        </w:rPr>
        <w:t xml:space="preserve"> –</w:t>
      </w:r>
      <w:r w:rsidRPr="00E22B10">
        <w:rPr>
          <w:rFonts w:ascii="Times New Roman" w:hAnsi="Times New Roman" w:cs="Times New Roman"/>
          <w:sz w:val="24"/>
          <w:szCs w:val="24"/>
        </w:rPr>
        <w:t xml:space="preserve"> основных торговых партнёрах Приднестровья </w:t>
      </w:r>
      <w:r>
        <w:rPr>
          <w:rFonts w:ascii="Times New Roman" w:hAnsi="Times New Roman" w:cs="Times New Roman"/>
          <w:sz w:val="24"/>
          <w:szCs w:val="24"/>
        </w:rPr>
        <w:t>и</w:t>
      </w:r>
      <w:r w:rsidRPr="00E22B10">
        <w:rPr>
          <w:rFonts w:ascii="Times New Roman" w:hAnsi="Times New Roman" w:cs="Times New Roman"/>
          <w:sz w:val="24"/>
          <w:szCs w:val="24"/>
        </w:rPr>
        <w:t xml:space="preserve"> одновременн</w:t>
      </w:r>
      <w:r>
        <w:rPr>
          <w:rFonts w:ascii="Times New Roman" w:hAnsi="Times New Roman" w:cs="Times New Roman"/>
          <w:sz w:val="24"/>
          <w:szCs w:val="24"/>
        </w:rPr>
        <w:t>ое</w:t>
      </w:r>
      <w:r w:rsidRPr="00E22B10">
        <w:rPr>
          <w:rFonts w:ascii="Times New Roman" w:hAnsi="Times New Roman" w:cs="Times New Roman"/>
          <w:sz w:val="24"/>
          <w:szCs w:val="24"/>
        </w:rPr>
        <w:t xml:space="preserve"> формирование благоприятной среды для сбалансированного решения </w:t>
      </w:r>
      <w:r>
        <w:rPr>
          <w:rFonts w:ascii="Times New Roman" w:hAnsi="Times New Roman" w:cs="Times New Roman"/>
          <w:sz w:val="24"/>
          <w:szCs w:val="24"/>
        </w:rPr>
        <w:t xml:space="preserve">внутренних социально-экономических </w:t>
      </w:r>
      <w:r w:rsidRPr="00E22B10">
        <w:rPr>
          <w:rFonts w:ascii="Times New Roman" w:hAnsi="Times New Roman" w:cs="Times New Roman"/>
          <w:sz w:val="24"/>
          <w:szCs w:val="24"/>
        </w:rPr>
        <w:t xml:space="preserve">задач. </w:t>
      </w:r>
    </w:p>
    <w:p w:rsidR="00C20988" w:rsidRDefault="00C20988" w:rsidP="000D5444">
      <w:pPr>
        <w:pStyle w:val="a1"/>
        <w:spacing w:line="240" w:lineRule="auto"/>
        <w:ind w:firstLine="425"/>
      </w:pPr>
      <w:r>
        <w:t>Основные мероприятия денежно-кредитной политики проводились Приднестровским республиканским банком исходя из целей, обозначенных в</w:t>
      </w:r>
      <w:r w:rsidRPr="00994EA3">
        <w:t xml:space="preserve"> Основны</w:t>
      </w:r>
      <w:r>
        <w:t>х</w:t>
      </w:r>
      <w:r w:rsidRPr="00994EA3">
        <w:t xml:space="preserve"> направления</w:t>
      </w:r>
      <w:r>
        <w:t>х</w:t>
      </w:r>
      <w:r w:rsidRPr="00994EA3">
        <w:t xml:space="preserve"> единой государственной денежно-кредитной политики на 2018 год</w:t>
      </w:r>
      <w:r>
        <w:t xml:space="preserve">. При принятии решений по курсовой политике главным критерием выступала динамика индекса реального эффективного курса приднестровского рубля. Изменение официального курса доллара США к рублю производилось в рамках утверждённого валютного коридора </w:t>
      </w:r>
      <w:r>
        <w:br/>
        <w:t xml:space="preserve">16,0-16,5 рублей за доллар США. </w:t>
      </w:r>
      <w:r w:rsidRPr="00FC6F76">
        <w:t xml:space="preserve">Меры, предпринятые Приднестровским республиканским банком в 2017 году – начале 2018 года, обеспечивали постепенное сближение значений официального и рыночных курсов, устанавливаемых коммерческими банками и кредитными организациями. </w:t>
      </w:r>
    </w:p>
    <w:p w:rsidR="00C20988" w:rsidRDefault="00C20988" w:rsidP="000D5444">
      <w:pPr>
        <w:pStyle w:val="a1"/>
        <w:spacing w:line="240" w:lineRule="auto"/>
        <w:ind w:firstLine="425"/>
      </w:pPr>
      <w:r w:rsidRPr="00FC6F76">
        <w:t xml:space="preserve">Функционирование внутреннего валютного рынка республики в отчётном году в целом можно охарактеризовать как достаточно стабильное. </w:t>
      </w:r>
      <w:r w:rsidRPr="006C02FD">
        <w:t>В целях сглаживания резких колебаний обменных курсов на фоне изменения спроса и предложения на валюту Банк Приднестровья в постоянном режиме отслеживал наличие валюты в обменных пунктах</w:t>
      </w:r>
      <w:r>
        <w:t xml:space="preserve"> кредитных организаций. При этом необходимость</w:t>
      </w:r>
      <w:r w:rsidRPr="006C02FD">
        <w:t xml:space="preserve"> осуществл</w:t>
      </w:r>
      <w:r>
        <w:t>ения</w:t>
      </w:r>
      <w:r w:rsidRPr="006C02FD">
        <w:t xml:space="preserve"> наличн</w:t>
      </w:r>
      <w:r>
        <w:t>ых</w:t>
      </w:r>
      <w:r w:rsidRPr="006C02FD">
        <w:t xml:space="preserve"> валютн</w:t>
      </w:r>
      <w:r>
        <w:t>ых</w:t>
      </w:r>
      <w:r w:rsidRPr="006C02FD">
        <w:t xml:space="preserve"> интервенци</w:t>
      </w:r>
      <w:r>
        <w:t xml:space="preserve">й возникла единожды в начале года. Безналичные интервенции осуществлялись </w:t>
      </w:r>
      <w:r w:rsidRPr="00DA08A8">
        <w:t>на регулярной основе</w:t>
      </w:r>
      <w:r>
        <w:rPr>
          <w:color w:val="FF0000"/>
        </w:rPr>
        <w:t xml:space="preserve"> </w:t>
      </w:r>
      <w:r>
        <w:t xml:space="preserve">посредством продажи иностранной валюты через кредитные организации на открытом рынке, </w:t>
      </w:r>
      <w:r w:rsidRPr="00437A18">
        <w:t>с обеспечением доступа к ним всех хозяйствующих субъектов</w:t>
      </w:r>
      <w:r>
        <w:t>.</w:t>
      </w:r>
      <w:r w:rsidRPr="00437A18">
        <w:t xml:space="preserve"> </w:t>
      </w:r>
    </w:p>
    <w:p w:rsidR="00C20988" w:rsidRDefault="00C20988" w:rsidP="000D5444">
      <w:pPr>
        <w:pStyle w:val="a1"/>
        <w:spacing w:line="240" w:lineRule="auto"/>
        <w:ind w:firstLine="425"/>
      </w:pPr>
      <w:r>
        <w:t xml:space="preserve">В зависимости от категории экономических агентов – клиентов коммерческих банков была сохранена дифференциация сроков поставки валюты </w:t>
      </w:r>
      <w:r w:rsidRPr="00DA08A8">
        <w:t>Банком Приднестровья</w:t>
      </w:r>
      <w:r>
        <w:t xml:space="preserve"> для нетто-импортёров</w:t>
      </w:r>
      <w:r w:rsidRPr="00437A18">
        <w:t xml:space="preserve"> </w:t>
      </w:r>
      <w:r>
        <w:t>и нетто-экспортёров. С</w:t>
      </w:r>
      <w:r w:rsidRPr="006E7EAB">
        <w:t xml:space="preserve">прос клиентов коммерческих банков </w:t>
      </w:r>
      <w:r w:rsidRPr="003F4362">
        <w:t>удовлетвор</w:t>
      </w:r>
      <w:r>
        <w:t>ялся</w:t>
      </w:r>
      <w:r w:rsidRPr="003F4362">
        <w:t xml:space="preserve"> в полном объ</w:t>
      </w:r>
      <w:r>
        <w:t>ё</w:t>
      </w:r>
      <w:r w:rsidRPr="003F4362">
        <w:t>ме.</w:t>
      </w:r>
    </w:p>
    <w:p w:rsidR="00C20988" w:rsidRDefault="00C20988" w:rsidP="000D5444">
      <w:pPr>
        <w:pStyle w:val="a1"/>
        <w:spacing w:line="240" w:lineRule="auto"/>
        <w:ind w:firstLine="425"/>
      </w:pPr>
      <w:r>
        <w:t xml:space="preserve">В условиях высокой степени зависимости экономики республики от деятельности нескольких отраслей, ухудшение </w:t>
      </w:r>
      <w:r w:rsidRPr="004E7701">
        <w:t>конъюнктуры мировых рынков обусловило замедление темпов экономического роста начиная с апреля 2018 года</w:t>
      </w:r>
      <w:r>
        <w:t xml:space="preserve"> и постепенно в течение года нивелировало </w:t>
      </w:r>
      <w:r w:rsidRPr="002D2B0D">
        <w:t>накопленный рост. Риски</w:t>
      </w:r>
      <w:r w:rsidRPr="006452D1">
        <w:t xml:space="preserve"> макроэко</w:t>
      </w:r>
      <w:r>
        <w:t>номической дестабилизации исходили</w:t>
      </w:r>
      <w:r w:rsidRPr="006452D1">
        <w:t xml:space="preserve"> из введения США импортных пошлин на сталь, а также из ограничительных мер со стороны других государств в отношении деятельности экономическ</w:t>
      </w:r>
      <w:r>
        <w:t>их агентов</w:t>
      </w:r>
      <w:r w:rsidRPr="006452D1">
        <w:t xml:space="preserve"> </w:t>
      </w:r>
      <w:r>
        <w:t>республики</w:t>
      </w:r>
      <w:r w:rsidRPr="006452D1">
        <w:t>. Не менее значимым фактором выступа</w:t>
      </w:r>
      <w:r>
        <w:t>ли</w:t>
      </w:r>
      <w:r w:rsidRPr="006452D1">
        <w:t xml:space="preserve"> девальвационные процессы в странах – т</w:t>
      </w:r>
      <w:r>
        <w:t>орговых партнёрах Приднестровья</w:t>
      </w:r>
      <w:r w:rsidRPr="006452D1">
        <w:t xml:space="preserve">, что </w:t>
      </w:r>
      <w:r>
        <w:t xml:space="preserve">сказывается на </w:t>
      </w:r>
      <w:r w:rsidRPr="006452D1">
        <w:t>относительн</w:t>
      </w:r>
      <w:r>
        <w:t>ой ценовой</w:t>
      </w:r>
      <w:r w:rsidRPr="006452D1">
        <w:t xml:space="preserve"> конкурентоспособност</w:t>
      </w:r>
      <w:r>
        <w:t>и</w:t>
      </w:r>
      <w:r w:rsidRPr="006452D1">
        <w:t xml:space="preserve"> отечественных товаров на рынках этих стран. В совокупности данные факторы оказ</w:t>
      </w:r>
      <w:r>
        <w:t>али</w:t>
      </w:r>
      <w:r w:rsidRPr="006452D1">
        <w:t xml:space="preserve"> негативное влияние на динамику </w:t>
      </w:r>
      <w:r>
        <w:t xml:space="preserve">внешнеторгового оборота и состояние </w:t>
      </w:r>
      <w:r w:rsidRPr="006452D1">
        <w:t>платёжного баланса</w:t>
      </w:r>
      <w:r>
        <w:t xml:space="preserve"> республики</w:t>
      </w:r>
      <w:r w:rsidRPr="006452D1">
        <w:t>.</w:t>
      </w:r>
    </w:p>
    <w:p w:rsidR="00C20988" w:rsidRPr="00E56786" w:rsidRDefault="00C20988" w:rsidP="000D5444">
      <w:pPr>
        <w:pStyle w:val="a1"/>
        <w:spacing w:line="240" w:lineRule="auto"/>
        <w:ind w:firstLine="425"/>
      </w:pPr>
      <w:r>
        <w:t>В то же время н</w:t>
      </w:r>
      <w:r w:rsidRPr="00E56786">
        <w:t xml:space="preserve">а потребительском рынке Приднестровья в отчётном периоде преобладала тенденция замедления инфляционных процессов – </w:t>
      </w:r>
      <w:r w:rsidRPr="00FC6F76">
        <w:t>сводный индекс потребительских цен в республике сложился на уровне 106,97%</w:t>
      </w:r>
      <w:r w:rsidRPr="00E56786">
        <w:t xml:space="preserve">, что на 4,85 п.п. ниже, чем в 2017 году. Это соответствовало верхней границе прогнозного диапазона </w:t>
      </w:r>
      <w:r>
        <w:t>ц</w:t>
      </w:r>
      <w:r w:rsidRPr="00E56786">
        <w:t>ентрального банка, представленного в Основных направлениях единой государственной денежно-кредитной политики на 2018 год.</w:t>
      </w:r>
    </w:p>
    <w:p w:rsidR="00C20988" w:rsidRPr="0069247F" w:rsidRDefault="00C20988" w:rsidP="000D5444">
      <w:pPr>
        <w:ind w:firstLine="425"/>
        <w:jc w:val="both"/>
        <w:rPr>
          <w:sz w:val="24"/>
          <w:szCs w:val="24"/>
        </w:rPr>
      </w:pPr>
      <w:r w:rsidRPr="0069247F">
        <w:rPr>
          <w:sz w:val="24"/>
          <w:szCs w:val="24"/>
        </w:rPr>
        <w:t xml:space="preserve">В 2018 году </w:t>
      </w:r>
      <w:r w:rsidRPr="00DF6E55">
        <w:rPr>
          <w:sz w:val="24"/>
          <w:szCs w:val="24"/>
        </w:rPr>
        <w:t>Приднестровский республиканский банк</w:t>
      </w:r>
      <w:r w:rsidRPr="0069247F">
        <w:rPr>
          <w:sz w:val="24"/>
          <w:szCs w:val="24"/>
        </w:rPr>
        <w:t xml:space="preserve"> продолжил работу, направленную на поддержание стабильности банковского сектора ПМР, защиту интересов кредиторов и вкладчиков.</w:t>
      </w:r>
      <w:r>
        <w:rPr>
          <w:sz w:val="24"/>
          <w:szCs w:val="24"/>
        </w:rPr>
        <w:t xml:space="preserve"> В </w:t>
      </w:r>
      <w:r w:rsidRPr="0069247F">
        <w:rPr>
          <w:sz w:val="24"/>
          <w:szCs w:val="24"/>
        </w:rPr>
        <w:t>течение года был внес</w:t>
      </w:r>
      <w:r>
        <w:rPr>
          <w:sz w:val="24"/>
          <w:szCs w:val="24"/>
        </w:rPr>
        <w:t>ё</w:t>
      </w:r>
      <w:r w:rsidRPr="0069247F">
        <w:rPr>
          <w:sz w:val="24"/>
          <w:szCs w:val="24"/>
        </w:rPr>
        <w:t>н ряд изменений и дополнений в нормативные акты центрального банка, регулирующие банковские риски</w:t>
      </w:r>
      <w:r>
        <w:rPr>
          <w:sz w:val="24"/>
          <w:szCs w:val="24"/>
        </w:rPr>
        <w:t xml:space="preserve">. </w:t>
      </w:r>
      <w:r w:rsidRPr="0069247F">
        <w:rPr>
          <w:sz w:val="24"/>
          <w:szCs w:val="24"/>
        </w:rPr>
        <w:t>Продолж</w:t>
      </w:r>
      <w:r>
        <w:rPr>
          <w:sz w:val="24"/>
          <w:szCs w:val="24"/>
        </w:rPr>
        <w:t>илась</w:t>
      </w:r>
      <w:r w:rsidRPr="0069247F">
        <w:rPr>
          <w:sz w:val="24"/>
          <w:szCs w:val="24"/>
        </w:rPr>
        <w:t xml:space="preserve"> разработк</w:t>
      </w:r>
      <w:r>
        <w:rPr>
          <w:sz w:val="24"/>
          <w:szCs w:val="24"/>
        </w:rPr>
        <w:t>а</w:t>
      </w:r>
      <w:r w:rsidRPr="0069247F">
        <w:rPr>
          <w:sz w:val="24"/>
          <w:szCs w:val="24"/>
        </w:rPr>
        <w:t xml:space="preserve"> и внедрени</w:t>
      </w:r>
      <w:r>
        <w:rPr>
          <w:sz w:val="24"/>
          <w:szCs w:val="24"/>
        </w:rPr>
        <w:t>е</w:t>
      </w:r>
      <w:r w:rsidRPr="0069247F">
        <w:rPr>
          <w:sz w:val="24"/>
          <w:szCs w:val="24"/>
        </w:rPr>
        <w:t xml:space="preserve"> нормативно-правовой базы, касающ</w:t>
      </w:r>
      <w:r>
        <w:rPr>
          <w:sz w:val="24"/>
          <w:szCs w:val="24"/>
        </w:rPr>
        <w:t>ейся страхового дела</w:t>
      </w:r>
      <w:r w:rsidRPr="0069247F">
        <w:rPr>
          <w:sz w:val="24"/>
          <w:szCs w:val="24"/>
        </w:rPr>
        <w:t xml:space="preserve">. </w:t>
      </w:r>
    </w:p>
    <w:p w:rsidR="00C20988" w:rsidRDefault="00C20988" w:rsidP="00BE74F8">
      <w:pPr>
        <w:ind w:firstLine="425"/>
        <w:jc w:val="both"/>
      </w:pPr>
      <w:r w:rsidRPr="004855D6">
        <w:rPr>
          <w:sz w:val="24"/>
          <w:szCs w:val="24"/>
        </w:rPr>
        <w:t>Деятельность центрального банка строилась на принцип</w:t>
      </w:r>
      <w:r>
        <w:rPr>
          <w:sz w:val="24"/>
          <w:szCs w:val="24"/>
        </w:rPr>
        <w:t>ах</w:t>
      </w:r>
      <w:r w:rsidRPr="004855D6">
        <w:rPr>
          <w:sz w:val="24"/>
          <w:szCs w:val="24"/>
        </w:rPr>
        <w:t xml:space="preserve"> транспарентности. Информирование широкой общественности о конкретных мероприятиях центрального банка осуществлялось посредством информационно-аналитического журнала «Вестник Приднестровского республиканского банка», официального веб-сайта центрального банка, а также публикаций и выступлений на различных конференциях, форумах и в </w:t>
      </w:r>
      <w:r w:rsidRPr="004855D6">
        <w:rPr>
          <w:color w:val="000000"/>
          <w:sz w:val="24"/>
          <w:szCs w:val="24"/>
        </w:rPr>
        <w:t>средствах массовой информации</w:t>
      </w:r>
      <w:r w:rsidRPr="004855D6">
        <w:rPr>
          <w:sz w:val="24"/>
          <w:szCs w:val="24"/>
        </w:rPr>
        <w:t>.</w:t>
      </w:r>
    </w:p>
    <w:p w:rsidR="00C20988" w:rsidRPr="00E85DD7" w:rsidRDefault="00C20988" w:rsidP="000D5444">
      <w:pPr>
        <w:widowControl w:val="0"/>
        <w:ind w:firstLine="425"/>
        <w:jc w:val="center"/>
        <w:rPr>
          <w:sz w:val="24"/>
          <w:szCs w:val="24"/>
        </w:rPr>
      </w:pPr>
      <w:r w:rsidRPr="00E85DD7">
        <w:rPr>
          <w:b/>
          <w:bCs/>
          <w:noProof/>
          <w:sz w:val="28"/>
          <w:szCs w:val="28"/>
        </w:rPr>
        <w:br w:type="page"/>
        <w:t>РАЗДЕЛ 1. ЭКОНОМИЧЕСКОЕ И ФИНАНСОВОЕ ПОЛОЖЕНИЕ ПРИДНЕСТРОВСКОЙ МОЛДАВСКОЙ РЕСПУБЛИКИ В 201</w:t>
      </w:r>
      <w:r>
        <w:rPr>
          <w:b/>
          <w:bCs/>
          <w:noProof/>
          <w:sz w:val="28"/>
          <w:szCs w:val="28"/>
        </w:rPr>
        <w:t>8</w:t>
      </w:r>
      <w:r w:rsidRPr="00E85DD7">
        <w:rPr>
          <w:b/>
          <w:bCs/>
          <w:noProof/>
          <w:sz w:val="28"/>
          <w:szCs w:val="28"/>
        </w:rPr>
        <w:t xml:space="preserve"> ГОДУ </w:t>
      </w:r>
    </w:p>
    <w:p w:rsidR="00C20988" w:rsidRPr="00E85DD7" w:rsidRDefault="00C20988" w:rsidP="008512DA">
      <w:pPr>
        <w:pStyle w:val="Heading1"/>
        <w:widowControl w:val="0"/>
        <w:rPr>
          <w:b/>
          <w:bCs/>
          <w:noProof/>
          <w:sz w:val="24"/>
          <w:szCs w:val="24"/>
        </w:rPr>
      </w:pPr>
    </w:p>
    <w:p w:rsidR="00C20988" w:rsidRDefault="00C20988" w:rsidP="003248C9">
      <w:pPr>
        <w:pStyle w:val="Heading1"/>
        <w:widowControl w:val="0"/>
        <w:numPr>
          <w:ilvl w:val="1"/>
          <w:numId w:val="1"/>
        </w:numPr>
        <w:jc w:val="left"/>
        <w:rPr>
          <w:b/>
          <w:bCs/>
          <w:noProof/>
          <w:sz w:val="24"/>
          <w:szCs w:val="24"/>
        </w:rPr>
      </w:pPr>
      <w:r>
        <w:rPr>
          <w:b/>
          <w:bCs/>
          <w:noProof/>
          <w:sz w:val="24"/>
          <w:szCs w:val="24"/>
        </w:rPr>
        <w:t xml:space="preserve">ВНЕШНИЕ УСЛОВИЯ: </w:t>
      </w:r>
      <w:r w:rsidRPr="00E85DD7">
        <w:rPr>
          <w:b/>
          <w:bCs/>
          <w:noProof/>
          <w:sz w:val="24"/>
          <w:szCs w:val="24"/>
        </w:rPr>
        <w:t xml:space="preserve">МИРОВАЯ ЭКОНОМИКА И </w:t>
      </w:r>
      <w:r>
        <w:rPr>
          <w:b/>
          <w:bCs/>
          <w:noProof/>
          <w:sz w:val="24"/>
          <w:szCs w:val="24"/>
        </w:rPr>
        <w:t xml:space="preserve">МЕЖДУНАРОДНЫЕ </w:t>
      </w:r>
      <w:r w:rsidRPr="00E85DD7">
        <w:rPr>
          <w:b/>
          <w:bCs/>
          <w:noProof/>
          <w:sz w:val="24"/>
          <w:szCs w:val="24"/>
        </w:rPr>
        <w:t>РЫНКИ</w:t>
      </w:r>
    </w:p>
    <w:p w:rsidR="00C20988" w:rsidRPr="002F5B1B" w:rsidRDefault="00C20988" w:rsidP="000D5444">
      <w:pPr>
        <w:spacing w:before="120"/>
        <w:ind w:firstLine="425"/>
        <w:jc w:val="both"/>
        <w:rPr>
          <w:sz w:val="24"/>
          <w:szCs w:val="24"/>
        </w:rPr>
      </w:pPr>
      <w:r w:rsidRPr="002F5B1B">
        <w:rPr>
          <w:sz w:val="24"/>
          <w:szCs w:val="24"/>
        </w:rPr>
        <w:t xml:space="preserve">Согласно оценкам экспертов, 2018 год стал началом завершения цикла деловой активности, которому сопутствует постепенное нарастание риска рецессии. Несмотря на более низкие темпы в некоторых странах, в частности странах Европы и Азии, мировой прирост в 2018 году, как и прогнозировалось, составил 3,7%. </w:t>
      </w:r>
    </w:p>
    <w:p w:rsidR="00C20988" w:rsidRPr="002F5B1B" w:rsidRDefault="00C20988" w:rsidP="000D5444">
      <w:pPr>
        <w:ind w:firstLine="425"/>
        <w:jc w:val="both"/>
        <w:rPr>
          <w:sz w:val="24"/>
          <w:szCs w:val="24"/>
        </w:rPr>
      </w:pPr>
      <w:r w:rsidRPr="002F5B1B">
        <w:rPr>
          <w:sz w:val="24"/>
          <w:szCs w:val="24"/>
        </w:rPr>
        <w:t xml:space="preserve">Однако снижением характеризовались как объёмы промышленного производства, особенно в секторе инвестиционных товаров, так и масштабы внешней торговли. Об этом свидетельствовала и понижательная динамика индекса деловой активности (PMI), характеризующего общее состояние экономики и перспективы развития индустриального сектора. В течение года показатель </w:t>
      </w:r>
      <w:r>
        <w:rPr>
          <w:sz w:val="24"/>
          <w:szCs w:val="24"/>
        </w:rPr>
        <w:t>снизился на</w:t>
      </w:r>
      <w:r w:rsidRPr="002F5B1B">
        <w:rPr>
          <w:sz w:val="24"/>
          <w:szCs w:val="24"/>
        </w:rPr>
        <w:t xml:space="preserve"> 3,1 пункта, </w:t>
      </w:r>
      <w:r>
        <w:rPr>
          <w:sz w:val="24"/>
          <w:szCs w:val="24"/>
        </w:rPr>
        <w:t>составив</w:t>
      </w:r>
      <w:r w:rsidRPr="002F5B1B">
        <w:rPr>
          <w:sz w:val="24"/>
          <w:szCs w:val="24"/>
        </w:rPr>
        <w:t xml:space="preserve"> 51,4, что наряду с другими макроэкономическими индикаторами указывает на начало рецессии в мировой экономике. </w:t>
      </w:r>
    </w:p>
    <w:p w:rsidR="00C20988" w:rsidRPr="002F5B1B" w:rsidRDefault="00C20988" w:rsidP="000D5444">
      <w:pPr>
        <w:pStyle w:val="NormalWeb"/>
        <w:spacing w:before="0" w:beforeAutospacing="0" w:after="0" w:afterAutospacing="0"/>
        <w:ind w:firstLine="425"/>
        <w:jc w:val="both"/>
      </w:pPr>
      <w:r w:rsidRPr="002F5B1B">
        <w:t xml:space="preserve">Помимо циклических факторов мировая экономика столкнулась с активным санкционным противостоянием крупных держав. Начиная с </w:t>
      </w:r>
      <w:r>
        <w:t>июня</w:t>
      </w:r>
      <w:r w:rsidRPr="002F5B1B">
        <w:t xml:space="preserve"> 2018 года Вашингтон и Пекин неоднократно устанавливали взаимные торговые барьеры посредством повышения таможенных пошлин. Рискам подвержены страны, для которых Китай и США являются основными торговыми партнёрами. Негативное влияние на экономику стран – основных поставщиков металлургической продукции продолжают оказывать меры заградительного характера со стороны США и Евросоюза, введённые весной 2018 года в части поставок стали и алюминия. Помимо ограничения поставок металлопродукции на европейские рынки, со стороны Украины были введены персональные экономические санкции в отношении физических и юридических лиц, установлены барьеры в части не только торговых операций, но и транзита через её территорию</w:t>
      </w:r>
      <w:r>
        <w:t xml:space="preserve"> грузов</w:t>
      </w:r>
      <w:r w:rsidRPr="002F5B1B">
        <w:t xml:space="preserve">. </w:t>
      </w:r>
    </w:p>
    <w:p w:rsidR="00C20988" w:rsidRPr="002F5B1B" w:rsidRDefault="00C20988" w:rsidP="000D5444">
      <w:pPr>
        <w:autoSpaceDE w:val="0"/>
        <w:autoSpaceDN w:val="0"/>
        <w:adjustRightInd w:val="0"/>
        <w:ind w:firstLine="425"/>
        <w:jc w:val="both"/>
        <w:rPr>
          <w:sz w:val="24"/>
          <w:szCs w:val="24"/>
        </w:rPr>
      </w:pPr>
      <w:r w:rsidRPr="002F5B1B">
        <w:rPr>
          <w:sz w:val="24"/>
          <w:szCs w:val="24"/>
        </w:rPr>
        <w:t xml:space="preserve">В Европе темпы роста экономики также замедлились. В IV квартале ВВП стран Евросоюза к предыдущему кварталу </w:t>
      </w:r>
      <w:r>
        <w:rPr>
          <w:sz w:val="24"/>
          <w:szCs w:val="24"/>
        </w:rPr>
        <w:t>вырос всего на</w:t>
      </w:r>
      <w:r w:rsidRPr="002F5B1B">
        <w:rPr>
          <w:sz w:val="24"/>
          <w:szCs w:val="24"/>
        </w:rPr>
        <w:t xml:space="preserve"> 0,2%. Это самые низкие темпы роста с середины 2016 года. В годовом выражении рост экономики сложился в пределах 1,9% (в 2017 году этот показатель составлял 2,5%). По оценке экспертов, такая ситуация связана с целым рядом факторов – начиная с торговых войн США и заканчивая политическими проблемами в Германии</w:t>
      </w:r>
      <w:r>
        <w:rPr>
          <w:sz w:val="24"/>
          <w:szCs w:val="24"/>
        </w:rPr>
        <w:t>, к которым</w:t>
      </w:r>
      <w:r w:rsidRPr="002F5B1B">
        <w:rPr>
          <w:sz w:val="24"/>
          <w:szCs w:val="24"/>
        </w:rPr>
        <w:t xml:space="preserve"> добавляется усиление волатильности на финансовых рынках. Экономисты утверждают, что Европа исчерпала прежний потенциал роста и вступила в период низких темпов развития.</w:t>
      </w:r>
    </w:p>
    <w:p w:rsidR="00C20988" w:rsidRPr="002F5B1B" w:rsidRDefault="00C20988" w:rsidP="000D5444">
      <w:pPr>
        <w:ind w:firstLine="425"/>
        <w:jc w:val="both"/>
        <w:rPr>
          <w:sz w:val="24"/>
          <w:szCs w:val="24"/>
        </w:rPr>
      </w:pPr>
      <w:r w:rsidRPr="002F5B1B">
        <w:rPr>
          <w:sz w:val="24"/>
          <w:szCs w:val="24"/>
        </w:rPr>
        <w:t xml:space="preserve">На фоне достижения позитивных результатов по основным ключевым ориентирам Федеральной резервной системы США (инфляция в зоне целевых значений и рекордное снижение уровня безработицы) наблюдался стабильный рост американской экономики. ВВП США в 2018 году вырос на </w:t>
      </w:r>
      <w:r>
        <w:rPr>
          <w:sz w:val="24"/>
          <w:szCs w:val="24"/>
        </w:rPr>
        <w:t>2,9</w:t>
      </w:r>
      <w:r w:rsidRPr="002F5B1B">
        <w:rPr>
          <w:sz w:val="24"/>
          <w:szCs w:val="24"/>
        </w:rPr>
        <w:t>%</w:t>
      </w:r>
      <w:r>
        <w:rPr>
          <w:sz w:val="24"/>
          <w:szCs w:val="24"/>
        </w:rPr>
        <w:t xml:space="preserve"> в реальном выражении</w:t>
      </w:r>
      <w:r w:rsidRPr="002F5B1B">
        <w:rPr>
          <w:sz w:val="24"/>
          <w:szCs w:val="24"/>
        </w:rPr>
        <w:t xml:space="preserve">. </w:t>
      </w:r>
    </w:p>
    <w:p w:rsidR="00C20988" w:rsidRPr="002F5B1B" w:rsidRDefault="00C20988" w:rsidP="000D5444">
      <w:pPr>
        <w:ind w:firstLine="425"/>
        <w:jc w:val="both"/>
        <w:rPr>
          <w:sz w:val="24"/>
          <w:szCs w:val="24"/>
        </w:rPr>
      </w:pPr>
      <w:r w:rsidRPr="002F5B1B">
        <w:rPr>
          <w:sz w:val="24"/>
          <w:szCs w:val="24"/>
        </w:rPr>
        <w:t xml:space="preserve">Цены на нефть в течение 2018 года характеризовались нестабильностью вследствие факторов, влияющих на предложение, в том числе политики США в отношении экспорта иранской нефти. После достижения в начале октября максимального ценового уровня с </w:t>
      </w:r>
      <w:r w:rsidRPr="002F5B1B">
        <w:rPr>
          <w:sz w:val="24"/>
          <w:szCs w:val="24"/>
        </w:rPr>
        <w:br/>
        <w:t>2014 года – 86,4 долл. за баррель</w:t>
      </w:r>
      <w:r>
        <w:rPr>
          <w:sz w:val="24"/>
          <w:szCs w:val="24"/>
        </w:rPr>
        <w:t xml:space="preserve"> </w:t>
      </w:r>
      <w:r w:rsidRPr="002D2B0D">
        <w:rPr>
          <w:sz w:val="24"/>
          <w:szCs w:val="24"/>
        </w:rPr>
        <w:t xml:space="preserve">марки </w:t>
      </w:r>
      <w:r w:rsidRPr="002D2B0D">
        <w:rPr>
          <w:sz w:val="24"/>
          <w:szCs w:val="24"/>
          <w:lang w:val="en-US"/>
        </w:rPr>
        <w:t>Brent</w:t>
      </w:r>
      <w:r w:rsidRPr="002F5B1B">
        <w:rPr>
          <w:sz w:val="24"/>
          <w:szCs w:val="24"/>
        </w:rPr>
        <w:t>, мировые нефтяные котировки начали падение и в середине декабря опустились до минимального внутригодового значения – 50,7 долл. за баррель. Основной причиной падения цен на мировом рынке стал дисбаланс спроса и предложения на «чёрное золото», неопределённость в торговых отношениях между США и Китаем, а также расширение нефтедобычи со стороны США.</w:t>
      </w:r>
    </w:p>
    <w:p w:rsidR="00C20988" w:rsidRPr="002F5B1B" w:rsidRDefault="00C20988" w:rsidP="002F74DC">
      <w:pPr>
        <w:pStyle w:val="NormalWeb"/>
        <w:spacing w:before="0" w:beforeAutospacing="0" w:after="0" w:afterAutospacing="0"/>
        <w:ind w:firstLine="425"/>
        <w:jc w:val="both"/>
      </w:pPr>
      <w:r w:rsidRPr="002F5B1B">
        <w:t>Инфляция на потребительских рынках в последние месяцы года в целом оставалась под контролем в странах с развитой экономикой</w:t>
      </w:r>
      <w:r>
        <w:t>, но несколько повысилась в США</w:t>
      </w:r>
      <w:r w:rsidRPr="002F5B1B">
        <w:t>. В странах с формирующимся рынком инфляционное давление уменьшалось по мере снижения цен на нефть. Для некоторых стран это уменьшение отчасти компенсировалось переносом снижения обменных курсов на внутренние цены. Среднее значение индекса продовольственных цен ФАО по итогам 2018 года снизилось на 3,5%, до 168,4 пункта. При этом больше всего упали цены на сахар (-21,9%, до 177,5 пункта), что обусловлено высокими темпами роста производства тростника в Индии. Индекс цен ФАО на растительные масла сократился на 14,7%, до 144,0 пунктов, что является наименьшим показателем с 2007 года. Падение цен на свинину и мясо птицы, на фоне некоторого повышения котировок на баранину и их сохранения на уровне 2017 года на говядину, сформировало в 2018 году среднее значение индекса ФАО на товары данной группы на уровне 166,4 пункта (-2,2%). Индекс цен на молочную продукцию последовательно сокращался с июня 2018 года, сложившись в среднем за год на уровне 192,9 пункта (-4,6% к значению 2017 года). Мировые цены на основные зерновые культуры в 2018 году характеризовались повышательной динамикой. Среднее значение индекса цен на зерновые ФАО за 2018 год возросло на 9,0%, до 165,2 пункт</w:t>
      </w:r>
      <w:r>
        <w:t>а</w:t>
      </w:r>
      <w:r w:rsidRPr="002F5B1B">
        <w:t>.</w:t>
      </w:r>
      <w:r>
        <w:t xml:space="preserve"> В Евросоюзе индекс потребительских цен составил 1,7%, в США – 1,8%.</w:t>
      </w:r>
    </w:p>
    <w:p w:rsidR="00C20988" w:rsidRPr="002F5B1B" w:rsidRDefault="00C20988" w:rsidP="00A67D44">
      <w:pPr>
        <w:pStyle w:val="NormalWeb"/>
        <w:spacing w:before="0" w:beforeAutospacing="0" w:after="0" w:afterAutospacing="0"/>
        <w:ind w:firstLine="425"/>
        <w:jc w:val="both"/>
      </w:pPr>
      <w:r w:rsidRPr="002F5B1B">
        <w:t xml:space="preserve">В России, согласно официальным статистическим данным, по итогам 2018 года рост экономики сложился на уровне 2,3% за счёт благоприятной динамики в первом полугодии, обусловленной высокими ценами на нефть и наращиванием экспорта. На фоне усиления санкционных рисков вследствие ужесточения США антироссийских мер </w:t>
      </w:r>
      <w:r>
        <w:t>в</w:t>
      </w:r>
      <w:r w:rsidRPr="002F5B1B">
        <w:t>о втором полугодии наблюдалось снижение деловой активности. Объём индустриального выпуска расширился за год на 2,9% преимущественно за счёт добывающего</w:t>
      </w:r>
      <w:r w:rsidRPr="002F5B1B">
        <w:rPr>
          <w:b/>
          <w:bCs/>
        </w:rPr>
        <w:t xml:space="preserve"> </w:t>
      </w:r>
      <w:r w:rsidRPr="002F5B1B">
        <w:t>сегмента</w:t>
      </w:r>
      <w:r>
        <w:t xml:space="preserve"> </w:t>
      </w:r>
      <w:r w:rsidRPr="002D2B0D">
        <w:t>(+4,1%).</w:t>
      </w:r>
      <w:r w:rsidRPr="002F5B1B">
        <w:t xml:space="preserve"> </w:t>
      </w:r>
      <w:r>
        <w:t>Рост</w:t>
      </w:r>
      <w:r w:rsidRPr="002F5B1B">
        <w:t xml:space="preserve"> потребительски</w:t>
      </w:r>
      <w:r>
        <w:t>х</w:t>
      </w:r>
      <w:r w:rsidRPr="002F5B1B">
        <w:t xml:space="preserve"> цен </w:t>
      </w:r>
      <w:r>
        <w:t>составил</w:t>
      </w:r>
      <w:r w:rsidRPr="002F5B1B">
        <w:t xml:space="preserve"> 4,3% (2,5% в 2017 году). </w:t>
      </w:r>
    </w:p>
    <w:p w:rsidR="00C20988" w:rsidRPr="002F5B1B" w:rsidRDefault="00C20988" w:rsidP="000D5444">
      <w:pPr>
        <w:ind w:firstLine="425"/>
        <w:jc w:val="both"/>
        <w:rPr>
          <w:sz w:val="24"/>
          <w:szCs w:val="24"/>
        </w:rPr>
      </w:pPr>
      <w:r>
        <w:rPr>
          <w:sz w:val="24"/>
          <w:szCs w:val="24"/>
        </w:rPr>
        <w:t xml:space="preserve">Экономика Украины </w:t>
      </w:r>
      <w:r w:rsidRPr="002F5B1B">
        <w:rPr>
          <w:sz w:val="24"/>
          <w:szCs w:val="24"/>
        </w:rPr>
        <w:t xml:space="preserve">в 2018 году выросла на 3,3%. Положительная динамика промышленного производства, наблюдаемая с 2016 года, в отчётном году сохранилась (+1,1%) и была обусловлена наращиванием производства </w:t>
      </w:r>
      <w:r>
        <w:rPr>
          <w:sz w:val="24"/>
          <w:szCs w:val="24"/>
        </w:rPr>
        <w:t xml:space="preserve">как </w:t>
      </w:r>
      <w:r w:rsidRPr="002F5B1B">
        <w:rPr>
          <w:sz w:val="24"/>
          <w:szCs w:val="24"/>
        </w:rPr>
        <w:t>в добывающих (+2,1%)</w:t>
      </w:r>
      <w:r>
        <w:rPr>
          <w:sz w:val="24"/>
          <w:szCs w:val="24"/>
        </w:rPr>
        <w:t>, так</w:t>
      </w:r>
      <w:r w:rsidRPr="002F5B1B">
        <w:rPr>
          <w:sz w:val="24"/>
          <w:szCs w:val="24"/>
        </w:rPr>
        <w:t xml:space="preserve"> и перерабатывающих (+0,2%) отраслях, </w:t>
      </w:r>
      <w:r>
        <w:rPr>
          <w:sz w:val="24"/>
          <w:szCs w:val="24"/>
        </w:rPr>
        <w:t xml:space="preserve">а также </w:t>
      </w:r>
      <w:r w:rsidRPr="002F5B1B">
        <w:rPr>
          <w:sz w:val="24"/>
          <w:szCs w:val="24"/>
        </w:rPr>
        <w:t xml:space="preserve">увеличением поставок электроэнергии, газа и кондиционированного воздуха (+2,8%). </w:t>
      </w:r>
      <w:r>
        <w:rPr>
          <w:sz w:val="24"/>
          <w:szCs w:val="24"/>
        </w:rPr>
        <w:t>Прирост</w:t>
      </w:r>
      <w:r w:rsidRPr="002F5B1B">
        <w:rPr>
          <w:sz w:val="24"/>
          <w:szCs w:val="24"/>
        </w:rPr>
        <w:t xml:space="preserve"> потребительских цен в Украине впервые за последние пять лет с</w:t>
      </w:r>
      <w:r>
        <w:rPr>
          <w:sz w:val="24"/>
          <w:szCs w:val="24"/>
        </w:rPr>
        <w:t>ложил</w:t>
      </w:r>
      <w:r w:rsidRPr="002F5B1B">
        <w:rPr>
          <w:sz w:val="24"/>
          <w:szCs w:val="24"/>
        </w:rPr>
        <w:t>с</w:t>
      </w:r>
      <w:r>
        <w:rPr>
          <w:sz w:val="24"/>
          <w:szCs w:val="24"/>
        </w:rPr>
        <w:t>я</w:t>
      </w:r>
      <w:r w:rsidRPr="002F5B1B">
        <w:rPr>
          <w:sz w:val="24"/>
          <w:szCs w:val="24"/>
        </w:rPr>
        <w:t xml:space="preserve"> ниже 10%</w:t>
      </w:r>
      <w:r>
        <w:rPr>
          <w:sz w:val="24"/>
          <w:szCs w:val="24"/>
        </w:rPr>
        <w:t xml:space="preserve"> и </w:t>
      </w:r>
      <w:r w:rsidRPr="002F5B1B">
        <w:rPr>
          <w:sz w:val="24"/>
          <w:szCs w:val="24"/>
        </w:rPr>
        <w:t>достиг 9,8% (13,7% годом ранее).</w:t>
      </w:r>
    </w:p>
    <w:p w:rsidR="00C20988" w:rsidRPr="002F5B1B" w:rsidRDefault="00C20988" w:rsidP="000D5444">
      <w:pPr>
        <w:ind w:firstLine="425"/>
        <w:jc w:val="both"/>
        <w:rPr>
          <w:sz w:val="24"/>
          <w:szCs w:val="24"/>
        </w:rPr>
      </w:pPr>
      <w:r w:rsidRPr="002F5B1B">
        <w:rPr>
          <w:sz w:val="24"/>
          <w:szCs w:val="24"/>
        </w:rPr>
        <w:t xml:space="preserve">ВВП Молдовы второй год подряд демонстрирует положительный тренд и </w:t>
      </w:r>
      <w:r>
        <w:rPr>
          <w:sz w:val="24"/>
          <w:szCs w:val="24"/>
        </w:rPr>
        <w:t>за 2018 год</w:t>
      </w:r>
      <w:r w:rsidRPr="002F5B1B">
        <w:rPr>
          <w:sz w:val="24"/>
          <w:szCs w:val="24"/>
        </w:rPr>
        <w:t xml:space="preserve"> прирост показателя оценён на уровне 4,0%. Совокупный объём промышленного производства увеличился на 3,7%. Устойчивость валютного курса сформировала благоприятный фон на потребительском рынке – сводны</w:t>
      </w:r>
      <w:r>
        <w:rPr>
          <w:sz w:val="24"/>
          <w:szCs w:val="24"/>
        </w:rPr>
        <w:t xml:space="preserve">й индекс потребительских цен </w:t>
      </w:r>
      <w:r w:rsidRPr="002F5B1B">
        <w:rPr>
          <w:sz w:val="24"/>
          <w:szCs w:val="24"/>
        </w:rPr>
        <w:t xml:space="preserve">составил 100,9%. </w:t>
      </w:r>
    </w:p>
    <w:p w:rsidR="00C20988" w:rsidRDefault="00C20988" w:rsidP="000D5444">
      <w:pPr>
        <w:ind w:firstLine="425"/>
        <w:jc w:val="both"/>
        <w:rPr>
          <w:sz w:val="24"/>
          <w:szCs w:val="24"/>
        </w:rPr>
      </w:pPr>
      <w:r>
        <w:rPr>
          <w:sz w:val="24"/>
          <w:szCs w:val="24"/>
        </w:rPr>
        <w:t>Складывающаяся конъюнктура мировой торговли и макроэкономические показатели развития стран – основных торговых партнёров Приднестровья</w:t>
      </w:r>
      <w:r w:rsidRPr="000956EF">
        <w:rPr>
          <w:sz w:val="24"/>
          <w:szCs w:val="24"/>
        </w:rPr>
        <w:t xml:space="preserve"> оказывали </w:t>
      </w:r>
      <w:r>
        <w:rPr>
          <w:sz w:val="24"/>
          <w:szCs w:val="24"/>
        </w:rPr>
        <w:t xml:space="preserve">непосредственное </w:t>
      </w:r>
      <w:r w:rsidRPr="000956EF">
        <w:rPr>
          <w:sz w:val="24"/>
          <w:szCs w:val="24"/>
        </w:rPr>
        <w:t xml:space="preserve">влияние на состояние экономики </w:t>
      </w:r>
      <w:r>
        <w:rPr>
          <w:sz w:val="24"/>
          <w:szCs w:val="24"/>
        </w:rPr>
        <w:t>республики</w:t>
      </w:r>
      <w:r w:rsidRPr="000956EF">
        <w:rPr>
          <w:sz w:val="24"/>
          <w:szCs w:val="24"/>
        </w:rPr>
        <w:t>.</w:t>
      </w:r>
    </w:p>
    <w:p w:rsidR="00C20988" w:rsidRPr="001B54E9" w:rsidRDefault="00C20988" w:rsidP="000D5444">
      <w:pPr>
        <w:ind w:firstLine="425"/>
        <w:jc w:val="both"/>
        <w:rPr>
          <w:sz w:val="24"/>
          <w:szCs w:val="24"/>
        </w:rPr>
      </w:pPr>
    </w:p>
    <w:p w:rsidR="00C20988" w:rsidRPr="00E85DD7" w:rsidRDefault="00C20988" w:rsidP="008F7555">
      <w:pPr>
        <w:widowControl w:val="0"/>
        <w:numPr>
          <w:ilvl w:val="1"/>
          <w:numId w:val="1"/>
        </w:numPr>
        <w:jc w:val="both"/>
        <w:rPr>
          <w:b/>
          <w:bCs/>
          <w:noProof/>
          <w:sz w:val="24"/>
          <w:szCs w:val="24"/>
        </w:rPr>
      </w:pPr>
      <w:r w:rsidRPr="00E85DD7">
        <w:rPr>
          <w:b/>
          <w:bCs/>
          <w:noProof/>
          <w:sz w:val="24"/>
          <w:szCs w:val="24"/>
        </w:rPr>
        <w:t>ЭКОНОМИЧЕСКОЕ ПОЛОЖЕНИЕ ПРИДНЕСТРОВЬЯ</w:t>
      </w:r>
    </w:p>
    <w:p w:rsidR="00C20988" w:rsidRPr="001D23ED" w:rsidRDefault="00C20988" w:rsidP="00BE7BE0">
      <w:pPr>
        <w:widowControl w:val="0"/>
        <w:spacing w:before="120" w:after="120"/>
        <w:ind w:left="425"/>
        <w:jc w:val="both"/>
        <w:rPr>
          <w:i/>
          <w:iCs/>
          <w:noProof/>
          <w:sz w:val="24"/>
          <w:szCs w:val="24"/>
        </w:rPr>
      </w:pPr>
      <w:r w:rsidRPr="001D23ED">
        <w:rPr>
          <w:i/>
          <w:iCs/>
          <w:noProof/>
          <w:sz w:val="24"/>
          <w:szCs w:val="24"/>
        </w:rPr>
        <w:t>Реальный сектор</w:t>
      </w:r>
    </w:p>
    <w:p w:rsidR="00C20988" w:rsidRPr="00A156CF" w:rsidRDefault="00C20988" w:rsidP="00FE43CA">
      <w:pPr>
        <w:widowControl w:val="0"/>
        <w:spacing w:before="120"/>
        <w:ind w:firstLine="425"/>
        <w:jc w:val="both"/>
        <w:rPr>
          <w:sz w:val="24"/>
          <w:szCs w:val="24"/>
        </w:rPr>
      </w:pPr>
      <w:r w:rsidRPr="00A156CF">
        <w:rPr>
          <w:sz w:val="24"/>
          <w:szCs w:val="24"/>
        </w:rPr>
        <w:t>По данным Государственной службы статистики ПМР, по итогам 2018 года номинальный объём созданного в республике ВВП увеличился в текущих ценах на 12,5% и составил 13 800,1 млн руб., или в эквиваленте 859,3 млн долл. США. В сопоставимых ценах его величина возросла на 3,6% (табл. 1.1). Дефлятор ВВП, отражающий темпы изменения средних цен в различных отраслях, сложился на уровне 1,0867. Размер ВВП на душу населения составил 29 547,2 руб., или 1 839,9 долл. США.</w:t>
      </w:r>
    </w:p>
    <w:p w:rsidR="00C20988" w:rsidRPr="00A156CF" w:rsidRDefault="00C20988" w:rsidP="00FE43CA">
      <w:pPr>
        <w:widowControl w:val="0"/>
        <w:ind w:firstLine="425"/>
        <w:jc w:val="both"/>
        <w:rPr>
          <w:sz w:val="24"/>
          <w:szCs w:val="24"/>
        </w:rPr>
      </w:pPr>
      <w:r w:rsidRPr="00A156CF">
        <w:rPr>
          <w:sz w:val="24"/>
          <w:szCs w:val="24"/>
        </w:rPr>
        <w:t xml:space="preserve">В структуре ВВП отмечалось повышение удельного веса материального сектора </w:t>
      </w:r>
      <w:r w:rsidRPr="00A156CF">
        <w:rPr>
          <w:sz w:val="24"/>
          <w:szCs w:val="24"/>
        </w:rPr>
        <w:br/>
        <w:t>на 1,</w:t>
      </w:r>
      <w:r>
        <w:rPr>
          <w:sz w:val="24"/>
          <w:szCs w:val="24"/>
        </w:rPr>
        <w:t>2</w:t>
      </w:r>
      <w:r w:rsidRPr="00A156CF">
        <w:rPr>
          <w:sz w:val="24"/>
          <w:szCs w:val="24"/>
        </w:rPr>
        <w:t xml:space="preserve"> п.п., до 41,7%, и рыночных услуг на 0,2 п.п., до 31,4%, тогда как доля нерыночных услуг, напротив, сократилась на 3,7 п.п., до 23,9%. Удельный вес чистых налогов на продукты и импорт увеличился на </w:t>
      </w:r>
      <w:r>
        <w:rPr>
          <w:sz w:val="24"/>
          <w:szCs w:val="24"/>
        </w:rPr>
        <w:t>2,2</w:t>
      </w:r>
      <w:r w:rsidRPr="00A156CF">
        <w:rPr>
          <w:sz w:val="24"/>
          <w:szCs w:val="24"/>
        </w:rPr>
        <w:t xml:space="preserve"> п.п., до </w:t>
      </w:r>
      <w:r>
        <w:rPr>
          <w:sz w:val="24"/>
          <w:szCs w:val="24"/>
        </w:rPr>
        <w:t>3,0</w:t>
      </w:r>
      <w:r w:rsidRPr="00A156CF">
        <w:rPr>
          <w:sz w:val="24"/>
          <w:szCs w:val="24"/>
        </w:rPr>
        <w:t>%, что было обусловлено ростом суммы косвенных налогов на фоне сокращения объёма субсидий.</w:t>
      </w:r>
    </w:p>
    <w:p w:rsidR="00C20988" w:rsidRPr="00A156CF" w:rsidRDefault="00C20988" w:rsidP="00FE43CA">
      <w:pPr>
        <w:widowControl w:val="0"/>
        <w:spacing w:before="120"/>
        <w:ind w:firstLine="425"/>
        <w:jc w:val="both"/>
        <w:rPr>
          <w:sz w:val="24"/>
          <w:szCs w:val="24"/>
        </w:rPr>
      </w:pPr>
    </w:p>
    <w:p w:rsidR="00C20988" w:rsidRPr="00A156CF" w:rsidRDefault="00C20988" w:rsidP="00FE43CA">
      <w:pPr>
        <w:widowControl w:val="0"/>
        <w:spacing w:before="120"/>
        <w:jc w:val="right"/>
        <w:rPr>
          <w:b/>
          <w:i/>
          <w:sz w:val="24"/>
          <w:szCs w:val="24"/>
        </w:rPr>
      </w:pPr>
    </w:p>
    <w:p w:rsidR="00C20988" w:rsidRPr="00A156CF" w:rsidRDefault="00C20988" w:rsidP="00FE43CA">
      <w:pPr>
        <w:widowControl w:val="0"/>
        <w:spacing w:before="120"/>
        <w:jc w:val="right"/>
        <w:rPr>
          <w:b/>
          <w:i/>
          <w:sz w:val="24"/>
          <w:szCs w:val="24"/>
        </w:rPr>
      </w:pPr>
      <w:r w:rsidRPr="00A156CF">
        <w:rPr>
          <w:b/>
          <w:i/>
          <w:sz w:val="24"/>
          <w:szCs w:val="24"/>
        </w:rPr>
        <w:t>Таблица 1.1</w:t>
      </w:r>
    </w:p>
    <w:p w:rsidR="00C20988" w:rsidRPr="00A156CF" w:rsidRDefault="00C20988" w:rsidP="00FE43CA">
      <w:pPr>
        <w:widowControl w:val="0"/>
        <w:spacing w:before="120" w:after="120"/>
        <w:jc w:val="center"/>
        <w:rPr>
          <w:b/>
          <w:i/>
          <w:sz w:val="24"/>
          <w:szCs w:val="24"/>
        </w:rPr>
      </w:pPr>
      <w:r w:rsidRPr="00A156CF">
        <w:rPr>
          <w:b/>
          <w:i/>
          <w:sz w:val="24"/>
          <w:szCs w:val="24"/>
        </w:rPr>
        <w:t xml:space="preserve">Структура и динамика валового внутреннего продукта ПМР </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195"/>
        <w:gridCol w:w="1003"/>
        <w:gridCol w:w="1208"/>
        <w:gridCol w:w="1078"/>
        <w:gridCol w:w="1048"/>
      </w:tblGrid>
      <w:tr w:rsidR="00C20988" w:rsidRPr="00A156CF" w:rsidTr="00A156CF">
        <w:trPr>
          <w:cantSplit/>
          <w:trHeight w:val="51"/>
        </w:trPr>
        <w:tc>
          <w:tcPr>
            <w:tcW w:w="4111" w:type="dxa"/>
            <w:vMerge w:val="restart"/>
            <w:tcBorders>
              <w:bottom w:val="nil"/>
            </w:tcBorders>
            <w:shd w:val="clear" w:color="auto" w:fill="C0C0C0"/>
            <w:vAlign w:val="center"/>
          </w:tcPr>
          <w:p w:rsidR="00C20988" w:rsidRPr="00A156CF" w:rsidRDefault="00C20988" w:rsidP="00A156CF">
            <w:pPr>
              <w:widowControl w:val="0"/>
              <w:rPr>
                <w:snapToGrid w:val="0"/>
                <w:sz w:val="22"/>
                <w:szCs w:val="22"/>
              </w:rPr>
            </w:pPr>
          </w:p>
        </w:tc>
        <w:tc>
          <w:tcPr>
            <w:tcW w:w="2198" w:type="dxa"/>
            <w:gridSpan w:val="2"/>
            <w:shd w:val="clear" w:color="auto" w:fill="C0C0C0"/>
            <w:vAlign w:val="center"/>
          </w:tcPr>
          <w:p w:rsidR="00C20988" w:rsidRPr="00A156CF" w:rsidRDefault="00C20988" w:rsidP="00A156CF">
            <w:pPr>
              <w:widowControl w:val="0"/>
              <w:jc w:val="center"/>
              <w:rPr>
                <w:snapToGrid w:val="0"/>
                <w:sz w:val="22"/>
                <w:szCs w:val="22"/>
              </w:rPr>
            </w:pPr>
            <w:r w:rsidRPr="00A156CF">
              <w:rPr>
                <w:snapToGrid w:val="0"/>
                <w:sz w:val="22"/>
                <w:szCs w:val="22"/>
              </w:rPr>
              <w:t>2017 год</w:t>
            </w:r>
          </w:p>
        </w:tc>
        <w:tc>
          <w:tcPr>
            <w:tcW w:w="2286" w:type="dxa"/>
            <w:gridSpan w:val="2"/>
            <w:shd w:val="clear" w:color="auto" w:fill="C0C0C0"/>
            <w:vAlign w:val="center"/>
          </w:tcPr>
          <w:p w:rsidR="00C20988" w:rsidRPr="00A156CF" w:rsidRDefault="00C20988" w:rsidP="00A156CF">
            <w:pPr>
              <w:widowControl w:val="0"/>
              <w:jc w:val="center"/>
              <w:rPr>
                <w:snapToGrid w:val="0"/>
                <w:sz w:val="22"/>
                <w:szCs w:val="22"/>
              </w:rPr>
            </w:pPr>
            <w:r w:rsidRPr="00A156CF">
              <w:rPr>
                <w:snapToGrid w:val="0"/>
                <w:sz w:val="22"/>
                <w:szCs w:val="22"/>
              </w:rPr>
              <w:t>2018 год</w:t>
            </w:r>
          </w:p>
        </w:tc>
        <w:tc>
          <w:tcPr>
            <w:tcW w:w="1048" w:type="dxa"/>
            <w:vMerge w:val="restart"/>
            <w:tcBorders>
              <w:bottom w:val="nil"/>
            </w:tcBorders>
            <w:shd w:val="clear" w:color="auto" w:fill="C0C0C0"/>
            <w:vAlign w:val="center"/>
          </w:tcPr>
          <w:p w:rsidR="00C20988" w:rsidRPr="00A156CF" w:rsidRDefault="00C20988" w:rsidP="00A156CF">
            <w:pPr>
              <w:widowControl w:val="0"/>
              <w:ind w:left="-104"/>
              <w:jc w:val="center"/>
              <w:rPr>
                <w:snapToGrid w:val="0"/>
                <w:sz w:val="22"/>
                <w:szCs w:val="22"/>
              </w:rPr>
            </w:pPr>
            <w:r w:rsidRPr="00A156CF">
              <w:rPr>
                <w:snapToGrid w:val="0"/>
                <w:sz w:val="22"/>
                <w:szCs w:val="22"/>
              </w:rPr>
              <w:t>темп</w:t>
            </w:r>
          </w:p>
          <w:p w:rsidR="00C20988" w:rsidRPr="00A156CF" w:rsidRDefault="00C20988" w:rsidP="00A156CF">
            <w:pPr>
              <w:widowControl w:val="0"/>
              <w:ind w:left="-104" w:right="-108"/>
              <w:jc w:val="center"/>
              <w:rPr>
                <w:snapToGrid w:val="0"/>
                <w:sz w:val="22"/>
                <w:szCs w:val="22"/>
              </w:rPr>
            </w:pPr>
            <w:r w:rsidRPr="00A156CF">
              <w:rPr>
                <w:snapToGrid w:val="0"/>
                <w:sz w:val="22"/>
                <w:szCs w:val="22"/>
              </w:rPr>
              <w:t>роста</w:t>
            </w:r>
            <w:r w:rsidRPr="00A156CF">
              <w:rPr>
                <w:rStyle w:val="FootnoteReference"/>
                <w:snapToGrid w:val="0"/>
                <w:sz w:val="22"/>
                <w:szCs w:val="22"/>
              </w:rPr>
              <w:footnoteReference w:id="1"/>
            </w:r>
            <w:r w:rsidRPr="00A156CF">
              <w:rPr>
                <w:snapToGrid w:val="0"/>
                <w:sz w:val="22"/>
                <w:szCs w:val="22"/>
              </w:rPr>
              <w:t>, %</w:t>
            </w:r>
          </w:p>
        </w:tc>
      </w:tr>
      <w:tr w:rsidR="00C20988" w:rsidRPr="00A156CF" w:rsidTr="00A156CF">
        <w:trPr>
          <w:cantSplit/>
          <w:trHeight w:val="176"/>
        </w:trPr>
        <w:tc>
          <w:tcPr>
            <w:tcW w:w="4111" w:type="dxa"/>
            <w:vMerge/>
            <w:tcBorders>
              <w:bottom w:val="double" w:sz="4" w:space="0" w:color="auto"/>
            </w:tcBorders>
            <w:vAlign w:val="center"/>
          </w:tcPr>
          <w:p w:rsidR="00C20988" w:rsidRPr="00A156CF" w:rsidRDefault="00C20988" w:rsidP="00A156CF">
            <w:pPr>
              <w:widowControl w:val="0"/>
              <w:rPr>
                <w:snapToGrid w:val="0"/>
                <w:sz w:val="22"/>
                <w:szCs w:val="22"/>
              </w:rPr>
            </w:pPr>
          </w:p>
        </w:tc>
        <w:tc>
          <w:tcPr>
            <w:tcW w:w="1195" w:type="dxa"/>
            <w:tcBorders>
              <w:bottom w:val="double" w:sz="4" w:space="0" w:color="auto"/>
            </w:tcBorders>
            <w:shd w:val="clear" w:color="auto" w:fill="C0C0C0"/>
            <w:vAlign w:val="center"/>
          </w:tcPr>
          <w:p w:rsidR="00C20988" w:rsidRPr="00A156CF" w:rsidRDefault="00C20988" w:rsidP="00A156CF">
            <w:pPr>
              <w:widowControl w:val="0"/>
              <w:jc w:val="center"/>
              <w:rPr>
                <w:snapToGrid w:val="0"/>
                <w:sz w:val="22"/>
                <w:szCs w:val="22"/>
              </w:rPr>
            </w:pPr>
            <w:r w:rsidRPr="00A156CF">
              <w:rPr>
                <w:snapToGrid w:val="0"/>
                <w:sz w:val="22"/>
                <w:szCs w:val="22"/>
              </w:rPr>
              <w:t>млн руб.</w:t>
            </w:r>
          </w:p>
        </w:tc>
        <w:tc>
          <w:tcPr>
            <w:tcW w:w="1003" w:type="dxa"/>
            <w:tcBorders>
              <w:bottom w:val="double" w:sz="4" w:space="0" w:color="auto"/>
            </w:tcBorders>
            <w:shd w:val="clear" w:color="auto" w:fill="C0C0C0"/>
            <w:vAlign w:val="center"/>
          </w:tcPr>
          <w:p w:rsidR="00C20988" w:rsidRPr="00A156CF" w:rsidRDefault="00C20988" w:rsidP="00A156CF">
            <w:pPr>
              <w:widowControl w:val="0"/>
              <w:ind w:left="-105" w:right="-113"/>
              <w:jc w:val="center"/>
              <w:rPr>
                <w:snapToGrid w:val="0"/>
                <w:sz w:val="22"/>
                <w:szCs w:val="22"/>
              </w:rPr>
            </w:pPr>
            <w:r w:rsidRPr="00A156CF">
              <w:rPr>
                <w:snapToGrid w:val="0"/>
                <w:sz w:val="22"/>
                <w:szCs w:val="22"/>
              </w:rPr>
              <w:t>уд. вес, %</w:t>
            </w:r>
          </w:p>
        </w:tc>
        <w:tc>
          <w:tcPr>
            <w:tcW w:w="1208" w:type="dxa"/>
            <w:tcBorders>
              <w:bottom w:val="double" w:sz="4" w:space="0" w:color="auto"/>
            </w:tcBorders>
            <w:shd w:val="clear" w:color="auto" w:fill="C0C0C0"/>
            <w:vAlign w:val="center"/>
          </w:tcPr>
          <w:p w:rsidR="00C20988" w:rsidRPr="00A156CF" w:rsidRDefault="00C20988" w:rsidP="00A156CF">
            <w:pPr>
              <w:widowControl w:val="0"/>
              <w:jc w:val="center"/>
              <w:rPr>
                <w:snapToGrid w:val="0"/>
                <w:sz w:val="22"/>
                <w:szCs w:val="22"/>
              </w:rPr>
            </w:pPr>
            <w:r w:rsidRPr="00A156CF">
              <w:rPr>
                <w:snapToGrid w:val="0"/>
                <w:sz w:val="22"/>
                <w:szCs w:val="22"/>
              </w:rPr>
              <w:t>млн руб.</w:t>
            </w:r>
          </w:p>
        </w:tc>
        <w:tc>
          <w:tcPr>
            <w:tcW w:w="1078" w:type="dxa"/>
            <w:tcBorders>
              <w:bottom w:val="double" w:sz="4" w:space="0" w:color="auto"/>
            </w:tcBorders>
            <w:shd w:val="clear" w:color="auto" w:fill="C0C0C0"/>
            <w:vAlign w:val="center"/>
          </w:tcPr>
          <w:p w:rsidR="00C20988" w:rsidRPr="00A156CF" w:rsidRDefault="00C20988" w:rsidP="00A156CF">
            <w:pPr>
              <w:widowControl w:val="0"/>
              <w:ind w:left="-114" w:right="-115"/>
              <w:jc w:val="center"/>
              <w:rPr>
                <w:snapToGrid w:val="0"/>
                <w:sz w:val="22"/>
                <w:szCs w:val="22"/>
              </w:rPr>
            </w:pPr>
            <w:r w:rsidRPr="00A156CF">
              <w:rPr>
                <w:snapToGrid w:val="0"/>
                <w:sz w:val="22"/>
                <w:szCs w:val="22"/>
              </w:rPr>
              <w:t>уд. вес, %</w:t>
            </w:r>
          </w:p>
        </w:tc>
        <w:tc>
          <w:tcPr>
            <w:tcW w:w="1048" w:type="dxa"/>
            <w:vMerge/>
            <w:tcBorders>
              <w:bottom w:val="double" w:sz="4" w:space="0" w:color="auto"/>
            </w:tcBorders>
          </w:tcPr>
          <w:p w:rsidR="00C20988" w:rsidRPr="00A156CF" w:rsidRDefault="00C20988" w:rsidP="00A156CF">
            <w:pPr>
              <w:widowControl w:val="0"/>
              <w:jc w:val="center"/>
              <w:rPr>
                <w:snapToGrid w:val="0"/>
                <w:sz w:val="22"/>
                <w:szCs w:val="22"/>
              </w:rPr>
            </w:pPr>
          </w:p>
        </w:tc>
      </w:tr>
      <w:tr w:rsidR="00C20988" w:rsidRPr="00A156CF" w:rsidTr="00A156CF">
        <w:trPr>
          <w:trHeight w:val="131"/>
        </w:trPr>
        <w:tc>
          <w:tcPr>
            <w:tcW w:w="4111" w:type="dxa"/>
            <w:tcBorders>
              <w:top w:val="double" w:sz="4" w:space="0" w:color="auto"/>
            </w:tcBorders>
            <w:shd w:val="clear" w:color="auto" w:fill="E0E0E0"/>
            <w:vAlign w:val="bottom"/>
          </w:tcPr>
          <w:p w:rsidR="00C20988" w:rsidRPr="00A156CF" w:rsidRDefault="00C20988" w:rsidP="00A156CF">
            <w:pPr>
              <w:widowControl w:val="0"/>
              <w:rPr>
                <w:sz w:val="22"/>
                <w:szCs w:val="22"/>
              </w:rPr>
            </w:pPr>
            <w:r w:rsidRPr="00A156CF">
              <w:rPr>
                <w:sz w:val="22"/>
                <w:szCs w:val="22"/>
              </w:rPr>
              <w:t xml:space="preserve">ВВП </w:t>
            </w:r>
          </w:p>
        </w:tc>
        <w:tc>
          <w:tcPr>
            <w:tcW w:w="1195" w:type="dxa"/>
            <w:tcBorders>
              <w:top w:val="double" w:sz="4" w:space="0" w:color="auto"/>
            </w:tcBorders>
            <w:shd w:val="clear" w:color="auto" w:fill="E0E0E0"/>
            <w:vAlign w:val="bottom"/>
          </w:tcPr>
          <w:p w:rsidR="00C20988" w:rsidRPr="00A156CF" w:rsidRDefault="00C20988" w:rsidP="00A156CF">
            <w:pPr>
              <w:widowControl w:val="0"/>
              <w:ind w:right="95"/>
              <w:jc w:val="right"/>
              <w:rPr>
                <w:snapToGrid w:val="0"/>
                <w:sz w:val="22"/>
                <w:szCs w:val="22"/>
              </w:rPr>
            </w:pPr>
            <w:r>
              <w:rPr>
                <w:snapToGrid w:val="0"/>
                <w:sz w:val="22"/>
                <w:szCs w:val="22"/>
              </w:rPr>
              <w:t>12 262,4</w:t>
            </w:r>
          </w:p>
        </w:tc>
        <w:tc>
          <w:tcPr>
            <w:tcW w:w="1003" w:type="dxa"/>
            <w:tcBorders>
              <w:top w:val="double" w:sz="4" w:space="0" w:color="auto"/>
            </w:tcBorders>
            <w:shd w:val="clear" w:color="auto" w:fill="E0E0E0"/>
            <w:vAlign w:val="bottom"/>
          </w:tcPr>
          <w:p w:rsidR="00C20988" w:rsidRPr="00A156CF" w:rsidRDefault="00C20988" w:rsidP="00A156CF">
            <w:pPr>
              <w:widowControl w:val="0"/>
              <w:ind w:right="170"/>
              <w:jc w:val="right"/>
              <w:rPr>
                <w:snapToGrid w:val="0"/>
                <w:sz w:val="22"/>
                <w:szCs w:val="22"/>
              </w:rPr>
            </w:pPr>
            <w:r w:rsidRPr="00A156CF">
              <w:rPr>
                <w:snapToGrid w:val="0"/>
                <w:sz w:val="22"/>
                <w:szCs w:val="22"/>
              </w:rPr>
              <w:t>100,0</w:t>
            </w:r>
          </w:p>
        </w:tc>
        <w:tc>
          <w:tcPr>
            <w:tcW w:w="1208" w:type="dxa"/>
            <w:tcBorders>
              <w:top w:val="double" w:sz="4" w:space="0" w:color="auto"/>
            </w:tcBorders>
            <w:shd w:val="clear" w:color="auto" w:fill="E0E0E0"/>
            <w:vAlign w:val="bottom"/>
          </w:tcPr>
          <w:p w:rsidR="00C20988" w:rsidRPr="00A156CF" w:rsidRDefault="00C20988" w:rsidP="00A156CF">
            <w:pPr>
              <w:widowControl w:val="0"/>
              <w:ind w:right="116"/>
              <w:jc w:val="right"/>
              <w:rPr>
                <w:snapToGrid w:val="0"/>
                <w:sz w:val="22"/>
                <w:szCs w:val="22"/>
              </w:rPr>
            </w:pPr>
            <w:r w:rsidRPr="00A156CF">
              <w:rPr>
                <w:snapToGrid w:val="0"/>
                <w:sz w:val="22"/>
                <w:szCs w:val="22"/>
              </w:rPr>
              <w:t>13 800,1</w:t>
            </w:r>
          </w:p>
        </w:tc>
        <w:tc>
          <w:tcPr>
            <w:tcW w:w="1078" w:type="dxa"/>
            <w:tcBorders>
              <w:top w:val="double" w:sz="4" w:space="0" w:color="auto"/>
            </w:tcBorders>
            <w:shd w:val="clear" w:color="auto" w:fill="E0E0E0"/>
            <w:vAlign w:val="bottom"/>
          </w:tcPr>
          <w:p w:rsidR="00C20988" w:rsidRPr="00A156CF" w:rsidRDefault="00C20988" w:rsidP="00A156CF">
            <w:pPr>
              <w:widowControl w:val="0"/>
              <w:ind w:right="172"/>
              <w:jc w:val="right"/>
              <w:rPr>
                <w:snapToGrid w:val="0"/>
                <w:sz w:val="22"/>
                <w:szCs w:val="22"/>
              </w:rPr>
            </w:pPr>
            <w:r w:rsidRPr="00A156CF">
              <w:rPr>
                <w:snapToGrid w:val="0"/>
                <w:sz w:val="22"/>
                <w:szCs w:val="22"/>
              </w:rPr>
              <w:t>100,0</w:t>
            </w:r>
          </w:p>
        </w:tc>
        <w:tc>
          <w:tcPr>
            <w:tcW w:w="1048" w:type="dxa"/>
            <w:tcBorders>
              <w:top w:val="double" w:sz="4" w:space="0" w:color="auto"/>
            </w:tcBorders>
            <w:shd w:val="clear" w:color="auto" w:fill="E0E0E0"/>
            <w:vAlign w:val="bottom"/>
          </w:tcPr>
          <w:p w:rsidR="00C20988" w:rsidRPr="00A156CF" w:rsidRDefault="00C20988" w:rsidP="00A156CF">
            <w:pPr>
              <w:widowControl w:val="0"/>
              <w:ind w:left="-170" w:right="167"/>
              <w:jc w:val="right"/>
              <w:rPr>
                <w:snapToGrid w:val="0"/>
                <w:sz w:val="22"/>
                <w:szCs w:val="22"/>
              </w:rPr>
            </w:pPr>
            <w:r w:rsidRPr="00A156CF">
              <w:rPr>
                <w:snapToGrid w:val="0"/>
                <w:sz w:val="22"/>
                <w:szCs w:val="22"/>
              </w:rPr>
              <w:t>103,6</w:t>
            </w:r>
          </w:p>
        </w:tc>
      </w:tr>
      <w:tr w:rsidR="00C20988" w:rsidRPr="00A156CF" w:rsidTr="00A156CF">
        <w:tc>
          <w:tcPr>
            <w:tcW w:w="4111" w:type="dxa"/>
            <w:vAlign w:val="bottom"/>
          </w:tcPr>
          <w:p w:rsidR="00C20988" w:rsidRPr="00A156CF" w:rsidRDefault="00C20988" w:rsidP="00A156CF">
            <w:pPr>
              <w:widowControl w:val="0"/>
              <w:ind w:left="176"/>
              <w:rPr>
                <w:snapToGrid w:val="0"/>
                <w:sz w:val="22"/>
                <w:szCs w:val="22"/>
              </w:rPr>
            </w:pPr>
            <w:r w:rsidRPr="00A156CF">
              <w:rPr>
                <w:snapToGrid w:val="0"/>
                <w:sz w:val="22"/>
                <w:szCs w:val="22"/>
              </w:rPr>
              <w:t>в том числе:</w:t>
            </w:r>
          </w:p>
        </w:tc>
        <w:tc>
          <w:tcPr>
            <w:tcW w:w="1195" w:type="dxa"/>
            <w:vAlign w:val="bottom"/>
          </w:tcPr>
          <w:p w:rsidR="00C20988" w:rsidRPr="00A156CF" w:rsidRDefault="00C20988" w:rsidP="00A156CF">
            <w:pPr>
              <w:widowControl w:val="0"/>
              <w:ind w:right="95"/>
              <w:jc w:val="right"/>
              <w:rPr>
                <w:snapToGrid w:val="0"/>
                <w:sz w:val="22"/>
                <w:szCs w:val="22"/>
              </w:rPr>
            </w:pPr>
          </w:p>
        </w:tc>
        <w:tc>
          <w:tcPr>
            <w:tcW w:w="1003" w:type="dxa"/>
            <w:vAlign w:val="bottom"/>
          </w:tcPr>
          <w:p w:rsidR="00C20988" w:rsidRPr="00A156CF" w:rsidRDefault="00C20988" w:rsidP="00A156CF">
            <w:pPr>
              <w:widowControl w:val="0"/>
              <w:ind w:right="170"/>
              <w:jc w:val="right"/>
              <w:rPr>
                <w:snapToGrid w:val="0"/>
                <w:sz w:val="22"/>
                <w:szCs w:val="22"/>
              </w:rPr>
            </w:pPr>
          </w:p>
        </w:tc>
        <w:tc>
          <w:tcPr>
            <w:tcW w:w="1208" w:type="dxa"/>
            <w:vAlign w:val="bottom"/>
          </w:tcPr>
          <w:p w:rsidR="00C20988" w:rsidRPr="00A156CF" w:rsidRDefault="00C20988" w:rsidP="00A156CF">
            <w:pPr>
              <w:widowControl w:val="0"/>
              <w:ind w:right="116"/>
              <w:jc w:val="right"/>
              <w:rPr>
                <w:snapToGrid w:val="0"/>
                <w:sz w:val="22"/>
                <w:szCs w:val="22"/>
              </w:rPr>
            </w:pPr>
          </w:p>
        </w:tc>
        <w:tc>
          <w:tcPr>
            <w:tcW w:w="1078" w:type="dxa"/>
            <w:vAlign w:val="bottom"/>
          </w:tcPr>
          <w:p w:rsidR="00C20988" w:rsidRPr="00A156CF" w:rsidRDefault="00C20988" w:rsidP="00A156CF">
            <w:pPr>
              <w:widowControl w:val="0"/>
              <w:ind w:right="172"/>
              <w:jc w:val="right"/>
              <w:rPr>
                <w:snapToGrid w:val="0"/>
                <w:sz w:val="22"/>
                <w:szCs w:val="22"/>
              </w:rPr>
            </w:pPr>
          </w:p>
        </w:tc>
        <w:tc>
          <w:tcPr>
            <w:tcW w:w="1048" w:type="dxa"/>
            <w:vAlign w:val="bottom"/>
          </w:tcPr>
          <w:p w:rsidR="00C20988" w:rsidRPr="00A156CF" w:rsidRDefault="00C20988" w:rsidP="00A156CF">
            <w:pPr>
              <w:widowControl w:val="0"/>
              <w:ind w:left="-170" w:right="167"/>
              <w:jc w:val="right"/>
              <w:rPr>
                <w:snapToGrid w:val="0"/>
                <w:sz w:val="22"/>
                <w:szCs w:val="22"/>
              </w:rPr>
            </w:pPr>
          </w:p>
        </w:tc>
      </w:tr>
      <w:tr w:rsidR="00C20988" w:rsidRPr="00A156CF" w:rsidTr="00A156CF">
        <w:tc>
          <w:tcPr>
            <w:tcW w:w="4111" w:type="dxa"/>
            <w:vAlign w:val="bottom"/>
          </w:tcPr>
          <w:p w:rsidR="00C20988" w:rsidRPr="00A156CF" w:rsidRDefault="00C20988" w:rsidP="00A156CF">
            <w:pPr>
              <w:widowControl w:val="0"/>
              <w:ind w:left="176"/>
              <w:rPr>
                <w:snapToGrid w:val="0"/>
                <w:sz w:val="22"/>
                <w:szCs w:val="22"/>
              </w:rPr>
            </w:pPr>
            <w:r w:rsidRPr="00A156CF">
              <w:rPr>
                <w:snapToGrid w:val="0"/>
                <w:sz w:val="22"/>
                <w:szCs w:val="22"/>
              </w:rPr>
              <w:t>- производство товаров</w:t>
            </w:r>
          </w:p>
        </w:tc>
        <w:tc>
          <w:tcPr>
            <w:tcW w:w="1195" w:type="dxa"/>
            <w:vAlign w:val="bottom"/>
          </w:tcPr>
          <w:p w:rsidR="00C20988" w:rsidRPr="00A156CF" w:rsidRDefault="00C20988" w:rsidP="00A156CF">
            <w:pPr>
              <w:widowControl w:val="0"/>
              <w:ind w:right="95"/>
              <w:jc w:val="right"/>
              <w:rPr>
                <w:snapToGrid w:val="0"/>
                <w:sz w:val="22"/>
                <w:szCs w:val="22"/>
              </w:rPr>
            </w:pPr>
            <w:r w:rsidRPr="00A156CF">
              <w:rPr>
                <w:snapToGrid w:val="0"/>
                <w:sz w:val="22"/>
                <w:szCs w:val="22"/>
              </w:rPr>
              <w:t>4 971,8</w:t>
            </w:r>
          </w:p>
        </w:tc>
        <w:tc>
          <w:tcPr>
            <w:tcW w:w="1003" w:type="dxa"/>
            <w:vAlign w:val="bottom"/>
          </w:tcPr>
          <w:p w:rsidR="00C20988" w:rsidRPr="00A156CF" w:rsidRDefault="00C20988" w:rsidP="00936B42">
            <w:pPr>
              <w:widowControl w:val="0"/>
              <w:ind w:right="170"/>
              <w:jc w:val="right"/>
              <w:rPr>
                <w:snapToGrid w:val="0"/>
                <w:sz w:val="22"/>
                <w:szCs w:val="22"/>
              </w:rPr>
            </w:pPr>
            <w:r w:rsidRPr="00A156CF">
              <w:rPr>
                <w:snapToGrid w:val="0"/>
                <w:sz w:val="22"/>
                <w:szCs w:val="22"/>
              </w:rPr>
              <w:t>40,</w:t>
            </w:r>
            <w:r>
              <w:rPr>
                <w:snapToGrid w:val="0"/>
                <w:sz w:val="22"/>
                <w:szCs w:val="22"/>
              </w:rPr>
              <w:t>5</w:t>
            </w:r>
          </w:p>
        </w:tc>
        <w:tc>
          <w:tcPr>
            <w:tcW w:w="1208" w:type="dxa"/>
            <w:vAlign w:val="bottom"/>
          </w:tcPr>
          <w:p w:rsidR="00C20988" w:rsidRPr="00A156CF" w:rsidRDefault="00C20988" w:rsidP="00A156CF">
            <w:pPr>
              <w:widowControl w:val="0"/>
              <w:ind w:right="116"/>
              <w:jc w:val="right"/>
              <w:rPr>
                <w:snapToGrid w:val="0"/>
                <w:sz w:val="22"/>
                <w:szCs w:val="22"/>
              </w:rPr>
            </w:pPr>
            <w:r w:rsidRPr="00A156CF">
              <w:rPr>
                <w:snapToGrid w:val="0"/>
                <w:sz w:val="22"/>
                <w:szCs w:val="22"/>
              </w:rPr>
              <w:t>5 755,5</w:t>
            </w:r>
          </w:p>
        </w:tc>
        <w:tc>
          <w:tcPr>
            <w:tcW w:w="1078" w:type="dxa"/>
            <w:vAlign w:val="bottom"/>
          </w:tcPr>
          <w:p w:rsidR="00C20988" w:rsidRPr="00A156CF" w:rsidRDefault="00C20988" w:rsidP="00A156CF">
            <w:pPr>
              <w:widowControl w:val="0"/>
              <w:ind w:right="172"/>
              <w:jc w:val="right"/>
              <w:rPr>
                <w:snapToGrid w:val="0"/>
                <w:sz w:val="22"/>
                <w:szCs w:val="22"/>
              </w:rPr>
            </w:pPr>
            <w:r w:rsidRPr="00A156CF">
              <w:rPr>
                <w:snapToGrid w:val="0"/>
                <w:sz w:val="22"/>
                <w:szCs w:val="22"/>
              </w:rPr>
              <w:t>41,7</w:t>
            </w:r>
          </w:p>
        </w:tc>
        <w:tc>
          <w:tcPr>
            <w:tcW w:w="1048" w:type="dxa"/>
            <w:vAlign w:val="bottom"/>
          </w:tcPr>
          <w:p w:rsidR="00C20988" w:rsidRPr="00A156CF" w:rsidRDefault="00C20988" w:rsidP="004A4ABA">
            <w:pPr>
              <w:widowControl w:val="0"/>
              <w:ind w:left="-170" w:right="167"/>
              <w:jc w:val="right"/>
              <w:rPr>
                <w:snapToGrid w:val="0"/>
                <w:sz w:val="22"/>
                <w:szCs w:val="22"/>
              </w:rPr>
            </w:pPr>
            <w:r>
              <w:rPr>
                <w:snapToGrid w:val="0"/>
                <w:sz w:val="22"/>
                <w:szCs w:val="22"/>
              </w:rPr>
              <w:t>108,6</w:t>
            </w:r>
          </w:p>
        </w:tc>
      </w:tr>
      <w:tr w:rsidR="00C20988" w:rsidRPr="00A156CF" w:rsidTr="00A156CF">
        <w:tc>
          <w:tcPr>
            <w:tcW w:w="4111" w:type="dxa"/>
            <w:vAlign w:val="bottom"/>
          </w:tcPr>
          <w:p w:rsidR="00C20988" w:rsidRPr="00A156CF" w:rsidRDefault="00C20988" w:rsidP="00A156CF">
            <w:pPr>
              <w:widowControl w:val="0"/>
              <w:ind w:left="176"/>
              <w:rPr>
                <w:snapToGrid w:val="0"/>
                <w:sz w:val="22"/>
                <w:szCs w:val="22"/>
              </w:rPr>
            </w:pPr>
            <w:r w:rsidRPr="00A156CF">
              <w:rPr>
                <w:snapToGrid w:val="0"/>
                <w:sz w:val="22"/>
                <w:szCs w:val="22"/>
              </w:rPr>
              <w:t>- производство рыночных услуг</w:t>
            </w:r>
          </w:p>
        </w:tc>
        <w:tc>
          <w:tcPr>
            <w:tcW w:w="1195" w:type="dxa"/>
            <w:vAlign w:val="bottom"/>
          </w:tcPr>
          <w:p w:rsidR="00C20988" w:rsidRPr="00A156CF" w:rsidRDefault="00C20988" w:rsidP="00A156CF">
            <w:pPr>
              <w:widowControl w:val="0"/>
              <w:ind w:right="95"/>
              <w:jc w:val="right"/>
              <w:rPr>
                <w:snapToGrid w:val="0"/>
                <w:sz w:val="22"/>
                <w:szCs w:val="22"/>
              </w:rPr>
            </w:pPr>
            <w:r w:rsidRPr="00A156CF">
              <w:rPr>
                <w:snapToGrid w:val="0"/>
                <w:sz w:val="22"/>
                <w:szCs w:val="22"/>
              </w:rPr>
              <w:t>3 820,0</w:t>
            </w:r>
          </w:p>
        </w:tc>
        <w:tc>
          <w:tcPr>
            <w:tcW w:w="1003" w:type="dxa"/>
            <w:vAlign w:val="bottom"/>
          </w:tcPr>
          <w:p w:rsidR="00C20988" w:rsidRPr="00A156CF" w:rsidRDefault="00C20988" w:rsidP="00A156CF">
            <w:pPr>
              <w:widowControl w:val="0"/>
              <w:ind w:right="170"/>
              <w:jc w:val="right"/>
              <w:rPr>
                <w:snapToGrid w:val="0"/>
                <w:sz w:val="22"/>
                <w:szCs w:val="22"/>
              </w:rPr>
            </w:pPr>
            <w:r w:rsidRPr="00A156CF">
              <w:rPr>
                <w:snapToGrid w:val="0"/>
                <w:sz w:val="22"/>
                <w:szCs w:val="22"/>
              </w:rPr>
              <w:t>31,2</w:t>
            </w:r>
          </w:p>
        </w:tc>
        <w:tc>
          <w:tcPr>
            <w:tcW w:w="1208" w:type="dxa"/>
            <w:vAlign w:val="bottom"/>
          </w:tcPr>
          <w:p w:rsidR="00C20988" w:rsidRPr="00A156CF" w:rsidRDefault="00C20988" w:rsidP="00A156CF">
            <w:pPr>
              <w:widowControl w:val="0"/>
              <w:ind w:right="116"/>
              <w:jc w:val="right"/>
              <w:rPr>
                <w:snapToGrid w:val="0"/>
                <w:sz w:val="22"/>
                <w:szCs w:val="22"/>
              </w:rPr>
            </w:pPr>
            <w:r w:rsidRPr="00A156CF">
              <w:rPr>
                <w:snapToGrid w:val="0"/>
                <w:sz w:val="22"/>
                <w:szCs w:val="22"/>
              </w:rPr>
              <w:t>4 335,8</w:t>
            </w:r>
          </w:p>
        </w:tc>
        <w:tc>
          <w:tcPr>
            <w:tcW w:w="1078" w:type="dxa"/>
            <w:vAlign w:val="bottom"/>
          </w:tcPr>
          <w:p w:rsidR="00C20988" w:rsidRPr="00A156CF" w:rsidRDefault="00C20988" w:rsidP="00A156CF">
            <w:pPr>
              <w:widowControl w:val="0"/>
              <w:ind w:right="172"/>
              <w:jc w:val="right"/>
              <w:rPr>
                <w:snapToGrid w:val="0"/>
                <w:sz w:val="22"/>
                <w:szCs w:val="22"/>
              </w:rPr>
            </w:pPr>
            <w:r w:rsidRPr="00A156CF">
              <w:rPr>
                <w:snapToGrid w:val="0"/>
                <w:sz w:val="22"/>
                <w:szCs w:val="22"/>
              </w:rPr>
              <w:t>31,4</w:t>
            </w:r>
          </w:p>
        </w:tc>
        <w:tc>
          <w:tcPr>
            <w:tcW w:w="1048" w:type="dxa"/>
            <w:vAlign w:val="bottom"/>
          </w:tcPr>
          <w:p w:rsidR="00C20988" w:rsidRPr="00A156CF" w:rsidRDefault="00C20988" w:rsidP="00A156CF">
            <w:pPr>
              <w:widowControl w:val="0"/>
              <w:ind w:left="-170" w:right="167"/>
              <w:jc w:val="right"/>
              <w:rPr>
                <w:snapToGrid w:val="0"/>
                <w:sz w:val="22"/>
                <w:szCs w:val="22"/>
              </w:rPr>
            </w:pPr>
            <w:r w:rsidRPr="00A156CF">
              <w:rPr>
                <w:snapToGrid w:val="0"/>
                <w:sz w:val="22"/>
                <w:szCs w:val="22"/>
              </w:rPr>
              <w:t>103,7</w:t>
            </w:r>
          </w:p>
        </w:tc>
      </w:tr>
      <w:tr w:rsidR="00C20988" w:rsidRPr="00A156CF" w:rsidTr="00A156CF">
        <w:tc>
          <w:tcPr>
            <w:tcW w:w="4111" w:type="dxa"/>
            <w:vAlign w:val="bottom"/>
          </w:tcPr>
          <w:p w:rsidR="00C20988" w:rsidRPr="00A156CF" w:rsidRDefault="00C20988" w:rsidP="00A156CF">
            <w:pPr>
              <w:widowControl w:val="0"/>
              <w:ind w:left="176"/>
              <w:rPr>
                <w:snapToGrid w:val="0"/>
                <w:sz w:val="22"/>
                <w:szCs w:val="22"/>
              </w:rPr>
            </w:pPr>
            <w:r w:rsidRPr="00A156CF">
              <w:rPr>
                <w:snapToGrid w:val="0"/>
                <w:sz w:val="22"/>
                <w:szCs w:val="22"/>
              </w:rPr>
              <w:t>- производство нерыночных услуг</w:t>
            </w:r>
          </w:p>
        </w:tc>
        <w:tc>
          <w:tcPr>
            <w:tcW w:w="1195" w:type="dxa"/>
            <w:vAlign w:val="bottom"/>
          </w:tcPr>
          <w:p w:rsidR="00C20988" w:rsidRPr="00A156CF" w:rsidRDefault="00C20988" w:rsidP="00A156CF">
            <w:pPr>
              <w:widowControl w:val="0"/>
              <w:ind w:right="95"/>
              <w:jc w:val="right"/>
              <w:rPr>
                <w:snapToGrid w:val="0"/>
                <w:sz w:val="22"/>
                <w:szCs w:val="22"/>
              </w:rPr>
            </w:pPr>
            <w:r w:rsidRPr="00A156CF">
              <w:rPr>
                <w:snapToGrid w:val="0"/>
                <w:sz w:val="22"/>
                <w:szCs w:val="22"/>
              </w:rPr>
              <w:t>3 378,5</w:t>
            </w:r>
          </w:p>
        </w:tc>
        <w:tc>
          <w:tcPr>
            <w:tcW w:w="1003" w:type="dxa"/>
            <w:vAlign w:val="bottom"/>
          </w:tcPr>
          <w:p w:rsidR="00C20988" w:rsidRPr="00A156CF" w:rsidRDefault="00C20988" w:rsidP="00A156CF">
            <w:pPr>
              <w:widowControl w:val="0"/>
              <w:ind w:right="170"/>
              <w:jc w:val="right"/>
              <w:rPr>
                <w:snapToGrid w:val="0"/>
                <w:sz w:val="22"/>
                <w:szCs w:val="22"/>
              </w:rPr>
            </w:pPr>
            <w:r w:rsidRPr="00A156CF">
              <w:rPr>
                <w:snapToGrid w:val="0"/>
                <w:sz w:val="22"/>
                <w:szCs w:val="22"/>
              </w:rPr>
              <w:t>27,</w:t>
            </w:r>
            <w:r>
              <w:rPr>
                <w:snapToGrid w:val="0"/>
                <w:sz w:val="22"/>
                <w:szCs w:val="22"/>
              </w:rPr>
              <w:t>6</w:t>
            </w:r>
          </w:p>
        </w:tc>
        <w:tc>
          <w:tcPr>
            <w:tcW w:w="1208" w:type="dxa"/>
            <w:vAlign w:val="bottom"/>
          </w:tcPr>
          <w:p w:rsidR="00C20988" w:rsidRPr="00A156CF" w:rsidRDefault="00C20988" w:rsidP="00A156CF">
            <w:pPr>
              <w:widowControl w:val="0"/>
              <w:ind w:right="116"/>
              <w:jc w:val="right"/>
              <w:rPr>
                <w:snapToGrid w:val="0"/>
                <w:sz w:val="22"/>
                <w:szCs w:val="22"/>
              </w:rPr>
            </w:pPr>
            <w:r w:rsidRPr="00A156CF">
              <w:rPr>
                <w:snapToGrid w:val="0"/>
                <w:sz w:val="22"/>
                <w:szCs w:val="22"/>
              </w:rPr>
              <w:t>3 291,7</w:t>
            </w:r>
          </w:p>
        </w:tc>
        <w:tc>
          <w:tcPr>
            <w:tcW w:w="1078" w:type="dxa"/>
            <w:vAlign w:val="bottom"/>
          </w:tcPr>
          <w:p w:rsidR="00C20988" w:rsidRPr="00A156CF" w:rsidRDefault="00C20988" w:rsidP="00A156CF">
            <w:pPr>
              <w:widowControl w:val="0"/>
              <w:ind w:right="172"/>
              <w:jc w:val="right"/>
              <w:rPr>
                <w:snapToGrid w:val="0"/>
                <w:sz w:val="22"/>
                <w:szCs w:val="22"/>
              </w:rPr>
            </w:pPr>
            <w:r w:rsidRPr="00A156CF">
              <w:rPr>
                <w:snapToGrid w:val="0"/>
                <w:sz w:val="22"/>
                <w:szCs w:val="22"/>
              </w:rPr>
              <w:t>23,9</w:t>
            </w:r>
          </w:p>
        </w:tc>
        <w:tc>
          <w:tcPr>
            <w:tcW w:w="1048" w:type="dxa"/>
            <w:vAlign w:val="bottom"/>
          </w:tcPr>
          <w:p w:rsidR="00C20988" w:rsidRPr="00A156CF" w:rsidRDefault="00C20988" w:rsidP="00A156CF">
            <w:pPr>
              <w:widowControl w:val="0"/>
              <w:ind w:left="-170" w:right="167"/>
              <w:jc w:val="right"/>
              <w:rPr>
                <w:snapToGrid w:val="0"/>
                <w:sz w:val="22"/>
                <w:szCs w:val="22"/>
              </w:rPr>
            </w:pPr>
            <w:r w:rsidRPr="00A156CF">
              <w:rPr>
                <w:snapToGrid w:val="0"/>
                <w:sz w:val="22"/>
                <w:szCs w:val="22"/>
              </w:rPr>
              <w:t>87,7</w:t>
            </w:r>
          </w:p>
        </w:tc>
      </w:tr>
      <w:tr w:rsidR="00C20988" w:rsidRPr="00A156CF" w:rsidTr="00A156CF">
        <w:trPr>
          <w:trHeight w:val="71"/>
        </w:trPr>
        <w:tc>
          <w:tcPr>
            <w:tcW w:w="4111" w:type="dxa"/>
            <w:vAlign w:val="bottom"/>
          </w:tcPr>
          <w:p w:rsidR="00C20988" w:rsidRPr="004A4ABA" w:rsidRDefault="00C20988" w:rsidP="00A156CF">
            <w:pPr>
              <w:widowControl w:val="0"/>
              <w:ind w:left="176" w:right="-156"/>
              <w:rPr>
                <w:snapToGrid w:val="0"/>
                <w:sz w:val="22"/>
                <w:szCs w:val="22"/>
              </w:rPr>
            </w:pPr>
            <w:r w:rsidRPr="004A4ABA">
              <w:rPr>
                <w:snapToGrid w:val="0"/>
                <w:sz w:val="22"/>
                <w:szCs w:val="22"/>
              </w:rPr>
              <w:t>- чистые налоги на продукты и импорт</w:t>
            </w:r>
          </w:p>
        </w:tc>
        <w:tc>
          <w:tcPr>
            <w:tcW w:w="1195" w:type="dxa"/>
            <w:vAlign w:val="bottom"/>
          </w:tcPr>
          <w:p w:rsidR="00C20988" w:rsidRPr="004A4ABA" w:rsidRDefault="00C20988" w:rsidP="00A156CF">
            <w:pPr>
              <w:widowControl w:val="0"/>
              <w:ind w:right="95"/>
              <w:jc w:val="right"/>
              <w:rPr>
                <w:snapToGrid w:val="0"/>
                <w:sz w:val="22"/>
                <w:szCs w:val="22"/>
              </w:rPr>
            </w:pPr>
            <w:r w:rsidRPr="004A4ABA">
              <w:rPr>
                <w:snapToGrid w:val="0"/>
                <w:sz w:val="22"/>
                <w:szCs w:val="22"/>
              </w:rPr>
              <w:t>92,1</w:t>
            </w:r>
          </w:p>
        </w:tc>
        <w:tc>
          <w:tcPr>
            <w:tcW w:w="1003" w:type="dxa"/>
            <w:vAlign w:val="bottom"/>
          </w:tcPr>
          <w:p w:rsidR="00C20988" w:rsidRPr="004A4ABA" w:rsidRDefault="00C20988" w:rsidP="00A156CF">
            <w:pPr>
              <w:widowControl w:val="0"/>
              <w:ind w:right="170"/>
              <w:jc w:val="right"/>
              <w:rPr>
                <w:snapToGrid w:val="0"/>
                <w:sz w:val="22"/>
                <w:szCs w:val="22"/>
              </w:rPr>
            </w:pPr>
            <w:r w:rsidRPr="004A4ABA">
              <w:rPr>
                <w:snapToGrid w:val="0"/>
                <w:sz w:val="22"/>
                <w:szCs w:val="22"/>
              </w:rPr>
              <w:t>0,8</w:t>
            </w:r>
          </w:p>
        </w:tc>
        <w:tc>
          <w:tcPr>
            <w:tcW w:w="1208" w:type="dxa"/>
            <w:vAlign w:val="bottom"/>
          </w:tcPr>
          <w:p w:rsidR="00C20988" w:rsidRPr="004A4ABA" w:rsidRDefault="00C20988" w:rsidP="00A156CF">
            <w:pPr>
              <w:widowControl w:val="0"/>
              <w:ind w:right="116"/>
              <w:jc w:val="right"/>
              <w:rPr>
                <w:snapToGrid w:val="0"/>
                <w:sz w:val="22"/>
                <w:szCs w:val="22"/>
              </w:rPr>
            </w:pPr>
            <w:r w:rsidRPr="004A4ABA">
              <w:rPr>
                <w:snapToGrid w:val="0"/>
                <w:sz w:val="22"/>
                <w:szCs w:val="22"/>
              </w:rPr>
              <w:t>417,1</w:t>
            </w:r>
          </w:p>
        </w:tc>
        <w:tc>
          <w:tcPr>
            <w:tcW w:w="1078" w:type="dxa"/>
            <w:vAlign w:val="bottom"/>
          </w:tcPr>
          <w:p w:rsidR="00C20988" w:rsidRPr="004A4ABA" w:rsidRDefault="00C20988" w:rsidP="00A156CF">
            <w:pPr>
              <w:widowControl w:val="0"/>
              <w:ind w:right="172"/>
              <w:jc w:val="right"/>
              <w:rPr>
                <w:snapToGrid w:val="0"/>
                <w:sz w:val="22"/>
                <w:szCs w:val="22"/>
              </w:rPr>
            </w:pPr>
            <w:r w:rsidRPr="004A4ABA">
              <w:rPr>
                <w:snapToGrid w:val="0"/>
                <w:sz w:val="22"/>
                <w:szCs w:val="22"/>
              </w:rPr>
              <w:t>3,0</w:t>
            </w:r>
          </w:p>
        </w:tc>
        <w:tc>
          <w:tcPr>
            <w:tcW w:w="1048" w:type="dxa"/>
            <w:vAlign w:val="bottom"/>
          </w:tcPr>
          <w:p w:rsidR="00C20988" w:rsidRPr="00A156CF" w:rsidRDefault="00C20988" w:rsidP="00233B58">
            <w:pPr>
              <w:widowControl w:val="0"/>
              <w:jc w:val="center"/>
              <w:rPr>
                <w:snapToGrid w:val="0"/>
                <w:sz w:val="22"/>
                <w:szCs w:val="22"/>
              </w:rPr>
            </w:pPr>
            <w:r w:rsidRPr="004A4ABA">
              <w:rPr>
                <w:snapToGrid w:val="0"/>
                <w:sz w:val="22"/>
                <w:szCs w:val="22"/>
              </w:rPr>
              <w:t>в 4,1 р.</w:t>
            </w:r>
          </w:p>
        </w:tc>
      </w:tr>
    </w:tbl>
    <w:p w:rsidR="00C20988" w:rsidRPr="00EA1E8A" w:rsidRDefault="00C20988" w:rsidP="00FE43CA">
      <w:pPr>
        <w:widowControl w:val="0"/>
        <w:spacing w:before="120"/>
        <w:ind w:firstLine="425"/>
        <w:jc w:val="both"/>
        <w:rPr>
          <w:sz w:val="24"/>
          <w:szCs w:val="24"/>
        </w:rPr>
      </w:pPr>
      <w:r w:rsidRPr="00A156CF">
        <w:rPr>
          <w:sz w:val="24"/>
          <w:szCs w:val="24"/>
        </w:rPr>
        <w:t xml:space="preserve">Повышательная динамика добавленных стоимостей фиксировалась по всем структурным элементам, за исключением нерыночных услуг. В реальном выражении объём вновь созданной стоимости в сегменте производства товаров возрос на </w:t>
      </w:r>
      <w:r>
        <w:rPr>
          <w:sz w:val="24"/>
          <w:szCs w:val="24"/>
        </w:rPr>
        <w:t>8</w:t>
      </w:r>
      <w:r w:rsidRPr="00A156CF">
        <w:rPr>
          <w:sz w:val="24"/>
          <w:szCs w:val="24"/>
        </w:rPr>
        <w:t>,6%, в том числе в промышленности – на 14,0%.</w:t>
      </w:r>
    </w:p>
    <w:p w:rsidR="00C20988" w:rsidRDefault="00C20988" w:rsidP="000D5444">
      <w:pPr>
        <w:spacing w:line="20" w:lineRule="atLeast"/>
        <w:ind w:right="-1" w:firstLine="425"/>
        <w:jc w:val="both"/>
        <w:rPr>
          <w:sz w:val="24"/>
          <w:szCs w:val="24"/>
        </w:rPr>
      </w:pPr>
      <w:r w:rsidRPr="00E03B19">
        <w:rPr>
          <w:sz w:val="24"/>
          <w:szCs w:val="24"/>
        </w:rPr>
        <w:t xml:space="preserve">Результаты деятельности </w:t>
      </w:r>
      <w:r>
        <w:rPr>
          <w:sz w:val="24"/>
          <w:szCs w:val="24"/>
        </w:rPr>
        <w:t xml:space="preserve">крупных и средних организаций </w:t>
      </w:r>
      <w:r w:rsidRPr="00E03B19">
        <w:rPr>
          <w:sz w:val="24"/>
          <w:szCs w:val="24"/>
        </w:rPr>
        <w:t xml:space="preserve">индустриального комплекса </w:t>
      </w:r>
      <w:r>
        <w:rPr>
          <w:sz w:val="24"/>
          <w:szCs w:val="24"/>
        </w:rPr>
        <w:t>Приднестровской Молдавской Республики</w:t>
      </w:r>
      <w:r w:rsidRPr="00E03B19">
        <w:rPr>
          <w:sz w:val="24"/>
          <w:szCs w:val="24"/>
        </w:rPr>
        <w:t xml:space="preserve"> по итогам 2018 года отразили прирост совокупного объёма производства на 8,5% в сопоставимых ценах к уровню 2017 года, что в стоимостном выражении составило</w:t>
      </w:r>
      <w:r>
        <w:rPr>
          <w:sz w:val="24"/>
          <w:szCs w:val="24"/>
        </w:rPr>
        <w:t xml:space="preserve"> </w:t>
      </w:r>
      <w:r w:rsidRPr="00E03B19">
        <w:rPr>
          <w:sz w:val="24"/>
          <w:szCs w:val="24"/>
        </w:rPr>
        <w:t>13 04</w:t>
      </w:r>
      <w:r>
        <w:rPr>
          <w:sz w:val="24"/>
          <w:szCs w:val="24"/>
        </w:rPr>
        <w:t>3,3</w:t>
      </w:r>
      <w:r w:rsidRPr="00E03B19">
        <w:rPr>
          <w:sz w:val="24"/>
          <w:szCs w:val="24"/>
        </w:rPr>
        <w:t xml:space="preserve"> млн руб. (табл. 1</w:t>
      </w:r>
      <w:r>
        <w:rPr>
          <w:sz w:val="24"/>
          <w:szCs w:val="24"/>
        </w:rPr>
        <w:t>.2</w:t>
      </w:r>
      <w:r w:rsidRPr="00E03B19">
        <w:rPr>
          <w:sz w:val="24"/>
          <w:szCs w:val="24"/>
        </w:rPr>
        <w:t>). Среднемесячный объём производства достиг 1 086,</w:t>
      </w:r>
      <w:r>
        <w:rPr>
          <w:sz w:val="24"/>
          <w:szCs w:val="24"/>
        </w:rPr>
        <w:t>9</w:t>
      </w:r>
      <w:r w:rsidRPr="00E03B19">
        <w:rPr>
          <w:sz w:val="24"/>
          <w:szCs w:val="24"/>
        </w:rPr>
        <w:t xml:space="preserve"> млн руб. против 797,0 млн руб. в 2017 год</w:t>
      </w:r>
      <w:r>
        <w:rPr>
          <w:sz w:val="24"/>
          <w:szCs w:val="24"/>
        </w:rPr>
        <w:t>у</w:t>
      </w:r>
      <w:r w:rsidRPr="00E03B19">
        <w:rPr>
          <w:sz w:val="24"/>
          <w:szCs w:val="24"/>
        </w:rPr>
        <w:t xml:space="preserve">. При этом без учёта </w:t>
      </w:r>
      <w:r>
        <w:rPr>
          <w:sz w:val="24"/>
          <w:szCs w:val="24"/>
        </w:rPr>
        <w:t xml:space="preserve">двух доминирующих отраслей – </w:t>
      </w:r>
      <w:r w:rsidRPr="00E03B19">
        <w:rPr>
          <w:sz w:val="24"/>
          <w:szCs w:val="24"/>
        </w:rPr>
        <w:t>электроэнергетики и чёрной металлургии, сформировавших в структуре совокупного показателя 63</w:t>
      </w:r>
      <w:r>
        <w:rPr>
          <w:sz w:val="24"/>
          <w:szCs w:val="24"/>
        </w:rPr>
        <w:t>,1</w:t>
      </w:r>
      <w:r w:rsidRPr="00E03B19">
        <w:rPr>
          <w:sz w:val="24"/>
          <w:szCs w:val="24"/>
        </w:rPr>
        <w:t>%, превышение базисных параметров сложилось на уровне 7,0%. Увеличение объёмов выпущенной продукции в сопоставимых ценах наблюдалось во всех отраслях, за исключением мукомольной, полиграфической и лёгкой промышленностей.</w:t>
      </w:r>
    </w:p>
    <w:p w:rsidR="00C20988" w:rsidRPr="0006584D" w:rsidRDefault="00C20988" w:rsidP="000D5444">
      <w:pPr>
        <w:spacing w:line="20" w:lineRule="atLeast"/>
        <w:ind w:firstLine="425"/>
        <w:jc w:val="both"/>
        <w:rPr>
          <w:sz w:val="24"/>
          <w:szCs w:val="24"/>
        </w:rPr>
      </w:pPr>
      <w:r w:rsidRPr="0006584D">
        <w:rPr>
          <w:sz w:val="24"/>
          <w:szCs w:val="24"/>
        </w:rPr>
        <w:t xml:space="preserve">Индекс физического объёма выпуска зафиксирован на отметке 105,7% к уровню </w:t>
      </w:r>
      <w:r>
        <w:rPr>
          <w:sz w:val="24"/>
          <w:szCs w:val="24"/>
        </w:rPr>
        <w:br/>
      </w:r>
      <w:r w:rsidRPr="0006584D">
        <w:rPr>
          <w:sz w:val="24"/>
          <w:szCs w:val="24"/>
        </w:rPr>
        <w:t xml:space="preserve">2017 года. При этом активизировать деятельность удалось 43 крупным предприятиям (57,3% от их общего числа), тогда как сокращение отмечено в 30 организациях (40,0%). К выполнению производственной программы не приступили 2 хозяйствующих субъекта. </w:t>
      </w:r>
    </w:p>
    <w:p w:rsidR="00C20988" w:rsidRPr="001D23ED" w:rsidRDefault="00C20988" w:rsidP="00E03B19">
      <w:pPr>
        <w:spacing w:line="20" w:lineRule="atLeast"/>
        <w:ind w:right="-1" w:firstLine="426"/>
        <w:jc w:val="both"/>
        <w:rPr>
          <w:sz w:val="24"/>
          <w:szCs w:val="24"/>
        </w:rPr>
      </w:pPr>
    </w:p>
    <w:p w:rsidR="00C20988" w:rsidRPr="001D23ED" w:rsidRDefault="00C20988" w:rsidP="00BE7BE0">
      <w:pPr>
        <w:pStyle w:val="Heading2"/>
        <w:widowControl w:val="0"/>
        <w:spacing w:before="60" w:after="60"/>
        <w:ind w:firstLine="425"/>
        <w:jc w:val="right"/>
        <w:rPr>
          <w:rFonts w:ascii="Times New Roman" w:hAnsi="Times New Roman" w:cs="Times New Roman"/>
          <w:bCs w:val="0"/>
          <w:i/>
          <w:sz w:val="24"/>
          <w:szCs w:val="24"/>
        </w:rPr>
      </w:pPr>
      <w:r w:rsidRPr="001D23ED">
        <w:rPr>
          <w:rFonts w:ascii="Times New Roman" w:hAnsi="Times New Roman" w:cs="Times New Roman"/>
          <w:bCs w:val="0"/>
          <w:i/>
          <w:sz w:val="24"/>
          <w:szCs w:val="24"/>
        </w:rPr>
        <w:t>Таблица 1.</w:t>
      </w:r>
      <w:r>
        <w:rPr>
          <w:rFonts w:ascii="Times New Roman" w:hAnsi="Times New Roman" w:cs="Times New Roman"/>
          <w:bCs w:val="0"/>
          <w:i/>
          <w:sz w:val="24"/>
          <w:szCs w:val="24"/>
        </w:rPr>
        <w:t>2</w:t>
      </w:r>
    </w:p>
    <w:p w:rsidR="00C20988" w:rsidRPr="001D23ED" w:rsidRDefault="00C20988" w:rsidP="00BE7BE0">
      <w:pPr>
        <w:widowControl w:val="0"/>
        <w:spacing w:before="120" w:after="120"/>
        <w:jc w:val="center"/>
        <w:rPr>
          <w:b/>
          <w:i/>
          <w:sz w:val="24"/>
          <w:szCs w:val="24"/>
        </w:rPr>
      </w:pPr>
      <w:r w:rsidRPr="001D23ED">
        <w:rPr>
          <w:b/>
          <w:i/>
          <w:sz w:val="24"/>
          <w:szCs w:val="24"/>
        </w:rPr>
        <w:t>Динамика объёмов производства по отраслям промышленности в 2018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
        <w:gridCol w:w="5980"/>
        <w:gridCol w:w="1415"/>
        <w:gridCol w:w="1135"/>
        <w:gridCol w:w="1162"/>
      </w:tblGrid>
      <w:tr w:rsidR="00C20988" w:rsidRPr="001D23ED" w:rsidTr="006F3BDC">
        <w:trPr>
          <w:cantSplit/>
          <w:trHeight w:val="448"/>
        </w:trPr>
        <w:tc>
          <w:tcPr>
            <w:tcW w:w="3085" w:type="pct"/>
            <w:gridSpan w:val="2"/>
            <w:tcBorders>
              <w:bottom w:val="double" w:sz="4" w:space="0" w:color="auto"/>
            </w:tcBorders>
            <w:shd w:val="clear" w:color="auto" w:fill="CCCCCC"/>
            <w:vAlign w:val="center"/>
          </w:tcPr>
          <w:p w:rsidR="00C20988" w:rsidRPr="001D23ED" w:rsidRDefault="00C20988" w:rsidP="00BE7BE0">
            <w:pPr>
              <w:widowControl w:val="0"/>
              <w:jc w:val="center"/>
              <w:rPr>
                <w:snapToGrid w:val="0"/>
                <w:sz w:val="22"/>
                <w:szCs w:val="22"/>
              </w:rPr>
            </w:pPr>
          </w:p>
        </w:tc>
        <w:tc>
          <w:tcPr>
            <w:tcW w:w="730" w:type="pct"/>
            <w:tcBorders>
              <w:bottom w:val="double" w:sz="4" w:space="0" w:color="auto"/>
            </w:tcBorders>
            <w:shd w:val="clear" w:color="auto" w:fill="CCCCCC"/>
            <w:vAlign w:val="center"/>
          </w:tcPr>
          <w:p w:rsidR="00C20988" w:rsidRPr="001D23ED" w:rsidRDefault="00C20988" w:rsidP="00BE7BE0">
            <w:pPr>
              <w:widowControl w:val="0"/>
              <w:jc w:val="center"/>
              <w:rPr>
                <w:snapToGrid w:val="0"/>
                <w:sz w:val="22"/>
                <w:szCs w:val="22"/>
              </w:rPr>
            </w:pPr>
            <w:r w:rsidRPr="001D23ED">
              <w:rPr>
                <w:snapToGrid w:val="0"/>
                <w:sz w:val="22"/>
                <w:szCs w:val="22"/>
              </w:rPr>
              <w:t>млн руб.</w:t>
            </w:r>
          </w:p>
        </w:tc>
        <w:tc>
          <w:tcPr>
            <w:tcW w:w="585" w:type="pct"/>
            <w:tcBorders>
              <w:bottom w:val="double" w:sz="4" w:space="0" w:color="auto"/>
            </w:tcBorders>
            <w:shd w:val="clear" w:color="auto" w:fill="CCCCCC"/>
            <w:vAlign w:val="center"/>
          </w:tcPr>
          <w:p w:rsidR="00C20988" w:rsidRPr="001D23ED" w:rsidRDefault="00C20988" w:rsidP="00BE7BE0">
            <w:pPr>
              <w:widowControl w:val="0"/>
              <w:jc w:val="center"/>
              <w:rPr>
                <w:snapToGrid w:val="0"/>
                <w:sz w:val="22"/>
                <w:szCs w:val="22"/>
              </w:rPr>
            </w:pPr>
            <w:r w:rsidRPr="001D23ED">
              <w:rPr>
                <w:snapToGrid w:val="0"/>
                <w:sz w:val="22"/>
                <w:szCs w:val="22"/>
              </w:rPr>
              <w:t>удельный</w:t>
            </w:r>
          </w:p>
          <w:p w:rsidR="00C20988" w:rsidRPr="001D23ED" w:rsidRDefault="00C20988" w:rsidP="00BE7BE0">
            <w:pPr>
              <w:widowControl w:val="0"/>
              <w:jc w:val="center"/>
              <w:rPr>
                <w:snapToGrid w:val="0"/>
                <w:sz w:val="22"/>
                <w:szCs w:val="22"/>
              </w:rPr>
            </w:pPr>
            <w:r w:rsidRPr="001D23ED">
              <w:rPr>
                <w:snapToGrid w:val="0"/>
                <w:sz w:val="22"/>
                <w:szCs w:val="22"/>
              </w:rPr>
              <w:t>вес, %</w:t>
            </w:r>
          </w:p>
        </w:tc>
        <w:tc>
          <w:tcPr>
            <w:tcW w:w="599" w:type="pct"/>
            <w:tcBorders>
              <w:bottom w:val="double" w:sz="4" w:space="0" w:color="auto"/>
            </w:tcBorders>
            <w:shd w:val="clear" w:color="auto" w:fill="CCCCCC"/>
            <w:vAlign w:val="center"/>
          </w:tcPr>
          <w:p w:rsidR="00C20988" w:rsidRPr="001D23ED" w:rsidRDefault="00C20988" w:rsidP="00F82801">
            <w:pPr>
              <w:widowControl w:val="0"/>
              <w:ind w:left="-57"/>
              <w:jc w:val="center"/>
              <w:rPr>
                <w:snapToGrid w:val="0"/>
                <w:sz w:val="22"/>
                <w:szCs w:val="22"/>
              </w:rPr>
            </w:pPr>
            <w:r w:rsidRPr="001D23ED">
              <w:rPr>
                <w:snapToGrid w:val="0"/>
                <w:sz w:val="22"/>
                <w:szCs w:val="22"/>
              </w:rPr>
              <w:t xml:space="preserve">темп </w:t>
            </w:r>
            <w:r w:rsidRPr="001D23ED">
              <w:rPr>
                <w:snapToGrid w:val="0"/>
                <w:sz w:val="22"/>
                <w:szCs w:val="22"/>
              </w:rPr>
              <w:br/>
              <w:t>роста, %</w:t>
            </w:r>
          </w:p>
        </w:tc>
      </w:tr>
      <w:tr w:rsidR="00C20988" w:rsidRPr="001D23ED" w:rsidTr="006F3BDC">
        <w:trPr>
          <w:trHeight w:val="240"/>
        </w:trPr>
        <w:tc>
          <w:tcPr>
            <w:tcW w:w="3085" w:type="pct"/>
            <w:gridSpan w:val="2"/>
            <w:tcBorders>
              <w:top w:val="double" w:sz="4" w:space="0" w:color="auto"/>
            </w:tcBorders>
            <w:shd w:val="clear" w:color="auto" w:fill="E0E0E0"/>
            <w:vAlign w:val="bottom"/>
          </w:tcPr>
          <w:p w:rsidR="00C20988" w:rsidRPr="001D23ED" w:rsidRDefault="00C20988" w:rsidP="002F74DC">
            <w:pPr>
              <w:widowControl w:val="0"/>
              <w:ind w:firstLine="142"/>
              <w:rPr>
                <w:snapToGrid w:val="0"/>
                <w:sz w:val="22"/>
                <w:szCs w:val="22"/>
              </w:rPr>
            </w:pPr>
            <w:r>
              <w:rPr>
                <w:snapToGrid w:val="0"/>
                <w:sz w:val="22"/>
                <w:szCs w:val="22"/>
              </w:rPr>
              <w:t>Объём производства промышленной продукции, всего</w:t>
            </w:r>
          </w:p>
        </w:tc>
        <w:tc>
          <w:tcPr>
            <w:tcW w:w="730" w:type="pct"/>
            <w:tcBorders>
              <w:top w:val="double" w:sz="4" w:space="0" w:color="auto"/>
            </w:tcBorders>
            <w:shd w:val="clear" w:color="auto" w:fill="E0E0E0"/>
            <w:vAlign w:val="bottom"/>
          </w:tcPr>
          <w:p w:rsidR="00C20988" w:rsidRPr="001D23ED" w:rsidRDefault="00C20988" w:rsidP="00A727EA">
            <w:pPr>
              <w:widowControl w:val="0"/>
              <w:ind w:right="340"/>
              <w:jc w:val="right"/>
              <w:rPr>
                <w:sz w:val="22"/>
                <w:szCs w:val="22"/>
              </w:rPr>
            </w:pPr>
            <w:r w:rsidRPr="001D23ED">
              <w:rPr>
                <w:sz w:val="22"/>
                <w:szCs w:val="22"/>
              </w:rPr>
              <w:t>13 04</w:t>
            </w:r>
            <w:r>
              <w:rPr>
                <w:sz w:val="22"/>
                <w:szCs w:val="22"/>
              </w:rPr>
              <w:t>3</w:t>
            </w:r>
            <w:r w:rsidRPr="001D23ED">
              <w:rPr>
                <w:sz w:val="22"/>
                <w:szCs w:val="22"/>
              </w:rPr>
              <w:t>,</w:t>
            </w:r>
            <w:r>
              <w:rPr>
                <w:sz w:val="22"/>
                <w:szCs w:val="22"/>
              </w:rPr>
              <w:t>3</w:t>
            </w:r>
          </w:p>
        </w:tc>
        <w:tc>
          <w:tcPr>
            <w:tcW w:w="585" w:type="pct"/>
            <w:tcBorders>
              <w:top w:val="double" w:sz="4" w:space="0" w:color="auto"/>
            </w:tcBorders>
            <w:shd w:val="clear" w:color="auto" w:fill="E0E0E0"/>
            <w:vAlign w:val="bottom"/>
          </w:tcPr>
          <w:p w:rsidR="00C20988" w:rsidRPr="001D23ED" w:rsidRDefault="00C20988" w:rsidP="00BE7BE0">
            <w:pPr>
              <w:widowControl w:val="0"/>
              <w:ind w:left="-28" w:right="284"/>
              <w:jc w:val="right"/>
              <w:rPr>
                <w:sz w:val="22"/>
                <w:szCs w:val="22"/>
              </w:rPr>
            </w:pPr>
            <w:r w:rsidRPr="001D23ED">
              <w:rPr>
                <w:sz w:val="22"/>
                <w:szCs w:val="22"/>
              </w:rPr>
              <w:t>100,0</w:t>
            </w:r>
          </w:p>
        </w:tc>
        <w:tc>
          <w:tcPr>
            <w:tcW w:w="599" w:type="pct"/>
            <w:tcBorders>
              <w:top w:val="double" w:sz="4" w:space="0" w:color="auto"/>
            </w:tcBorders>
            <w:shd w:val="clear" w:color="auto" w:fill="E0E0E0"/>
            <w:vAlign w:val="bottom"/>
          </w:tcPr>
          <w:p w:rsidR="00C20988" w:rsidRPr="001D23ED" w:rsidRDefault="00C20988" w:rsidP="00BE7BE0">
            <w:pPr>
              <w:widowControl w:val="0"/>
              <w:ind w:right="284"/>
              <w:jc w:val="right"/>
              <w:rPr>
                <w:sz w:val="22"/>
                <w:szCs w:val="22"/>
              </w:rPr>
            </w:pPr>
            <w:r w:rsidRPr="001D23ED">
              <w:rPr>
                <w:sz w:val="22"/>
                <w:szCs w:val="22"/>
              </w:rPr>
              <w:t>108,5</w:t>
            </w:r>
          </w:p>
        </w:tc>
      </w:tr>
      <w:tr w:rsidR="00C20988" w:rsidRPr="001D23ED" w:rsidTr="006F3BDC">
        <w:trPr>
          <w:trHeight w:val="270"/>
        </w:trPr>
        <w:tc>
          <w:tcPr>
            <w:tcW w:w="3085" w:type="pct"/>
            <w:gridSpan w:val="2"/>
            <w:vAlign w:val="bottom"/>
          </w:tcPr>
          <w:p w:rsidR="00C20988" w:rsidRPr="001D23ED" w:rsidRDefault="00C20988" w:rsidP="00BE7BE0">
            <w:pPr>
              <w:widowControl w:val="0"/>
              <w:ind w:left="292"/>
              <w:rPr>
                <w:snapToGrid w:val="0"/>
                <w:sz w:val="22"/>
                <w:szCs w:val="22"/>
              </w:rPr>
            </w:pPr>
            <w:r w:rsidRPr="001D23ED">
              <w:rPr>
                <w:snapToGrid w:val="0"/>
                <w:sz w:val="22"/>
                <w:szCs w:val="22"/>
              </w:rPr>
              <w:t>в том числе</w:t>
            </w:r>
            <w:r>
              <w:rPr>
                <w:snapToGrid w:val="0"/>
                <w:sz w:val="22"/>
                <w:szCs w:val="22"/>
              </w:rPr>
              <w:t xml:space="preserve"> по отраслям</w:t>
            </w:r>
            <w:r w:rsidRPr="001D23ED">
              <w:rPr>
                <w:snapToGrid w:val="0"/>
                <w:sz w:val="22"/>
                <w:szCs w:val="22"/>
              </w:rPr>
              <w:t>:</w:t>
            </w:r>
          </w:p>
        </w:tc>
        <w:tc>
          <w:tcPr>
            <w:tcW w:w="730" w:type="pct"/>
            <w:vAlign w:val="bottom"/>
          </w:tcPr>
          <w:p w:rsidR="00C20988" w:rsidRPr="001D23ED" w:rsidRDefault="00C20988" w:rsidP="00BE7BE0">
            <w:pPr>
              <w:widowControl w:val="0"/>
              <w:ind w:right="340"/>
              <w:jc w:val="right"/>
              <w:rPr>
                <w:sz w:val="22"/>
                <w:szCs w:val="22"/>
              </w:rPr>
            </w:pPr>
          </w:p>
        </w:tc>
        <w:tc>
          <w:tcPr>
            <w:tcW w:w="585" w:type="pct"/>
            <w:vAlign w:val="bottom"/>
          </w:tcPr>
          <w:p w:rsidR="00C20988" w:rsidRPr="001D23ED" w:rsidRDefault="00C20988" w:rsidP="00BE7BE0">
            <w:pPr>
              <w:widowControl w:val="0"/>
              <w:ind w:left="-28" w:right="284"/>
              <w:jc w:val="right"/>
              <w:rPr>
                <w:sz w:val="22"/>
                <w:szCs w:val="22"/>
              </w:rPr>
            </w:pPr>
          </w:p>
        </w:tc>
        <w:tc>
          <w:tcPr>
            <w:tcW w:w="599" w:type="pct"/>
            <w:vAlign w:val="bottom"/>
          </w:tcPr>
          <w:p w:rsidR="00C20988" w:rsidRPr="001D23ED" w:rsidRDefault="00C20988" w:rsidP="00BE7BE0">
            <w:pPr>
              <w:widowControl w:val="0"/>
              <w:ind w:right="284"/>
              <w:jc w:val="right"/>
              <w:rPr>
                <w:sz w:val="22"/>
                <w:szCs w:val="22"/>
              </w:rPr>
            </w:pPr>
          </w:p>
        </w:tc>
      </w:tr>
      <w:tr w:rsidR="00C20988" w:rsidRPr="001D23ED" w:rsidTr="006F3BDC">
        <w:trPr>
          <w:trHeight w:val="270"/>
        </w:trPr>
        <w:tc>
          <w:tcPr>
            <w:tcW w:w="3085" w:type="pct"/>
            <w:gridSpan w:val="2"/>
            <w:vAlign w:val="bottom"/>
          </w:tcPr>
          <w:p w:rsidR="00C20988" w:rsidRPr="001D23ED" w:rsidRDefault="00C20988" w:rsidP="00BE7BE0">
            <w:pPr>
              <w:widowControl w:val="0"/>
              <w:tabs>
                <w:tab w:val="left" w:pos="396"/>
              </w:tabs>
              <w:ind w:left="284" w:firstLine="22"/>
              <w:rPr>
                <w:snapToGrid w:val="0"/>
                <w:sz w:val="22"/>
                <w:szCs w:val="22"/>
              </w:rPr>
            </w:pPr>
            <w:r w:rsidRPr="001D23ED">
              <w:rPr>
                <w:snapToGrid w:val="0"/>
                <w:sz w:val="22"/>
                <w:szCs w:val="22"/>
              </w:rPr>
              <w:t>- электроэнергетика</w:t>
            </w:r>
          </w:p>
        </w:tc>
        <w:tc>
          <w:tcPr>
            <w:tcW w:w="730" w:type="pct"/>
            <w:vAlign w:val="bottom"/>
          </w:tcPr>
          <w:p w:rsidR="00C20988" w:rsidRPr="001D23ED" w:rsidRDefault="00C20988" w:rsidP="00A727EA">
            <w:pPr>
              <w:widowControl w:val="0"/>
              <w:ind w:right="340"/>
              <w:jc w:val="right"/>
              <w:rPr>
                <w:sz w:val="22"/>
                <w:szCs w:val="22"/>
              </w:rPr>
            </w:pPr>
            <w:r w:rsidRPr="001D23ED">
              <w:rPr>
                <w:sz w:val="22"/>
                <w:szCs w:val="22"/>
              </w:rPr>
              <w:t>3 60</w:t>
            </w:r>
            <w:r>
              <w:rPr>
                <w:sz w:val="22"/>
                <w:szCs w:val="22"/>
              </w:rPr>
              <w:t>3</w:t>
            </w:r>
            <w:r w:rsidRPr="001D23ED">
              <w:rPr>
                <w:sz w:val="22"/>
                <w:szCs w:val="22"/>
              </w:rPr>
              <w:t>,8</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27,6</w:t>
            </w:r>
          </w:p>
        </w:tc>
        <w:tc>
          <w:tcPr>
            <w:tcW w:w="599" w:type="pct"/>
            <w:vAlign w:val="bottom"/>
          </w:tcPr>
          <w:p w:rsidR="00C20988" w:rsidRPr="001D23ED" w:rsidRDefault="00C20988" w:rsidP="00BE7BE0">
            <w:pPr>
              <w:widowControl w:val="0"/>
              <w:ind w:right="284"/>
              <w:jc w:val="right"/>
              <w:rPr>
                <w:sz w:val="22"/>
                <w:szCs w:val="22"/>
              </w:rPr>
            </w:pPr>
            <w:r w:rsidRPr="001D23ED">
              <w:rPr>
                <w:sz w:val="22"/>
                <w:szCs w:val="22"/>
              </w:rPr>
              <w:t>108,7</w:t>
            </w:r>
          </w:p>
        </w:tc>
      </w:tr>
      <w:tr w:rsidR="00C20988" w:rsidRPr="001D23ED" w:rsidTr="006F3BDC">
        <w:trPr>
          <w:trHeight w:val="270"/>
        </w:trPr>
        <w:tc>
          <w:tcPr>
            <w:tcW w:w="3085" w:type="pct"/>
            <w:gridSpan w:val="2"/>
            <w:vAlign w:val="bottom"/>
          </w:tcPr>
          <w:p w:rsidR="00C20988" w:rsidRPr="001D23ED" w:rsidRDefault="00C20988" w:rsidP="00BE7BE0">
            <w:pPr>
              <w:widowControl w:val="0"/>
              <w:tabs>
                <w:tab w:val="left" w:pos="396"/>
              </w:tabs>
              <w:ind w:left="284"/>
              <w:rPr>
                <w:snapToGrid w:val="0"/>
                <w:sz w:val="22"/>
                <w:szCs w:val="22"/>
              </w:rPr>
            </w:pPr>
            <w:r w:rsidRPr="001D23ED">
              <w:rPr>
                <w:snapToGrid w:val="0"/>
                <w:sz w:val="22"/>
                <w:szCs w:val="22"/>
              </w:rPr>
              <w:t>- чёрная металлургия</w:t>
            </w:r>
          </w:p>
        </w:tc>
        <w:tc>
          <w:tcPr>
            <w:tcW w:w="730" w:type="pct"/>
            <w:vAlign w:val="bottom"/>
          </w:tcPr>
          <w:p w:rsidR="00C20988" w:rsidRPr="001D23ED" w:rsidRDefault="00C20988" w:rsidP="00BE7BE0">
            <w:pPr>
              <w:widowControl w:val="0"/>
              <w:ind w:right="340"/>
              <w:jc w:val="right"/>
              <w:rPr>
                <w:sz w:val="22"/>
                <w:szCs w:val="22"/>
              </w:rPr>
            </w:pPr>
            <w:r w:rsidRPr="001D23ED">
              <w:rPr>
                <w:sz w:val="22"/>
                <w:szCs w:val="22"/>
              </w:rPr>
              <w:t>4 632,3</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35,5</w:t>
            </w:r>
          </w:p>
        </w:tc>
        <w:tc>
          <w:tcPr>
            <w:tcW w:w="599" w:type="pct"/>
            <w:vAlign w:val="bottom"/>
          </w:tcPr>
          <w:p w:rsidR="00C20988" w:rsidRPr="001D23ED" w:rsidRDefault="00C20988" w:rsidP="00BE7BE0">
            <w:pPr>
              <w:widowControl w:val="0"/>
              <w:ind w:right="284"/>
              <w:jc w:val="right"/>
              <w:rPr>
                <w:sz w:val="22"/>
                <w:szCs w:val="22"/>
              </w:rPr>
            </w:pPr>
            <w:r w:rsidRPr="001D23ED">
              <w:rPr>
                <w:sz w:val="22"/>
                <w:szCs w:val="22"/>
              </w:rPr>
              <w:t>110,0</w:t>
            </w:r>
          </w:p>
        </w:tc>
      </w:tr>
      <w:tr w:rsidR="00C20988" w:rsidRPr="001D23ED" w:rsidTr="006F3BDC">
        <w:trPr>
          <w:trHeight w:val="270"/>
        </w:trPr>
        <w:tc>
          <w:tcPr>
            <w:tcW w:w="3085" w:type="pct"/>
            <w:gridSpan w:val="2"/>
            <w:vAlign w:val="bottom"/>
          </w:tcPr>
          <w:p w:rsidR="00C20988" w:rsidRPr="001D23ED" w:rsidRDefault="00C20988" w:rsidP="00BE7BE0">
            <w:pPr>
              <w:widowControl w:val="0"/>
              <w:tabs>
                <w:tab w:val="left" w:pos="396"/>
              </w:tabs>
              <w:ind w:left="284"/>
              <w:rPr>
                <w:snapToGrid w:val="0"/>
                <w:sz w:val="22"/>
                <w:szCs w:val="22"/>
              </w:rPr>
            </w:pPr>
            <w:r w:rsidRPr="001D23ED">
              <w:rPr>
                <w:snapToGrid w:val="0"/>
                <w:sz w:val="22"/>
                <w:szCs w:val="22"/>
              </w:rPr>
              <w:t>- химическая промышленность</w:t>
            </w:r>
          </w:p>
        </w:tc>
        <w:tc>
          <w:tcPr>
            <w:tcW w:w="730" w:type="pct"/>
            <w:vAlign w:val="bottom"/>
          </w:tcPr>
          <w:p w:rsidR="00C20988" w:rsidRPr="001D23ED" w:rsidRDefault="00C20988" w:rsidP="00BE7BE0">
            <w:pPr>
              <w:widowControl w:val="0"/>
              <w:ind w:right="340"/>
              <w:jc w:val="right"/>
              <w:rPr>
                <w:sz w:val="22"/>
                <w:szCs w:val="22"/>
              </w:rPr>
            </w:pPr>
            <w:r w:rsidRPr="001D23ED">
              <w:rPr>
                <w:sz w:val="22"/>
                <w:szCs w:val="22"/>
              </w:rPr>
              <w:t>285,</w:t>
            </w:r>
            <w:r>
              <w:rPr>
                <w:sz w:val="22"/>
                <w:szCs w:val="22"/>
              </w:rPr>
              <w:t>1</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2,2</w:t>
            </w:r>
          </w:p>
        </w:tc>
        <w:tc>
          <w:tcPr>
            <w:tcW w:w="599" w:type="pct"/>
            <w:vAlign w:val="bottom"/>
          </w:tcPr>
          <w:p w:rsidR="00C20988" w:rsidRPr="001D23ED" w:rsidRDefault="00C20988" w:rsidP="00BE7BE0">
            <w:pPr>
              <w:widowControl w:val="0"/>
              <w:ind w:right="284"/>
              <w:jc w:val="right"/>
              <w:rPr>
                <w:sz w:val="22"/>
                <w:szCs w:val="22"/>
              </w:rPr>
            </w:pPr>
            <w:r w:rsidRPr="001D23ED">
              <w:rPr>
                <w:sz w:val="22"/>
                <w:szCs w:val="22"/>
              </w:rPr>
              <w:t>141,4</w:t>
            </w:r>
          </w:p>
        </w:tc>
      </w:tr>
      <w:tr w:rsidR="00C20988" w:rsidRPr="001D23ED" w:rsidTr="006F3BDC">
        <w:trPr>
          <w:trHeight w:val="270"/>
        </w:trPr>
        <w:tc>
          <w:tcPr>
            <w:tcW w:w="3085" w:type="pct"/>
            <w:gridSpan w:val="2"/>
            <w:vAlign w:val="bottom"/>
          </w:tcPr>
          <w:p w:rsidR="00C20988" w:rsidRPr="001D23ED" w:rsidRDefault="00C20988" w:rsidP="00BE7BE0">
            <w:pPr>
              <w:widowControl w:val="0"/>
              <w:tabs>
                <w:tab w:val="left" w:pos="284"/>
                <w:tab w:val="left" w:pos="396"/>
              </w:tabs>
              <w:ind w:left="284"/>
              <w:rPr>
                <w:snapToGrid w:val="0"/>
                <w:sz w:val="22"/>
                <w:szCs w:val="22"/>
              </w:rPr>
            </w:pPr>
            <w:r w:rsidRPr="001D23ED">
              <w:rPr>
                <w:snapToGrid w:val="0"/>
                <w:sz w:val="22"/>
                <w:szCs w:val="22"/>
              </w:rPr>
              <w:t>- машиностроение и металлообработка</w:t>
            </w:r>
          </w:p>
        </w:tc>
        <w:tc>
          <w:tcPr>
            <w:tcW w:w="730" w:type="pct"/>
            <w:vAlign w:val="bottom"/>
          </w:tcPr>
          <w:p w:rsidR="00C20988" w:rsidRPr="001D23ED" w:rsidRDefault="00C20988" w:rsidP="00BE7BE0">
            <w:pPr>
              <w:widowControl w:val="0"/>
              <w:ind w:right="340"/>
              <w:jc w:val="right"/>
              <w:rPr>
                <w:sz w:val="22"/>
                <w:szCs w:val="22"/>
              </w:rPr>
            </w:pPr>
            <w:r w:rsidRPr="001D23ED">
              <w:rPr>
                <w:sz w:val="22"/>
                <w:szCs w:val="22"/>
              </w:rPr>
              <w:t>375,1</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2,9</w:t>
            </w:r>
          </w:p>
        </w:tc>
        <w:tc>
          <w:tcPr>
            <w:tcW w:w="599" w:type="pct"/>
            <w:vAlign w:val="bottom"/>
          </w:tcPr>
          <w:p w:rsidR="00C20988" w:rsidRPr="001D23ED" w:rsidRDefault="00C20988" w:rsidP="00BE7BE0">
            <w:pPr>
              <w:widowControl w:val="0"/>
              <w:ind w:right="284"/>
              <w:jc w:val="right"/>
              <w:rPr>
                <w:sz w:val="22"/>
                <w:szCs w:val="22"/>
              </w:rPr>
            </w:pPr>
            <w:r w:rsidRPr="001D23ED">
              <w:rPr>
                <w:sz w:val="22"/>
                <w:szCs w:val="22"/>
              </w:rPr>
              <w:t>107,1</w:t>
            </w:r>
          </w:p>
        </w:tc>
      </w:tr>
      <w:tr w:rsidR="00C20988" w:rsidRPr="001D23ED" w:rsidTr="006F3BDC">
        <w:trPr>
          <w:trHeight w:val="270"/>
        </w:trPr>
        <w:tc>
          <w:tcPr>
            <w:tcW w:w="3085" w:type="pct"/>
            <w:gridSpan w:val="2"/>
            <w:vAlign w:val="bottom"/>
          </w:tcPr>
          <w:p w:rsidR="00C20988" w:rsidRPr="001D23ED" w:rsidRDefault="00C20988" w:rsidP="00BE7BE0">
            <w:pPr>
              <w:widowControl w:val="0"/>
              <w:tabs>
                <w:tab w:val="left" w:pos="284"/>
                <w:tab w:val="left" w:pos="396"/>
              </w:tabs>
              <w:ind w:left="284"/>
              <w:rPr>
                <w:snapToGrid w:val="0"/>
                <w:sz w:val="22"/>
                <w:szCs w:val="22"/>
              </w:rPr>
            </w:pPr>
            <w:r w:rsidRPr="001D23ED">
              <w:rPr>
                <w:snapToGrid w:val="0"/>
                <w:sz w:val="22"/>
                <w:szCs w:val="22"/>
              </w:rPr>
              <w:t>- электротехническая промышленность</w:t>
            </w:r>
          </w:p>
        </w:tc>
        <w:tc>
          <w:tcPr>
            <w:tcW w:w="730" w:type="pct"/>
            <w:vAlign w:val="bottom"/>
          </w:tcPr>
          <w:p w:rsidR="00C20988" w:rsidRPr="001D23ED" w:rsidRDefault="00C20988" w:rsidP="00BE7BE0">
            <w:pPr>
              <w:widowControl w:val="0"/>
              <w:ind w:right="340"/>
              <w:jc w:val="right"/>
              <w:rPr>
                <w:sz w:val="22"/>
                <w:szCs w:val="22"/>
              </w:rPr>
            </w:pPr>
            <w:r w:rsidRPr="001D23ED">
              <w:rPr>
                <w:sz w:val="22"/>
                <w:szCs w:val="22"/>
              </w:rPr>
              <w:t>239,</w:t>
            </w:r>
            <w:r>
              <w:rPr>
                <w:sz w:val="22"/>
                <w:szCs w:val="22"/>
              </w:rPr>
              <w:t>5</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1,8</w:t>
            </w:r>
          </w:p>
        </w:tc>
        <w:tc>
          <w:tcPr>
            <w:tcW w:w="599" w:type="pct"/>
            <w:vAlign w:val="bottom"/>
          </w:tcPr>
          <w:p w:rsidR="00C20988" w:rsidRPr="001D23ED" w:rsidRDefault="00C20988" w:rsidP="00BE7BE0">
            <w:pPr>
              <w:widowControl w:val="0"/>
              <w:ind w:right="284"/>
              <w:jc w:val="right"/>
              <w:rPr>
                <w:sz w:val="22"/>
                <w:szCs w:val="22"/>
              </w:rPr>
            </w:pPr>
            <w:r>
              <w:rPr>
                <w:sz w:val="22"/>
                <w:szCs w:val="22"/>
              </w:rPr>
              <w:t>108,9</w:t>
            </w:r>
          </w:p>
        </w:tc>
      </w:tr>
      <w:tr w:rsidR="00C20988" w:rsidRPr="001D23ED" w:rsidTr="006F3BDC">
        <w:trPr>
          <w:trHeight w:val="60"/>
        </w:trPr>
        <w:tc>
          <w:tcPr>
            <w:tcW w:w="3085" w:type="pct"/>
            <w:gridSpan w:val="2"/>
            <w:vAlign w:val="bottom"/>
          </w:tcPr>
          <w:p w:rsidR="00C20988" w:rsidRPr="001D23ED" w:rsidRDefault="00C20988" w:rsidP="00BE7BE0">
            <w:pPr>
              <w:widowControl w:val="0"/>
              <w:tabs>
                <w:tab w:val="left" w:pos="284"/>
                <w:tab w:val="left" w:pos="396"/>
              </w:tabs>
              <w:ind w:left="284"/>
              <w:rPr>
                <w:snapToGrid w:val="0"/>
                <w:sz w:val="22"/>
                <w:szCs w:val="22"/>
              </w:rPr>
            </w:pPr>
            <w:r w:rsidRPr="001D23ED">
              <w:rPr>
                <w:snapToGrid w:val="0"/>
                <w:sz w:val="22"/>
                <w:szCs w:val="22"/>
              </w:rPr>
              <w:t>- лесная и деревообрабатывающая промышленность</w:t>
            </w:r>
          </w:p>
        </w:tc>
        <w:tc>
          <w:tcPr>
            <w:tcW w:w="730" w:type="pct"/>
            <w:vAlign w:val="bottom"/>
          </w:tcPr>
          <w:p w:rsidR="00C20988" w:rsidRPr="001D23ED" w:rsidRDefault="00C20988" w:rsidP="00BE7BE0">
            <w:pPr>
              <w:widowControl w:val="0"/>
              <w:ind w:right="340"/>
              <w:jc w:val="right"/>
              <w:rPr>
                <w:sz w:val="22"/>
                <w:szCs w:val="22"/>
              </w:rPr>
            </w:pPr>
            <w:r w:rsidRPr="001D23ED">
              <w:rPr>
                <w:sz w:val="22"/>
                <w:szCs w:val="22"/>
              </w:rPr>
              <w:t>8,2</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0,1</w:t>
            </w:r>
          </w:p>
        </w:tc>
        <w:tc>
          <w:tcPr>
            <w:tcW w:w="599" w:type="pct"/>
            <w:vAlign w:val="bottom"/>
          </w:tcPr>
          <w:p w:rsidR="00C20988" w:rsidRPr="001D23ED" w:rsidRDefault="00C20988" w:rsidP="00BE7BE0">
            <w:pPr>
              <w:widowControl w:val="0"/>
              <w:ind w:right="284"/>
              <w:jc w:val="right"/>
              <w:rPr>
                <w:sz w:val="22"/>
                <w:szCs w:val="22"/>
              </w:rPr>
            </w:pPr>
            <w:r w:rsidRPr="001D23ED">
              <w:rPr>
                <w:sz w:val="22"/>
                <w:szCs w:val="22"/>
              </w:rPr>
              <w:t>149,2</w:t>
            </w:r>
          </w:p>
        </w:tc>
      </w:tr>
      <w:tr w:rsidR="00C20988" w:rsidRPr="001D23ED" w:rsidTr="006F3BDC">
        <w:trPr>
          <w:trHeight w:val="111"/>
        </w:trPr>
        <w:tc>
          <w:tcPr>
            <w:tcW w:w="3085" w:type="pct"/>
            <w:gridSpan w:val="2"/>
            <w:vAlign w:val="bottom"/>
          </w:tcPr>
          <w:p w:rsidR="00C20988" w:rsidRPr="001D23ED" w:rsidRDefault="00C20988" w:rsidP="00BE7BE0">
            <w:pPr>
              <w:widowControl w:val="0"/>
              <w:tabs>
                <w:tab w:val="left" w:pos="284"/>
                <w:tab w:val="left" w:pos="396"/>
              </w:tabs>
              <w:ind w:left="284"/>
              <w:rPr>
                <w:snapToGrid w:val="0"/>
                <w:sz w:val="22"/>
                <w:szCs w:val="22"/>
              </w:rPr>
            </w:pPr>
            <w:r w:rsidRPr="001D23ED">
              <w:rPr>
                <w:snapToGrid w:val="0"/>
                <w:sz w:val="22"/>
                <w:szCs w:val="22"/>
              </w:rPr>
              <w:t>- промышленность строительных материалов</w:t>
            </w:r>
          </w:p>
        </w:tc>
        <w:tc>
          <w:tcPr>
            <w:tcW w:w="730" w:type="pct"/>
            <w:vAlign w:val="bottom"/>
          </w:tcPr>
          <w:p w:rsidR="00C20988" w:rsidRPr="001D23ED" w:rsidRDefault="00C20988" w:rsidP="00BE7BE0">
            <w:pPr>
              <w:widowControl w:val="0"/>
              <w:ind w:right="340"/>
              <w:jc w:val="right"/>
              <w:rPr>
                <w:sz w:val="22"/>
                <w:szCs w:val="22"/>
              </w:rPr>
            </w:pPr>
            <w:r w:rsidRPr="001D23ED">
              <w:rPr>
                <w:sz w:val="22"/>
                <w:szCs w:val="22"/>
              </w:rPr>
              <w:t>60</w:t>
            </w:r>
            <w:r>
              <w:rPr>
                <w:sz w:val="22"/>
                <w:szCs w:val="22"/>
              </w:rPr>
              <w:t>9,5</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4,7</w:t>
            </w:r>
          </w:p>
        </w:tc>
        <w:tc>
          <w:tcPr>
            <w:tcW w:w="599" w:type="pct"/>
            <w:vAlign w:val="bottom"/>
          </w:tcPr>
          <w:p w:rsidR="00C20988" w:rsidRPr="001D23ED" w:rsidRDefault="00C20988" w:rsidP="00BE7BE0">
            <w:pPr>
              <w:widowControl w:val="0"/>
              <w:ind w:right="284"/>
              <w:jc w:val="right"/>
              <w:rPr>
                <w:sz w:val="22"/>
                <w:szCs w:val="22"/>
              </w:rPr>
            </w:pPr>
            <w:r w:rsidRPr="001D23ED">
              <w:rPr>
                <w:sz w:val="22"/>
                <w:szCs w:val="22"/>
              </w:rPr>
              <w:t>112,</w:t>
            </w:r>
            <w:r>
              <w:rPr>
                <w:sz w:val="22"/>
                <w:szCs w:val="22"/>
              </w:rPr>
              <w:t>6</w:t>
            </w:r>
          </w:p>
        </w:tc>
      </w:tr>
      <w:tr w:rsidR="00C20988" w:rsidRPr="001D23ED" w:rsidTr="006F3BDC">
        <w:trPr>
          <w:trHeight w:val="240"/>
        </w:trPr>
        <w:tc>
          <w:tcPr>
            <w:tcW w:w="3085" w:type="pct"/>
            <w:gridSpan w:val="2"/>
            <w:vAlign w:val="bottom"/>
          </w:tcPr>
          <w:p w:rsidR="00C20988" w:rsidRPr="001D23ED" w:rsidRDefault="00C20988" w:rsidP="00BE7BE0">
            <w:pPr>
              <w:widowControl w:val="0"/>
              <w:tabs>
                <w:tab w:val="left" w:pos="284"/>
                <w:tab w:val="left" w:pos="396"/>
              </w:tabs>
              <w:ind w:left="284"/>
              <w:rPr>
                <w:snapToGrid w:val="0"/>
                <w:sz w:val="22"/>
                <w:szCs w:val="22"/>
              </w:rPr>
            </w:pPr>
            <w:r w:rsidRPr="001D23ED">
              <w:rPr>
                <w:snapToGrid w:val="0"/>
                <w:sz w:val="22"/>
                <w:szCs w:val="22"/>
              </w:rPr>
              <w:t>- лёгкая промышленность</w:t>
            </w:r>
          </w:p>
        </w:tc>
        <w:tc>
          <w:tcPr>
            <w:tcW w:w="730" w:type="pct"/>
            <w:vAlign w:val="bottom"/>
          </w:tcPr>
          <w:p w:rsidR="00C20988" w:rsidRPr="001D23ED" w:rsidRDefault="00C20988" w:rsidP="00BE7BE0">
            <w:pPr>
              <w:widowControl w:val="0"/>
              <w:ind w:right="340"/>
              <w:jc w:val="right"/>
              <w:rPr>
                <w:sz w:val="22"/>
                <w:szCs w:val="22"/>
              </w:rPr>
            </w:pPr>
            <w:r w:rsidRPr="001D23ED">
              <w:rPr>
                <w:sz w:val="22"/>
                <w:szCs w:val="22"/>
              </w:rPr>
              <w:t>1 549,8</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11,9</w:t>
            </w:r>
          </w:p>
        </w:tc>
        <w:tc>
          <w:tcPr>
            <w:tcW w:w="599" w:type="pct"/>
            <w:vAlign w:val="bottom"/>
          </w:tcPr>
          <w:p w:rsidR="00C20988" w:rsidRPr="001D23ED" w:rsidRDefault="00C20988" w:rsidP="00BE7BE0">
            <w:pPr>
              <w:widowControl w:val="0"/>
              <w:ind w:right="284"/>
              <w:jc w:val="right"/>
              <w:rPr>
                <w:sz w:val="22"/>
                <w:szCs w:val="22"/>
              </w:rPr>
            </w:pPr>
            <w:r w:rsidRPr="001D23ED">
              <w:rPr>
                <w:sz w:val="22"/>
                <w:szCs w:val="22"/>
              </w:rPr>
              <w:t>99,6</w:t>
            </w:r>
          </w:p>
        </w:tc>
      </w:tr>
      <w:tr w:rsidR="00C20988" w:rsidRPr="001D23ED" w:rsidTr="006F3BDC">
        <w:trPr>
          <w:gridBefore w:val="1"/>
          <w:trHeight w:val="240"/>
        </w:trPr>
        <w:tc>
          <w:tcPr>
            <w:tcW w:w="3085" w:type="pct"/>
            <w:vAlign w:val="bottom"/>
          </w:tcPr>
          <w:p w:rsidR="00C20988" w:rsidRPr="001D23ED" w:rsidRDefault="00C20988" w:rsidP="00BE7BE0">
            <w:pPr>
              <w:widowControl w:val="0"/>
              <w:tabs>
                <w:tab w:val="left" w:pos="284"/>
                <w:tab w:val="left" w:pos="396"/>
              </w:tabs>
              <w:ind w:left="284"/>
              <w:rPr>
                <w:snapToGrid w:val="0"/>
                <w:sz w:val="22"/>
                <w:szCs w:val="22"/>
              </w:rPr>
            </w:pPr>
            <w:r w:rsidRPr="001D23ED">
              <w:rPr>
                <w:snapToGrid w:val="0"/>
                <w:sz w:val="22"/>
                <w:szCs w:val="22"/>
              </w:rPr>
              <w:t>- пищевая промышленность</w:t>
            </w:r>
          </w:p>
        </w:tc>
        <w:tc>
          <w:tcPr>
            <w:tcW w:w="730" w:type="pct"/>
            <w:vAlign w:val="bottom"/>
          </w:tcPr>
          <w:p w:rsidR="00C20988" w:rsidRPr="001D23ED" w:rsidRDefault="00C20988" w:rsidP="00BE7BE0">
            <w:pPr>
              <w:widowControl w:val="0"/>
              <w:ind w:right="340"/>
              <w:jc w:val="right"/>
              <w:rPr>
                <w:sz w:val="22"/>
                <w:szCs w:val="22"/>
              </w:rPr>
            </w:pPr>
            <w:r w:rsidRPr="001D23ED">
              <w:rPr>
                <w:sz w:val="22"/>
                <w:szCs w:val="22"/>
              </w:rPr>
              <w:t>1</w:t>
            </w:r>
            <w:r>
              <w:rPr>
                <w:sz w:val="22"/>
                <w:szCs w:val="22"/>
              </w:rPr>
              <w:t> </w:t>
            </w:r>
            <w:r w:rsidRPr="001D23ED">
              <w:rPr>
                <w:sz w:val="22"/>
                <w:szCs w:val="22"/>
              </w:rPr>
              <w:t>57</w:t>
            </w:r>
            <w:r>
              <w:rPr>
                <w:sz w:val="22"/>
                <w:szCs w:val="22"/>
              </w:rPr>
              <w:t>5,8</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12,1</w:t>
            </w:r>
          </w:p>
        </w:tc>
        <w:tc>
          <w:tcPr>
            <w:tcW w:w="599" w:type="pct"/>
            <w:vAlign w:val="bottom"/>
          </w:tcPr>
          <w:p w:rsidR="00C20988" w:rsidRPr="001D23ED" w:rsidRDefault="00C20988" w:rsidP="00BE7BE0">
            <w:pPr>
              <w:widowControl w:val="0"/>
              <w:ind w:right="284"/>
              <w:jc w:val="right"/>
              <w:rPr>
                <w:sz w:val="22"/>
                <w:szCs w:val="22"/>
              </w:rPr>
            </w:pPr>
            <w:r w:rsidRPr="001D23ED">
              <w:rPr>
                <w:sz w:val="22"/>
                <w:szCs w:val="22"/>
              </w:rPr>
              <w:t>108,0</w:t>
            </w:r>
          </w:p>
        </w:tc>
      </w:tr>
      <w:tr w:rsidR="00C20988" w:rsidRPr="001D23ED" w:rsidTr="006F3BDC">
        <w:trPr>
          <w:gridBefore w:val="1"/>
          <w:trHeight w:val="71"/>
        </w:trPr>
        <w:tc>
          <w:tcPr>
            <w:tcW w:w="3085" w:type="pct"/>
            <w:vAlign w:val="bottom"/>
          </w:tcPr>
          <w:p w:rsidR="00C20988" w:rsidRPr="001D23ED" w:rsidRDefault="00C20988" w:rsidP="00BE7BE0">
            <w:pPr>
              <w:widowControl w:val="0"/>
              <w:tabs>
                <w:tab w:val="left" w:pos="284"/>
                <w:tab w:val="left" w:pos="396"/>
              </w:tabs>
              <w:ind w:left="284"/>
              <w:rPr>
                <w:snapToGrid w:val="0"/>
                <w:sz w:val="22"/>
                <w:szCs w:val="22"/>
              </w:rPr>
            </w:pPr>
            <w:r w:rsidRPr="001D23ED">
              <w:rPr>
                <w:snapToGrid w:val="0"/>
                <w:sz w:val="22"/>
                <w:szCs w:val="22"/>
              </w:rPr>
              <w:t>- мукомольно-крупяная и комбикормовая промышленность</w:t>
            </w:r>
          </w:p>
        </w:tc>
        <w:tc>
          <w:tcPr>
            <w:tcW w:w="730" w:type="pct"/>
            <w:vAlign w:val="bottom"/>
          </w:tcPr>
          <w:p w:rsidR="00C20988" w:rsidRPr="001D23ED" w:rsidRDefault="00C20988" w:rsidP="00BE7BE0">
            <w:pPr>
              <w:widowControl w:val="0"/>
              <w:ind w:right="340"/>
              <w:jc w:val="right"/>
              <w:rPr>
                <w:sz w:val="22"/>
                <w:szCs w:val="22"/>
              </w:rPr>
            </w:pPr>
            <w:r w:rsidRPr="001D23ED">
              <w:rPr>
                <w:sz w:val="22"/>
                <w:szCs w:val="22"/>
              </w:rPr>
              <w:t>14</w:t>
            </w:r>
            <w:r>
              <w:rPr>
                <w:sz w:val="22"/>
                <w:szCs w:val="22"/>
              </w:rPr>
              <w:t>1,0</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1,1</w:t>
            </w:r>
          </w:p>
        </w:tc>
        <w:tc>
          <w:tcPr>
            <w:tcW w:w="599" w:type="pct"/>
            <w:vAlign w:val="bottom"/>
          </w:tcPr>
          <w:p w:rsidR="00C20988" w:rsidRPr="001D23ED" w:rsidRDefault="00C20988" w:rsidP="00BE7BE0">
            <w:pPr>
              <w:widowControl w:val="0"/>
              <w:ind w:right="284"/>
              <w:jc w:val="right"/>
              <w:rPr>
                <w:sz w:val="22"/>
                <w:szCs w:val="22"/>
              </w:rPr>
            </w:pPr>
            <w:r>
              <w:rPr>
                <w:sz w:val="22"/>
                <w:szCs w:val="22"/>
              </w:rPr>
              <w:t>99,0</w:t>
            </w:r>
          </w:p>
        </w:tc>
      </w:tr>
      <w:tr w:rsidR="00C20988" w:rsidRPr="001D23ED" w:rsidTr="006F3BDC">
        <w:trPr>
          <w:gridBefore w:val="1"/>
          <w:trHeight w:val="141"/>
        </w:trPr>
        <w:tc>
          <w:tcPr>
            <w:tcW w:w="3085" w:type="pct"/>
            <w:vAlign w:val="bottom"/>
          </w:tcPr>
          <w:p w:rsidR="00C20988" w:rsidRPr="001D23ED" w:rsidRDefault="00C20988" w:rsidP="00BE7BE0">
            <w:pPr>
              <w:widowControl w:val="0"/>
              <w:tabs>
                <w:tab w:val="left" w:pos="396"/>
              </w:tabs>
              <w:ind w:left="284"/>
              <w:rPr>
                <w:snapToGrid w:val="0"/>
                <w:sz w:val="22"/>
                <w:szCs w:val="22"/>
              </w:rPr>
            </w:pPr>
            <w:r w:rsidRPr="001D23ED">
              <w:rPr>
                <w:snapToGrid w:val="0"/>
                <w:sz w:val="22"/>
                <w:szCs w:val="22"/>
              </w:rPr>
              <w:t>- полиграфическая промышленность</w:t>
            </w:r>
          </w:p>
        </w:tc>
        <w:tc>
          <w:tcPr>
            <w:tcW w:w="730" w:type="pct"/>
            <w:vAlign w:val="bottom"/>
          </w:tcPr>
          <w:p w:rsidR="00C20988" w:rsidRPr="001D23ED" w:rsidRDefault="00C20988" w:rsidP="00BE7BE0">
            <w:pPr>
              <w:widowControl w:val="0"/>
              <w:ind w:right="340"/>
              <w:jc w:val="right"/>
              <w:rPr>
                <w:sz w:val="22"/>
                <w:szCs w:val="22"/>
              </w:rPr>
            </w:pPr>
            <w:r w:rsidRPr="001D23ED">
              <w:rPr>
                <w:sz w:val="22"/>
                <w:szCs w:val="22"/>
              </w:rPr>
              <w:t>23,1</w:t>
            </w:r>
          </w:p>
        </w:tc>
        <w:tc>
          <w:tcPr>
            <w:tcW w:w="585" w:type="pct"/>
            <w:vAlign w:val="bottom"/>
          </w:tcPr>
          <w:p w:rsidR="00C20988" w:rsidRPr="001D23ED" w:rsidRDefault="00C20988" w:rsidP="00BE7BE0">
            <w:pPr>
              <w:widowControl w:val="0"/>
              <w:ind w:left="-28" w:right="284"/>
              <w:jc w:val="right"/>
              <w:rPr>
                <w:sz w:val="22"/>
                <w:szCs w:val="22"/>
              </w:rPr>
            </w:pPr>
            <w:r w:rsidRPr="001D23ED">
              <w:rPr>
                <w:sz w:val="22"/>
                <w:szCs w:val="22"/>
              </w:rPr>
              <w:t>0,2</w:t>
            </w:r>
          </w:p>
        </w:tc>
        <w:tc>
          <w:tcPr>
            <w:tcW w:w="599" w:type="pct"/>
            <w:vAlign w:val="bottom"/>
          </w:tcPr>
          <w:p w:rsidR="00C20988" w:rsidRPr="001D23ED" w:rsidRDefault="00C20988" w:rsidP="00BE7BE0">
            <w:pPr>
              <w:widowControl w:val="0"/>
              <w:ind w:right="284"/>
              <w:jc w:val="right"/>
              <w:rPr>
                <w:sz w:val="22"/>
                <w:szCs w:val="22"/>
              </w:rPr>
            </w:pPr>
            <w:r w:rsidRPr="001D23ED">
              <w:rPr>
                <w:sz w:val="22"/>
                <w:szCs w:val="22"/>
              </w:rPr>
              <w:t>93,6</w:t>
            </w:r>
          </w:p>
        </w:tc>
      </w:tr>
    </w:tbl>
    <w:p w:rsidR="00C20988" w:rsidRPr="00F64BAC" w:rsidRDefault="00C20988" w:rsidP="000D5444">
      <w:pPr>
        <w:spacing w:before="120" w:line="20" w:lineRule="atLeast"/>
        <w:ind w:firstLine="425"/>
        <w:jc w:val="both"/>
        <w:rPr>
          <w:sz w:val="24"/>
          <w:szCs w:val="24"/>
        </w:rPr>
      </w:pPr>
      <w:r w:rsidRPr="0006584D">
        <w:rPr>
          <w:sz w:val="24"/>
          <w:szCs w:val="24"/>
        </w:rPr>
        <w:t>В структуре промышленного производства 35,5% занимала чёрная металлургия, объём выработки в которой достиг 4 632,3 млн руб., на 1</w:t>
      </w:r>
      <w:r>
        <w:rPr>
          <w:sz w:val="24"/>
          <w:szCs w:val="24"/>
        </w:rPr>
        <w:t>0,0% превысив базисное значение</w:t>
      </w:r>
      <w:r w:rsidRPr="0006584D">
        <w:rPr>
          <w:sz w:val="24"/>
          <w:szCs w:val="24"/>
        </w:rPr>
        <w:t xml:space="preserve">. Выплавка стали составила 502,9 тыс. тонн (469,4 тыс. тонн в 2017 году), а товарный выпуск проката сложился на отметке 497,9 тыс. (451,4 тыс. тонн соответственно). Действия заградительного характера стран-партнёров, в том числе связанные с установлением США </w:t>
      </w:r>
      <w:r w:rsidRPr="004855D6">
        <w:rPr>
          <w:sz w:val="24"/>
          <w:szCs w:val="24"/>
        </w:rPr>
        <w:t>п</w:t>
      </w:r>
      <w:r w:rsidRPr="0006584D">
        <w:rPr>
          <w:sz w:val="24"/>
          <w:szCs w:val="24"/>
        </w:rPr>
        <w:t xml:space="preserve">ошлин на </w:t>
      </w:r>
      <w:r w:rsidRPr="00F64BAC">
        <w:rPr>
          <w:sz w:val="24"/>
          <w:szCs w:val="24"/>
        </w:rPr>
        <w:t>металлы, квотированием импорта стальной продукции Евросоюзом, а также введение санкций со стороны Украины, начиная с апреля 2018 года привели к снижению объёмов производства в отрасли в помесячной динамике. В декабре объём выпуска сократился до минимального внутригодового значения.</w:t>
      </w:r>
    </w:p>
    <w:p w:rsidR="00C20988" w:rsidRPr="00F64BAC" w:rsidRDefault="00C20988" w:rsidP="000D5444">
      <w:pPr>
        <w:spacing w:line="20" w:lineRule="atLeast"/>
        <w:ind w:right="-1" w:firstLine="425"/>
        <w:jc w:val="both"/>
        <w:rPr>
          <w:sz w:val="24"/>
          <w:szCs w:val="24"/>
        </w:rPr>
      </w:pPr>
      <w:r w:rsidRPr="00F64BAC">
        <w:rPr>
          <w:sz w:val="24"/>
          <w:szCs w:val="24"/>
        </w:rPr>
        <w:t xml:space="preserve">Деятельность энергетического комплекса республики, сформировавшего 27,6% совокупного выпуска, характеризовалась ростом выработки на 8,7%, до 3 603,8 млн руб. Объём сгенерированной электроэнергии увеличился на 9,1%, до 4 405,3 млн кВт/ч. </w:t>
      </w:r>
    </w:p>
    <w:p w:rsidR="00C20988" w:rsidRPr="001D23ED" w:rsidRDefault="00C20988" w:rsidP="000D5444">
      <w:pPr>
        <w:spacing w:line="20" w:lineRule="atLeast"/>
        <w:ind w:right="-1" w:firstLine="425"/>
        <w:jc w:val="both"/>
        <w:rPr>
          <w:sz w:val="24"/>
          <w:szCs w:val="24"/>
        </w:rPr>
      </w:pPr>
      <w:r w:rsidRPr="00F64BAC">
        <w:rPr>
          <w:sz w:val="24"/>
          <w:szCs w:val="24"/>
        </w:rPr>
        <w:t xml:space="preserve">Пищевая и лёгкая промышленности обеспечили примерно по 12,0% совокупного объёма выпуска. При этом в производстве продуктов питания зафиксирован рост на 8,0%, до </w:t>
      </w:r>
      <w:r w:rsidRPr="00F64BAC">
        <w:rPr>
          <w:sz w:val="24"/>
          <w:szCs w:val="24"/>
        </w:rPr>
        <w:br/>
        <w:t>1 575,8 млн руб., обеспеченный увеличением выработки мясной и молочной продукции, растительного и животного масел, а также консервированных фруктовых соков. А лёгкая промышленность несколько отставала от параметров предыдущего года – на 0,4%, до</w:t>
      </w:r>
      <w:r>
        <w:rPr>
          <w:sz w:val="24"/>
          <w:szCs w:val="24"/>
        </w:rPr>
        <w:t xml:space="preserve"> </w:t>
      </w:r>
      <w:r>
        <w:rPr>
          <w:sz w:val="24"/>
          <w:szCs w:val="24"/>
        </w:rPr>
        <w:br/>
        <w:t xml:space="preserve">1 549,8 млн руб. </w:t>
      </w:r>
      <w:r w:rsidRPr="0006584D">
        <w:rPr>
          <w:sz w:val="24"/>
          <w:szCs w:val="24"/>
        </w:rPr>
        <w:t xml:space="preserve">В помесячной динамике выработка была относительно равномерной, в то же время с июля наблюдалось </w:t>
      </w:r>
      <w:r>
        <w:rPr>
          <w:sz w:val="24"/>
          <w:szCs w:val="24"/>
        </w:rPr>
        <w:t>снижение по сравнению с</w:t>
      </w:r>
      <w:r w:rsidRPr="0006584D">
        <w:rPr>
          <w:sz w:val="24"/>
          <w:szCs w:val="24"/>
        </w:rPr>
        <w:t xml:space="preserve"> базисны</w:t>
      </w:r>
      <w:r>
        <w:rPr>
          <w:sz w:val="24"/>
          <w:szCs w:val="24"/>
        </w:rPr>
        <w:t>ми</w:t>
      </w:r>
      <w:r w:rsidRPr="0006584D">
        <w:rPr>
          <w:sz w:val="24"/>
          <w:szCs w:val="24"/>
        </w:rPr>
        <w:t xml:space="preserve"> параметр</w:t>
      </w:r>
      <w:r>
        <w:rPr>
          <w:sz w:val="24"/>
          <w:szCs w:val="24"/>
        </w:rPr>
        <w:t>ами</w:t>
      </w:r>
      <w:r w:rsidRPr="0006584D">
        <w:rPr>
          <w:sz w:val="24"/>
          <w:szCs w:val="24"/>
        </w:rPr>
        <w:t xml:space="preserve">, нивелировавшее по итогам года накопленный в I полугодии рост. В натуральном выражении уменьшился пошив трикотажных изделий и обуви, а также товарный выпуск хлопчатобумажных тканей. </w:t>
      </w:r>
      <w:r>
        <w:rPr>
          <w:sz w:val="24"/>
          <w:szCs w:val="24"/>
        </w:rPr>
        <w:t>При этом</w:t>
      </w:r>
      <w:r w:rsidRPr="0006584D">
        <w:rPr>
          <w:sz w:val="24"/>
          <w:szCs w:val="24"/>
        </w:rPr>
        <w:t xml:space="preserve"> увеличился объём производства швейных изделий, что во многом обусловлено мерами государственной поддержки предприятий данной отрасли в сфере налогообложения доходов при работе с давальческим сырьём.</w:t>
      </w:r>
      <w:r w:rsidRPr="001D23ED">
        <w:rPr>
          <w:sz w:val="24"/>
          <w:szCs w:val="24"/>
        </w:rPr>
        <w:t xml:space="preserve"> </w:t>
      </w:r>
    </w:p>
    <w:p w:rsidR="00C20988" w:rsidRPr="001D23ED" w:rsidRDefault="00C20988" w:rsidP="000D5444">
      <w:pPr>
        <w:spacing w:line="20" w:lineRule="atLeast"/>
        <w:ind w:right="-1" w:firstLine="425"/>
        <w:jc w:val="both"/>
        <w:rPr>
          <w:sz w:val="24"/>
          <w:szCs w:val="24"/>
        </w:rPr>
      </w:pPr>
      <w:r w:rsidRPr="001D23ED">
        <w:rPr>
          <w:sz w:val="24"/>
          <w:szCs w:val="24"/>
        </w:rPr>
        <w:t xml:space="preserve">Совершенствование материально-технической базы и расширение рынков сбыта </w:t>
      </w:r>
      <w:r>
        <w:rPr>
          <w:sz w:val="24"/>
          <w:szCs w:val="24"/>
        </w:rPr>
        <w:t>обеспечили</w:t>
      </w:r>
      <w:r w:rsidRPr="001D23ED">
        <w:rPr>
          <w:sz w:val="24"/>
          <w:szCs w:val="24"/>
        </w:rPr>
        <w:t xml:space="preserve"> рост выпуска</w:t>
      </w:r>
      <w:r>
        <w:rPr>
          <w:sz w:val="24"/>
          <w:szCs w:val="24"/>
        </w:rPr>
        <w:t xml:space="preserve"> в</w:t>
      </w:r>
      <w:r w:rsidRPr="001D23ED">
        <w:rPr>
          <w:sz w:val="24"/>
          <w:szCs w:val="24"/>
        </w:rPr>
        <w:t xml:space="preserve"> электротехнической </w:t>
      </w:r>
      <w:r>
        <w:rPr>
          <w:sz w:val="24"/>
          <w:szCs w:val="24"/>
        </w:rPr>
        <w:t>отрасли</w:t>
      </w:r>
      <w:r w:rsidRPr="001D23ED">
        <w:rPr>
          <w:sz w:val="24"/>
          <w:szCs w:val="24"/>
        </w:rPr>
        <w:t xml:space="preserve"> в </w:t>
      </w:r>
      <w:r>
        <w:rPr>
          <w:sz w:val="24"/>
          <w:szCs w:val="24"/>
        </w:rPr>
        <w:t>8,9</w:t>
      </w:r>
      <w:r w:rsidRPr="001D23ED">
        <w:rPr>
          <w:sz w:val="24"/>
          <w:szCs w:val="24"/>
        </w:rPr>
        <w:t>%, до 239,</w:t>
      </w:r>
      <w:r>
        <w:rPr>
          <w:sz w:val="24"/>
          <w:szCs w:val="24"/>
        </w:rPr>
        <w:t>5</w:t>
      </w:r>
      <w:r w:rsidRPr="001D23ED">
        <w:rPr>
          <w:sz w:val="24"/>
          <w:szCs w:val="24"/>
        </w:rPr>
        <w:t xml:space="preserve"> млн руб. </w:t>
      </w:r>
      <w:r>
        <w:rPr>
          <w:sz w:val="24"/>
          <w:szCs w:val="24"/>
        </w:rPr>
        <w:t xml:space="preserve">Выработка продукции химической промышленности </w:t>
      </w:r>
      <w:r w:rsidRPr="001D23ED">
        <w:rPr>
          <w:sz w:val="24"/>
          <w:szCs w:val="24"/>
        </w:rPr>
        <w:t>по итогам года в 1,4 раза превзошла параметры базисного периода. Наращ</w:t>
      </w:r>
      <w:r>
        <w:rPr>
          <w:sz w:val="24"/>
          <w:szCs w:val="24"/>
        </w:rPr>
        <w:t>ивани</w:t>
      </w:r>
      <w:r w:rsidRPr="001D23ED">
        <w:rPr>
          <w:sz w:val="24"/>
          <w:szCs w:val="24"/>
        </w:rPr>
        <w:t>ем объёмов производства характеризовалась работа</w:t>
      </w:r>
      <w:r>
        <w:rPr>
          <w:sz w:val="24"/>
          <w:szCs w:val="24"/>
        </w:rPr>
        <w:t xml:space="preserve"> предприятий</w:t>
      </w:r>
      <w:r w:rsidRPr="001D23ED">
        <w:rPr>
          <w:sz w:val="24"/>
          <w:szCs w:val="24"/>
        </w:rPr>
        <w:t xml:space="preserve"> машиностро</w:t>
      </w:r>
      <w:r>
        <w:rPr>
          <w:sz w:val="24"/>
          <w:szCs w:val="24"/>
        </w:rPr>
        <w:t>ения</w:t>
      </w:r>
      <w:r w:rsidRPr="001D23ED">
        <w:rPr>
          <w:sz w:val="24"/>
          <w:szCs w:val="24"/>
        </w:rPr>
        <w:t xml:space="preserve"> (+7,</w:t>
      </w:r>
      <w:r>
        <w:rPr>
          <w:sz w:val="24"/>
          <w:szCs w:val="24"/>
        </w:rPr>
        <w:t>1</w:t>
      </w:r>
      <w:r w:rsidRPr="001D23ED">
        <w:rPr>
          <w:sz w:val="24"/>
          <w:szCs w:val="24"/>
        </w:rPr>
        <w:t>%) и промышленности с</w:t>
      </w:r>
      <w:r>
        <w:rPr>
          <w:sz w:val="24"/>
          <w:szCs w:val="24"/>
        </w:rPr>
        <w:t>троительных материалов (+12,6%)</w:t>
      </w:r>
      <w:r w:rsidRPr="001D23ED">
        <w:rPr>
          <w:sz w:val="24"/>
          <w:szCs w:val="24"/>
        </w:rPr>
        <w:t>. Исключением стали мукомольно-крупяная и полиграфическая отрасли, выработка в которых сократилась в сопоставимой оценке на 1,</w:t>
      </w:r>
      <w:r>
        <w:rPr>
          <w:sz w:val="24"/>
          <w:szCs w:val="24"/>
        </w:rPr>
        <w:t>0</w:t>
      </w:r>
      <w:r w:rsidRPr="001D23ED">
        <w:rPr>
          <w:sz w:val="24"/>
          <w:szCs w:val="24"/>
        </w:rPr>
        <w:t xml:space="preserve">% и 6,4% соответственно. </w:t>
      </w:r>
    </w:p>
    <w:p w:rsidR="00C20988" w:rsidRPr="001D23ED" w:rsidRDefault="00C20988" w:rsidP="000D5444">
      <w:pPr>
        <w:spacing w:line="20" w:lineRule="atLeast"/>
        <w:ind w:right="-1" w:firstLine="425"/>
        <w:jc w:val="both"/>
        <w:rPr>
          <w:sz w:val="24"/>
          <w:szCs w:val="24"/>
        </w:rPr>
      </w:pPr>
      <w:r w:rsidRPr="001A618C">
        <w:rPr>
          <w:sz w:val="24"/>
          <w:szCs w:val="24"/>
        </w:rPr>
        <w:t xml:space="preserve">Ежемесячная динамика свидетельствует, что поступательный рост производства продолжался с июня 2017 года по март 2018 года (в марте 2018 года </w:t>
      </w:r>
      <w:r>
        <w:rPr>
          <w:sz w:val="24"/>
          <w:szCs w:val="24"/>
        </w:rPr>
        <w:t>отмечены</w:t>
      </w:r>
      <w:r w:rsidRPr="001A618C">
        <w:rPr>
          <w:sz w:val="24"/>
          <w:szCs w:val="24"/>
        </w:rPr>
        <w:t xml:space="preserve"> максимальные внутригодовые параме</w:t>
      </w:r>
      <w:r>
        <w:rPr>
          <w:sz w:val="24"/>
          <w:szCs w:val="24"/>
        </w:rPr>
        <w:t>тры выпуска – 1 222,6 млн руб.)</w:t>
      </w:r>
      <w:r w:rsidRPr="001A618C">
        <w:rPr>
          <w:sz w:val="24"/>
          <w:szCs w:val="24"/>
        </w:rPr>
        <w:t xml:space="preserve">. </w:t>
      </w:r>
      <w:r>
        <w:rPr>
          <w:sz w:val="24"/>
          <w:szCs w:val="24"/>
        </w:rPr>
        <w:t xml:space="preserve">За этот </w:t>
      </w:r>
      <w:r w:rsidRPr="001A618C">
        <w:rPr>
          <w:sz w:val="24"/>
          <w:szCs w:val="24"/>
        </w:rPr>
        <w:t xml:space="preserve">период </w:t>
      </w:r>
      <w:r>
        <w:rPr>
          <w:sz w:val="24"/>
          <w:szCs w:val="24"/>
        </w:rPr>
        <w:t>средн</w:t>
      </w:r>
      <w:r w:rsidRPr="001A618C">
        <w:rPr>
          <w:sz w:val="24"/>
          <w:szCs w:val="24"/>
        </w:rPr>
        <w:t xml:space="preserve">емесячный темп роста составил 108,2%. С апреля 2018 года фиксировалось замедление темпов производства, в отдельные месяцы </w:t>
      </w:r>
      <w:r>
        <w:rPr>
          <w:sz w:val="24"/>
          <w:szCs w:val="24"/>
        </w:rPr>
        <w:t>отмечалось его падение</w:t>
      </w:r>
      <w:r w:rsidRPr="001A618C">
        <w:rPr>
          <w:sz w:val="24"/>
          <w:szCs w:val="24"/>
        </w:rPr>
        <w:t>, что обусловило формирование до конца года отрицательного среднемесячного значения темп</w:t>
      </w:r>
      <w:r>
        <w:rPr>
          <w:sz w:val="24"/>
          <w:szCs w:val="24"/>
        </w:rPr>
        <w:t>ов</w:t>
      </w:r>
      <w:r w:rsidRPr="001A618C">
        <w:rPr>
          <w:sz w:val="24"/>
          <w:szCs w:val="24"/>
        </w:rPr>
        <w:t xml:space="preserve"> роста –</w:t>
      </w:r>
      <w:r>
        <w:rPr>
          <w:sz w:val="24"/>
          <w:szCs w:val="24"/>
        </w:rPr>
        <w:t xml:space="preserve"> </w:t>
      </w:r>
      <w:r w:rsidRPr="001A618C">
        <w:rPr>
          <w:sz w:val="24"/>
          <w:szCs w:val="24"/>
        </w:rPr>
        <w:t xml:space="preserve">-2,8%. </w:t>
      </w:r>
    </w:p>
    <w:p w:rsidR="00C20988" w:rsidRPr="00B3261A" w:rsidRDefault="00C20988" w:rsidP="00B3261A">
      <w:pPr>
        <w:spacing w:line="20" w:lineRule="atLeast"/>
        <w:ind w:right="-1" w:firstLine="425"/>
        <w:jc w:val="both"/>
        <w:rPr>
          <w:color w:val="000000"/>
          <w:sz w:val="24"/>
          <w:szCs w:val="24"/>
        </w:rPr>
      </w:pPr>
      <w:r w:rsidRPr="00B3261A">
        <w:rPr>
          <w:color w:val="000000"/>
          <w:sz w:val="24"/>
          <w:szCs w:val="24"/>
        </w:rPr>
        <w:t>Ситуация в аграрном секторе республики п</w:t>
      </w:r>
      <w:r w:rsidRPr="00B3261A">
        <w:rPr>
          <w:sz w:val="24"/>
          <w:szCs w:val="24"/>
        </w:rPr>
        <w:t xml:space="preserve">о итогам 2018 года </w:t>
      </w:r>
      <w:r w:rsidRPr="00B3261A">
        <w:rPr>
          <w:color w:val="000000"/>
          <w:sz w:val="24"/>
          <w:szCs w:val="24"/>
        </w:rPr>
        <w:t>характеризовалась следующими параметрами. О</w:t>
      </w:r>
      <w:r w:rsidRPr="00B3261A">
        <w:rPr>
          <w:sz w:val="24"/>
          <w:szCs w:val="24"/>
        </w:rPr>
        <w:t xml:space="preserve">бъём выпуска сельскохозяйственной продукции </w:t>
      </w:r>
      <w:r>
        <w:rPr>
          <w:sz w:val="24"/>
          <w:szCs w:val="24"/>
        </w:rPr>
        <w:t>достиг</w:t>
      </w:r>
      <w:r w:rsidRPr="00B3261A">
        <w:rPr>
          <w:sz w:val="24"/>
          <w:szCs w:val="24"/>
        </w:rPr>
        <w:t xml:space="preserve"> </w:t>
      </w:r>
      <w:r>
        <w:rPr>
          <w:sz w:val="24"/>
          <w:szCs w:val="24"/>
        </w:rPr>
        <w:br/>
      </w:r>
      <w:r w:rsidRPr="00B3261A">
        <w:rPr>
          <w:sz w:val="24"/>
          <w:szCs w:val="24"/>
        </w:rPr>
        <w:t xml:space="preserve">3 365,0 млн руб., что в текущих ценах на 21,6% больше, чем в 2017 году. Индекс физического объёма сельскохозяйственной продукции составил 103,7% к базисному уровню, в том числе по продукции растениеводства – 102,7%, животноводства – 110,4%. </w:t>
      </w:r>
    </w:p>
    <w:p w:rsidR="00C20988" w:rsidRPr="00B3261A" w:rsidRDefault="00C20988" w:rsidP="00B3261A">
      <w:pPr>
        <w:spacing w:line="20" w:lineRule="atLeast"/>
        <w:ind w:right="-1" w:firstLine="425"/>
        <w:jc w:val="both"/>
        <w:rPr>
          <w:sz w:val="24"/>
          <w:szCs w:val="24"/>
        </w:rPr>
      </w:pPr>
      <w:r w:rsidRPr="00B3261A">
        <w:rPr>
          <w:color w:val="000000"/>
          <w:sz w:val="24"/>
          <w:szCs w:val="24"/>
        </w:rPr>
        <w:t xml:space="preserve">В </w:t>
      </w:r>
      <w:r w:rsidRPr="00B3261A">
        <w:rPr>
          <w:sz w:val="24"/>
          <w:szCs w:val="24"/>
        </w:rPr>
        <w:t xml:space="preserve">2018 году </w:t>
      </w:r>
      <w:r>
        <w:rPr>
          <w:sz w:val="24"/>
          <w:szCs w:val="24"/>
        </w:rPr>
        <w:t>производство</w:t>
      </w:r>
      <w:r w:rsidRPr="00B3261A">
        <w:rPr>
          <w:sz w:val="24"/>
          <w:szCs w:val="24"/>
        </w:rPr>
        <w:t xml:space="preserve"> зерновы</w:t>
      </w:r>
      <w:r>
        <w:rPr>
          <w:sz w:val="24"/>
          <w:szCs w:val="24"/>
        </w:rPr>
        <w:t>х и зернобобовых культур сложилось</w:t>
      </w:r>
      <w:r w:rsidRPr="00B3261A">
        <w:rPr>
          <w:sz w:val="24"/>
          <w:szCs w:val="24"/>
        </w:rPr>
        <w:t xml:space="preserve"> на уровне </w:t>
      </w:r>
      <w:r w:rsidRPr="00B3261A">
        <w:rPr>
          <w:sz w:val="24"/>
          <w:szCs w:val="24"/>
        </w:rPr>
        <w:br/>
        <w:t>480,1 тыс. тонн, что на 22,9 тыс. тонн больше показа</w:t>
      </w:r>
      <w:r>
        <w:rPr>
          <w:sz w:val="24"/>
          <w:szCs w:val="24"/>
        </w:rPr>
        <w:t>теля предыдущего года</w:t>
      </w:r>
      <w:r w:rsidRPr="00B3261A">
        <w:rPr>
          <w:sz w:val="24"/>
          <w:szCs w:val="24"/>
        </w:rPr>
        <w:t>.</w:t>
      </w:r>
      <w:r>
        <w:rPr>
          <w:sz w:val="24"/>
          <w:szCs w:val="24"/>
        </w:rPr>
        <w:t xml:space="preserve"> Валовой сбор пшеницы составил </w:t>
      </w:r>
      <w:r w:rsidRPr="00B3261A">
        <w:rPr>
          <w:sz w:val="24"/>
          <w:szCs w:val="24"/>
        </w:rPr>
        <w:t>30</w:t>
      </w:r>
      <w:r>
        <w:rPr>
          <w:sz w:val="24"/>
          <w:szCs w:val="24"/>
        </w:rPr>
        <w:t>6</w:t>
      </w:r>
      <w:r w:rsidRPr="00B3261A">
        <w:rPr>
          <w:sz w:val="24"/>
          <w:szCs w:val="24"/>
        </w:rPr>
        <w:t>,</w:t>
      </w:r>
      <w:r>
        <w:rPr>
          <w:sz w:val="24"/>
          <w:szCs w:val="24"/>
        </w:rPr>
        <w:t>6</w:t>
      </w:r>
      <w:r w:rsidRPr="00B3261A">
        <w:rPr>
          <w:sz w:val="24"/>
          <w:szCs w:val="24"/>
        </w:rPr>
        <w:t xml:space="preserve"> тыс. тонн (+2,8%), кукурузы </w:t>
      </w:r>
      <w:r>
        <w:rPr>
          <w:sz w:val="24"/>
          <w:szCs w:val="24"/>
        </w:rPr>
        <w:t xml:space="preserve">– </w:t>
      </w:r>
      <w:r w:rsidRPr="00B3261A">
        <w:rPr>
          <w:sz w:val="24"/>
          <w:szCs w:val="24"/>
        </w:rPr>
        <w:t>134,2 тыс. тонн (+37,9%).</w:t>
      </w:r>
    </w:p>
    <w:p w:rsidR="00C20988" w:rsidRPr="00B3261A" w:rsidRDefault="00C20988" w:rsidP="00B3261A">
      <w:pPr>
        <w:spacing w:line="20" w:lineRule="atLeast"/>
        <w:ind w:right="-1" w:firstLine="425"/>
        <w:jc w:val="both"/>
        <w:rPr>
          <w:sz w:val="24"/>
          <w:szCs w:val="24"/>
        </w:rPr>
      </w:pPr>
      <w:r w:rsidRPr="00B3261A">
        <w:rPr>
          <w:sz w:val="24"/>
          <w:szCs w:val="24"/>
        </w:rPr>
        <w:t>При этом по овощам открытого грунта отмечено сокращение объёмов выращивания на 27,8%, до 31,2 тыс. тонн, что было обусловлено как снижением урожайности культур и посевных площадей, так и недостатком орошаемых земель. Также наблюдалось сокращение сбора бахчевых культур на 14,</w:t>
      </w:r>
      <w:r>
        <w:rPr>
          <w:sz w:val="24"/>
          <w:szCs w:val="24"/>
        </w:rPr>
        <w:t>9</w:t>
      </w:r>
      <w:r w:rsidRPr="00B3261A">
        <w:rPr>
          <w:sz w:val="24"/>
          <w:szCs w:val="24"/>
        </w:rPr>
        <w:t xml:space="preserve">%, до 3,0 тыс. тонн, и картофеля на 38,4%, до 2,9 тыс. тонн. В то же время производство овощей защищённого грунта, благодаря развивающимся в последние несколько лет тепличным технологиям выращивания, увеличилось на 13,8%, до 1,2 тыс. тонн. </w:t>
      </w:r>
    </w:p>
    <w:p w:rsidR="00C20988" w:rsidRPr="00BD5867" w:rsidRDefault="00C20988" w:rsidP="00B3261A">
      <w:pPr>
        <w:spacing w:line="20" w:lineRule="atLeast"/>
        <w:ind w:right="-1" w:firstLine="425"/>
        <w:jc w:val="both"/>
        <w:rPr>
          <w:sz w:val="24"/>
          <w:szCs w:val="24"/>
        </w:rPr>
      </w:pPr>
      <w:r w:rsidRPr="00B3261A">
        <w:rPr>
          <w:color w:val="000000"/>
          <w:sz w:val="24"/>
          <w:szCs w:val="24"/>
        </w:rPr>
        <w:t xml:space="preserve">В животноводческой сфере объём выращенного скота и </w:t>
      </w:r>
      <w:r w:rsidRPr="00B3261A">
        <w:rPr>
          <w:sz w:val="24"/>
          <w:szCs w:val="24"/>
        </w:rPr>
        <w:t>птицы возрос на 19,0%, до</w:t>
      </w:r>
      <w:r w:rsidRPr="00B3261A">
        <w:rPr>
          <w:color w:val="000000"/>
          <w:sz w:val="24"/>
          <w:szCs w:val="24"/>
        </w:rPr>
        <w:br/>
        <w:t xml:space="preserve">8 511,1 тонн. При этом реализация скота и птицы на убой увеличилась сопоставимыми темпами за счёт повышения показателей в свиноводстве (+25,2%, до 3 135,0 тонн) и </w:t>
      </w:r>
      <w:r w:rsidRPr="00B3261A">
        <w:rPr>
          <w:sz w:val="24"/>
          <w:szCs w:val="24"/>
        </w:rPr>
        <w:t>птицеводстве (+22,8%, до 4 254,9 тонн.).</w:t>
      </w:r>
      <w:r w:rsidRPr="00B3261A">
        <w:rPr>
          <w:color w:val="000000"/>
          <w:sz w:val="24"/>
          <w:szCs w:val="24"/>
        </w:rPr>
        <w:t xml:space="preserve"> П</w:t>
      </w:r>
      <w:r w:rsidRPr="00B3261A">
        <w:rPr>
          <w:sz w:val="24"/>
          <w:szCs w:val="24"/>
        </w:rPr>
        <w:t xml:space="preserve">роизводство коровьего молока выросло на 13,4%, до 9 465,1 тонн. </w:t>
      </w:r>
    </w:p>
    <w:p w:rsidR="00C20988" w:rsidRPr="00662C95" w:rsidRDefault="00C20988" w:rsidP="000D5444">
      <w:pPr>
        <w:ind w:firstLine="425"/>
        <w:jc w:val="both"/>
        <w:rPr>
          <w:sz w:val="24"/>
          <w:szCs w:val="24"/>
        </w:rPr>
      </w:pPr>
      <w:r w:rsidRPr="00662C95">
        <w:rPr>
          <w:color w:val="000000"/>
          <w:sz w:val="24"/>
          <w:szCs w:val="24"/>
        </w:rPr>
        <w:t>По итогам 2018 года сумма инвестиций в основной капитал (с учётом субъектов малого предпринимательства</w:t>
      </w:r>
      <w:r w:rsidRPr="00662C95">
        <w:rPr>
          <w:sz w:val="24"/>
          <w:szCs w:val="24"/>
        </w:rPr>
        <w:t xml:space="preserve"> и индивидуальных застройщиков), согласно данным Государственной службы статистики ПМР по организациям, охваченным статистическим наблюдением, составила 1 742,3 млн руб. Впервые за последнее время отмечен их рост: вложения в основной капитал</w:t>
      </w:r>
      <w:r>
        <w:rPr>
          <w:sz w:val="24"/>
          <w:szCs w:val="24"/>
        </w:rPr>
        <w:t xml:space="preserve"> крупных и средних предприятий</w:t>
      </w:r>
      <w:r w:rsidRPr="00662C95">
        <w:rPr>
          <w:sz w:val="24"/>
          <w:szCs w:val="24"/>
        </w:rPr>
        <w:t xml:space="preserve"> (в части новых и приобретённых по импорту основных средств) достигли 1 387,9 млн руб., что в сопоставимой оценке на 41,8% больше базисного показателя. </w:t>
      </w:r>
    </w:p>
    <w:p w:rsidR="00C20988" w:rsidRPr="00662C95" w:rsidRDefault="00C20988" w:rsidP="000D5444">
      <w:pPr>
        <w:ind w:firstLine="425"/>
        <w:jc w:val="both"/>
        <w:rPr>
          <w:sz w:val="24"/>
          <w:szCs w:val="24"/>
        </w:rPr>
      </w:pPr>
      <w:r w:rsidRPr="00662C95">
        <w:rPr>
          <w:sz w:val="24"/>
          <w:szCs w:val="24"/>
        </w:rPr>
        <w:t xml:space="preserve">С целью активизации инвестиционной деятельности в республике разработан Закон ПМР «О государственной поддержке инвестиционной деятельности» (вступил в силу 1 июня 2018 года), направленный на обеспечение гарантий защиты прав инвесторов и определяющий меры государственной поддержки инвестиций и другие важные аспекты. В рамках повышения доступности кредитных ресурсов, в том числе для малых предприятий, разработан механизм субсидирования процентной ставки при получении кредитов на модернизацию производства в приоритетных отраслях экономики. </w:t>
      </w:r>
    </w:p>
    <w:p w:rsidR="00C20988" w:rsidRPr="00662C95" w:rsidRDefault="00C20988" w:rsidP="000D5444">
      <w:pPr>
        <w:ind w:firstLine="425"/>
        <w:jc w:val="both"/>
        <w:rPr>
          <w:sz w:val="24"/>
          <w:szCs w:val="24"/>
        </w:rPr>
      </w:pPr>
      <w:r w:rsidRPr="00662C95">
        <w:rPr>
          <w:sz w:val="24"/>
          <w:szCs w:val="24"/>
        </w:rPr>
        <w:t>Повышательная динамика определялась как увеличением затрат на строительно-монтажные работы (в 1,3 раза, до 508,1 млн руб.), так и ростом инвестиций в приобретение машин, оборудования, транспортных средств (в 1,5 раза, до 853,9 млн руб.).</w:t>
      </w:r>
    </w:p>
    <w:p w:rsidR="00C20988" w:rsidRPr="00662C95" w:rsidRDefault="00C20988" w:rsidP="000D5444">
      <w:pPr>
        <w:ind w:firstLine="425"/>
        <w:jc w:val="both"/>
        <w:rPr>
          <w:sz w:val="24"/>
          <w:szCs w:val="24"/>
        </w:rPr>
      </w:pPr>
      <w:r w:rsidRPr="00662C95">
        <w:rPr>
          <w:sz w:val="24"/>
          <w:szCs w:val="24"/>
        </w:rPr>
        <w:t xml:space="preserve">На строительство, реконструкцию и техническое перевооружение объектов производственного назначения было направлено 1 179,1 млн руб., или 85,0% инвестиций. Затраты на приобретение объектов, не связанных непосредственно с осуществлением производственной деятельности организаций, составили 208,8 млн руб. </w:t>
      </w:r>
    </w:p>
    <w:p w:rsidR="00C20988" w:rsidRPr="00662C95" w:rsidRDefault="00C20988" w:rsidP="00140711">
      <w:pPr>
        <w:ind w:firstLine="425"/>
        <w:jc w:val="both"/>
        <w:rPr>
          <w:sz w:val="24"/>
          <w:szCs w:val="24"/>
        </w:rPr>
      </w:pPr>
      <w:r w:rsidRPr="00662C95">
        <w:rPr>
          <w:sz w:val="24"/>
          <w:szCs w:val="24"/>
        </w:rPr>
        <w:t>В отраслевом разрезе увеличение инвестиций фиксировалось как в сфере промышленности (в</w:t>
      </w:r>
      <w:r>
        <w:rPr>
          <w:sz w:val="24"/>
          <w:szCs w:val="24"/>
        </w:rPr>
        <w:t xml:space="preserve"> сопоставимой оценке в</w:t>
      </w:r>
      <w:r w:rsidRPr="00662C95">
        <w:rPr>
          <w:sz w:val="24"/>
          <w:szCs w:val="24"/>
        </w:rPr>
        <w:t xml:space="preserve"> 1,9 раза, до 687,7 млн руб.), так и сельском хозяйстве (в 1,7 раза, до 218,8 млн руб.), имеющим наибольшее структурное представление в совокупном показателе 49,5% и 15,8% соответственно. Росту инвестиционных показателей во многом способствовала реализация правительственной программы капвложений и предоставления льготных кредитов сельскому хозяйству. </w:t>
      </w:r>
    </w:p>
    <w:p w:rsidR="00C20988" w:rsidRPr="001D23ED" w:rsidRDefault="00C20988" w:rsidP="000D5444">
      <w:pPr>
        <w:ind w:firstLine="425"/>
        <w:jc w:val="both"/>
        <w:rPr>
          <w:sz w:val="24"/>
          <w:szCs w:val="24"/>
        </w:rPr>
      </w:pPr>
      <w:r w:rsidRPr="00662C95">
        <w:rPr>
          <w:sz w:val="24"/>
          <w:szCs w:val="24"/>
        </w:rPr>
        <w:t xml:space="preserve">Расширение объёмов инвестиций отмечалось также в сфере связи (в 1,3 раза, до </w:t>
      </w:r>
      <w:r w:rsidRPr="00662C95">
        <w:rPr>
          <w:sz w:val="24"/>
          <w:szCs w:val="24"/>
        </w:rPr>
        <w:br/>
        <w:t xml:space="preserve">82,8 млн руб.), транспорта (рост в 1,6 раза, до 71,8 млн руб.), образования (в 1,2 раза, до </w:t>
      </w:r>
      <w:r w:rsidRPr="00662C95">
        <w:rPr>
          <w:sz w:val="24"/>
          <w:szCs w:val="24"/>
        </w:rPr>
        <w:br/>
        <w:t>70,6 млн руб.) и социального обеспечения (рост в 5,1 раза, до 3,5 млн руб.). В то же время в ряде отраслей фиксировалось отставание показателя от значения базисного периода, в том числе в строительстве, торговле, здравоохранении, коммунальном хозяйстве, жилищном строительстве.</w:t>
      </w:r>
      <w:r w:rsidRPr="001D23ED">
        <w:rPr>
          <w:sz w:val="24"/>
          <w:szCs w:val="24"/>
        </w:rPr>
        <w:t xml:space="preserve"> </w:t>
      </w:r>
    </w:p>
    <w:p w:rsidR="00C20988" w:rsidRPr="001D23ED" w:rsidRDefault="00C20988" w:rsidP="000D5444">
      <w:pPr>
        <w:widowControl w:val="0"/>
        <w:autoSpaceDE w:val="0"/>
        <w:autoSpaceDN w:val="0"/>
        <w:adjustRightInd w:val="0"/>
        <w:spacing w:before="120" w:after="120"/>
        <w:ind w:firstLine="425"/>
        <w:jc w:val="both"/>
        <w:rPr>
          <w:i/>
          <w:iCs/>
          <w:sz w:val="24"/>
          <w:szCs w:val="24"/>
        </w:rPr>
      </w:pPr>
      <w:r w:rsidRPr="001D23ED">
        <w:rPr>
          <w:i/>
          <w:iCs/>
          <w:sz w:val="24"/>
          <w:szCs w:val="24"/>
        </w:rPr>
        <w:t>Динамика цен</w:t>
      </w:r>
    </w:p>
    <w:p w:rsidR="00C20988" w:rsidRDefault="00C20988" w:rsidP="000D5444">
      <w:pPr>
        <w:widowControl w:val="0"/>
        <w:spacing w:before="120"/>
        <w:ind w:firstLine="425"/>
        <w:jc w:val="both"/>
        <w:rPr>
          <w:sz w:val="24"/>
          <w:szCs w:val="24"/>
        </w:rPr>
      </w:pPr>
      <w:r w:rsidRPr="001D23ED">
        <w:rPr>
          <w:sz w:val="24"/>
          <w:szCs w:val="24"/>
        </w:rPr>
        <w:t>На потребительском рынке Приднестровья в отчётном периоде преобладала тенденция замедления инфляционных процессов. Согласно данным Государственной службы статистики ПМР, сводный индекс потребительских цен</w:t>
      </w:r>
      <w:r>
        <w:rPr>
          <w:sz w:val="24"/>
          <w:szCs w:val="24"/>
        </w:rPr>
        <w:t xml:space="preserve"> (СИПЦ)</w:t>
      </w:r>
      <w:r w:rsidRPr="001D23ED">
        <w:rPr>
          <w:sz w:val="24"/>
          <w:szCs w:val="24"/>
        </w:rPr>
        <w:t xml:space="preserve"> по итогам 2018 года сложился на уровне 106,97%, что на 4,85 п.п. ниже, чем в 2017 году (табл. 1.</w:t>
      </w:r>
      <w:r>
        <w:rPr>
          <w:sz w:val="24"/>
          <w:szCs w:val="24"/>
        </w:rPr>
        <w:t>3</w:t>
      </w:r>
      <w:r w:rsidRPr="001D23ED">
        <w:rPr>
          <w:sz w:val="24"/>
          <w:szCs w:val="24"/>
        </w:rPr>
        <w:t xml:space="preserve">). Это соответствовало верхней границе прогнозного диапазона Центрального банка ПМР, представленного в Основных направлениях единой государственной денежно-кредитной политики на 2018 год. </w:t>
      </w:r>
    </w:p>
    <w:p w:rsidR="00C20988" w:rsidRDefault="00C20988" w:rsidP="0076432C">
      <w:pPr>
        <w:widowControl w:val="0"/>
        <w:ind w:firstLine="425"/>
        <w:jc w:val="both"/>
        <w:rPr>
          <w:sz w:val="24"/>
          <w:szCs w:val="24"/>
        </w:rPr>
      </w:pPr>
      <w:r w:rsidRPr="001D23ED">
        <w:rPr>
          <w:sz w:val="24"/>
          <w:szCs w:val="24"/>
        </w:rPr>
        <w:t xml:space="preserve">В годовом выражении инфляция начала замедляться уже с апреля 2018 года, сохранив эту </w:t>
      </w:r>
      <w:r>
        <w:rPr>
          <w:sz w:val="24"/>
          <w:szCs w:val="24"/>
        </w:rPr>
        <w:t>тенденцию</w:t>
      </w:r>
      <w:r w:rsidRPr="001D23ED">
        <w:rPr>
          <w:sz w:val="24"/>
          <w:szCs w:val="24"/>
        </w:rPr>
        <w:t xml:space="preserve"> до декабря.</w:t>
      </w:r>
    </w:p>
    <w:p w:rsidR="00C20988" w:rsidRDefault="00C20988" w:rsidP="0076432C">
      <w:pPr>
        <w:widowControl w:val="0"/>
        <w:ind w:firstLine="425"/>
        <w:jc w:val="both"/>
        <w:rPr>
          <w:sz w:val="24"/>
          <w:szCs w:val="24"/>
        </w:rPr>
      </w:pPr>
      <w:r w:rsidRPr="001D23ED">
        <w:rPr>
          <w:sz w:val="24"/>
          <w:szCs w:val="24"/>
        </w:rPr>
        <w:t xml:space="preserve">Наибольшее влияние на итоговый показатель </w:t>
      </w:r>
      <w:r>
        <w:rPr>
          <w:sz w:val="24"/>
          <w:szCs w:val="24"/>
        </w:rPr>
        <w:t xml:space="preserve">оказала динамика цен на </w:t>
      </w:r>
      <w:r w:rsidRPr="001D23ED">
        <w:rPr>
          <w:sz w:val="24"/>
          <w:szCs w:val="24"/>
        </w:rPr>
        <w:t>продовольственны</w:t>
      </w:r>
      <w:r>
        <w:rPr>
          <w:sz w:val="24"/>
          <w:szCs w:val="24"/>
        </w:rPr>
        <w:t>е</w:t>
      </w:r>
      <w:r w:rsidRPr="001D23ED">
        <w:rPr>
          <w:sz w:val="24"/>
          <w:szCs w:val="24"/>
        </w:rPr>
        <w:t xml:space="preserve"> товар</w:t>
      </w:r>
      <w:r>
        <w:rPr>
          <w:sz w:val="24"/>
          <w:szCs w:val="24"/>
        </w:rPr>
        <w:t>ы</w:t>
      </w:r>
      <w:r w:rsidRPr="001D23ED">
        <w:rPr>
          <w:sz w:val="24"/>
          <w:szCs w:val="24"/>
        </w:rPr>
        <w:t xml:space="preserve">, которые по позициям, охваченным статистическим наблюдением, в среднем повысились на 13,0%, что, однако, на 6,7 п.п. ниже значения базисного периода. Вклад продовольственной инфляции составил 5,4 п.п. сводного индекса. При этом наиболее ощутимо увеличилась стоимость плодоовощной продукции (в 1,5 раза), в разрезе товарных позиций которой основным генератором роста выступили овощи, подорожавшие по итогам года в 2,4 раза. В то же время столь высокие темпы роста во многом связаны с особенностями подходов статистического учёта. </w:t>
      </w:r>
    </w:p>
    <w:p w:rsidR="00C20988" w:rsidRPr="001D23ED" w:rsidRDefault="00C20988" w:rsidP="00BE7BE0">
      <w:pPr>
        <w:widowControl w:val="0"/>
        <w:spacing w:before="120"/>
        <w:ind w:firstLine="425"/>
        <w:jc w:val="right"/>
        <w:rPr>
          <w:b/>
          <w:i/>
          <w:sz w:val="24"/>
          <w:szCs w:val="24"/>
        </w:rPr>
      </w:pPr>
      <w:r>
        <w:rPr>
          <w:b/>
          <w:i/>
          <w:sz w:val="24"/>
          <w:szCs w:val="24"/>
        </w:rPr>
        <w:t>Таблица 1.3</w:t>
      </w:r>
    </w:p>
    <w:p w:rsidR="00C20988" w:rsidRPr="001D23ED" w:rsidRDefault="00C20988" w:rsidP="00BE7BE0">
      <w:pPr>
        <w:widowControl w:val="0"/>
        <w:spacing w:after="120"/>
        <w:jc w:val="center"/>
        <w:outlineLvl w:val="0"/>
        <w:rPr>
          <w:b/>
          <w:i/>
          <w:sz w:val="24"/>
          <w:szCs w:val="24"/>
        </w:rPr>
      </w:pPr>
      <w:r w:rsidRPr="001D23ED">
        <w:rPr>
          <w:b/>
          <w:i/>
          <w:sz w:val="24"/>
          <w:szCs w:val="24"/>
        </w:rPr>
        <w:t>Темпы роста потребительских цен,</w:t>
      </w:r>
      <w:r>
        <w:rPr>
          <w:b/>
          <w: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3"/>
        <w:gridCol w:w="1873"/>
        <w:gridCol w:w="1873"/>
      </w:tblGrid>
      <w:tr w:rsidR="00C20988" w:rsidRPr="001D23ED" w:rsidTr="0024723A">
        <w:trPr>
          <w:cantSplit/>
          <w:trHeight w:val="74"/>
        </w:trPr>
        <w:tc>
          <w:tcPr>
            <w:tcW w:w="5893" w:type="dxa"/>
            <w:shd w:val="clear" w:color="auto" w:fill="CCCCCC"/>
          </w:tcPr>
          <w:p w:rsidR="00C20988" w:rsidRPr="001D23ED" w:rsidRDefault="00C20988" w:rsidP="00BE7BE0">
            <w:pPr>
              <w:widowControl w:val="0"/>
              <w:jc w:val="center"/>
              <w:rPr>
                <w:sz w:val="22"/>
                <w:szCs w:val="22"/>
              </w:rPr>
            </w:pPr>
          </w:p>
        </w:tc>
        <w:tc>
          <w:tcPr>
            <w:tcW w:w="1873" w:type="dxa"/>
            <w:tcBorders>
              <w:bottom w:val="double" w:sz="4" w:space="0" w:color="auto"/>
            </w:tcBorders>
            <w:shd w:val="clear" w:color="auto" w:fill="CCCCCC"/>
          </w:tcPr>
          <w:p w:rsidR="00C20988" w:rsidRPr="001D23ED" w:rsidRDefault="00C20988" w:rsidP="00BE7BE0">
            <w:pPr>
              <w:widowControl w:val="0"/>
              <w:jc w:val="center"/>
              <w:rPr>
                <w:sz w:val="22"/>
                <w:szCs w:val="22"/>
              </w:rPr>
            </w:pPr>
            <w:r w:rsidRPr="001D23ED">
              <w:rPr>
                <w:sz w:val="22"/>
                <w:szCs w:val="22"/>
              </w:rPr>
              <w:t>2017 год</w:t>
            </w:r>
          </w:p>
        </w:tc>
        <w:tc>
          <w:tcPr>
            <w:tcW w:w="1873" w:type="dxa"/>
            <w:tcBorders>
              <w:bottom w:val="double" w:sz="4" w:space="0" w:color="auto"/>
            </w:tcBorders>
            <w:shd w:val="clear" w:color="auto" w:fill="CCCCCC"/>
          </w:tcPr>
          <w:p w:rsidR="00C20988" w:rsidRPr="001D23ED" w:rsidRDefault="00C20988" w:rsidP="00BE7BE0">
            <w:pPr>
              <w:widowControl w:val="0"/>
              <w:jc w:val="center"/>
              <w:rPr>
                <w:sz w:val="22"/>
                <w:szCs w:val="22"/>
              </w:rPr>
            </w:pPr>
            <w:r w:rsidRPr="001D23ED">
              <w:rPr>
                <w:sz w:val="22"/>
                <w:szCs w:val="22"/>
              </w:rPr>
              <w:t>2018 год</w:t>
            </w:r>
          </w:p>
        </w:tc>
      </w:tr>
      <w:tr w:rsidR="00C20988" w:rsidRPr="001D23ED" w:rsidTr="0024723A">
        <w:trPr>
          <w:trHeight w:val="150"/>
        </w:trPr>
        <w:tc>
          <w:tcPr>
            <w:tcW w:w="5893" w:type="dxa"/>
            <w:tcBorders>
              <w:top w:val="double" w:sz="4" w:space="0" w:color="auto"/>
            </w:tcBorders>
            <w:shd w:val="clear" w:color="auto" w:fill="CCCCCC"/>
            <w:vAlign w:val="center"/>
          </w:tcPr>
          <w:p w:rsidR="00C20988" w:rsidRPr="001D23ED" w:rsidRDefault="00C20988" w:rsidP="0014379D">
            <w:pPr>
              <w:widowControl w:val="0"/>
              <w:jc w:val="both"/>
              <w:rPr>
                <w:sz w:val="22"/>
                <w:szCs w:val="22"/>
              </w:rPr>
            </w:pPr>
            <w:r w:rsidRPr="001D23ED">
              <w:rPr>
                <w:sz w:val="22"/>
                <w:szCs w:val="22"/>
              </w:rPr>
              <w:t>Сводный индекс потребительских цен</w:t>
            </w:r>
          </w:p>
        </w:tc>
        <w:tc>
          <w:tcPr>
            <w:tcW w:w="1873" w:type="dxa"/>
            <w:tcBorders>
              <w:top w:val="double" w:sz="4" w:space="0" w:color="auto"/>
            </w:tcBorders>
            <w:shd w:val="clear" w:color="auto" w:fill="CCCCCC"/>
            <w:vAlign w:val="center"/>
          </w:tcPr>
          <w:p w:rsidR="00C20988" w:rsidRPr="001D23ED" w:rsidRDefault="00C20988" w:rsidP="0024723A">
            <w:pPr>
              <w:widowControl w:val="0"/>
              <w:ind w:right="575"/>
              <w:jc w:val="right"/>
              <w:rPr>
                <w:sz w:val="22"/>
                <w:szCs w:val="22"/>
              </w:rPr>
            </w:pPr>
            <w:r w:rsidRPr="001D23ED">
              <w:rPr>
                <w:sz w:val="22"/>
                <w:szCs w:val="22"/>
              </w:rPr>
              <w:t>111,8</w:t>
            </w:r>
          </w:p>
        </w:tc>
        <w:tc>
          <w:tcPr>
            <w:tcW w:w="1873" w:type="dxa"/>
            <w:tcBorders>
              <w:top w:val="double" w:sz="4" w:space="0" w:color="auto"/>
            </w:tcBorders>
            <w:shd w:val="clear" w:color="auto" w:fill="CCCCCC"/>
            <w:vAlign w:val="center"/>
          </w:tcPr>
          <w:p w:rsidR="00C20988" w:rsidRPr="001D23ED" w:rsidRDefault="00C20988" w:rsidP="0024723A">
            <w:pPr>
              <w:widowControl w:val="0"/>
              <w:tabs>
                <w:tab w:val="left" w:pos="938"/>
                <w:tab w:val="left" w:pos="972"/>
              </w:tabs>
              <w:ind w:right="575"/>
              <w:jc w:val="right"/>
              <w:rPr>
                <w:snapToGrid w:val="0"/>
                <w:sz w:val="22"/>
                <w:szCs w:val="22"/>
              </w:rPr>
            </w:pPr>
            <w:r w:rsidRPr="001D23ED">
              <w:rPr>
                <w:snapToGrid w:val="0"/>
                <w:sz w:val="22"/>
                <w:szCs w:val="22"/>
              </w:rPr>
              <w:t>107,0</w:t>
            </w:r>
          </w:p>
        </w:tc>
      </w:tr>
      <w:tr w:rsidR="00C20988" w:rsidRPr="001D23ED" w:rsidTr="0024723A">
        <w:tc>
          <w:tcPr>
            <w:tcW w:w="5893" w:type="dxa"/>
            <w:vAlign w:val="center"/>
          </w:tcPr>
          <w:p w:rsidR="00C20988" w:rsidRPr="001D23ED" w:rsidRDefault="00C20988" w:rsidP="00973DA1">
            <w:pPr>
              <w:widowControl w:val="0"/>
              <w:ind w:firstLine="158"/>
              <w:jc w:val="both"/>
              <w:rPr>
                <w:sz w:val="22"/>
                <w:szCs w:val="22"/>
              </w:rPr>
            </w:pPr>
            <w:bookmarkStart w:id="0" w:name="_Hlk212860592"/>
            <w:r>
              <w:rPr>
                <w:sz w:val="22"/>
                <w:szCs w:val="22"/>
              </w:rPr>
              <w:t>в том числе по отраслям:</w:t>
            </w:r>
          </w:p>
        </w:tc>
        <w:tc>
          <w:tcPr>
            <w:tcW w:w="1873" w:type="dxa"/>
            <w:vAlign w:val="center"/>
          </w:tcPr>
          <w:p w:rsidR="00C20988" w:rsidRPr="001D23ED" w:rsidRDefault="00C20988" w:rsidP="0024723A">
            <w:pPr>
              <w:widowControl w:val="0"/>
              <w:ind w:right="575"/>
              <w:jc w:val="right"/>
              <w:rPr>
                <w:sz w:val="22"/>
                <w:szCs w:val="22"/>
              </w:rPr>
            </w:pPr>
          </w:p>
        </w:tc>
        <w:tc>
          <w:tcPr>
            <w:tcW w:w="1873" w:type="dxa"/>
            <w:vAlign w:val="center"/>
          </w:tcPr>
          <w:p w:rsidR="00C20988" w:rsidRPr="001D23ED" w:rsidRDefault="00C20988" w:rsidP="0024723A">
            <w:pPr>
              <w:widowControl w:val="0"/>
              <w:tabs>
                <w:tab w:val="left" w:pos="972"/>
              </w:tabs>
              <w:ind w:right="575"/>
              <w:jc w:val="right"/>
              <w:rPr>
                <w:sz w:val="22"/>
                <w:szCs w:val="22"/>
              </w:rPr>
            </w:pPr>
          </w:p>
        </w:tc>
      </w:tr>
      <w:bookmarkEnd w:id="0"/>
      <w:tr w:rsidR="00C20988" w:rsidRPr="001D23ED" w:rsidTr="0024723A">
        <w:tc>
          <w:tcPr>
            <w:tcW w:w="5893" w:type="dxa"/>
            <w:vAlign w:val="center"/>
          </w:tcPr>
          <w:p w:rsidR="00C20988" w:rsidRPr="001D23ED" w:rsidRDefault="00C20988" w:rsidP="006F3BDC">
            <w:pPr>
              <w:widowControl w:val="0"/>
              <w:ind w:firstLine="158"/>
              <w:jc w:val="both"/>
              <w:rPr>
                <w:sz w:val="22"/>
                <w:szCs w:val="22"/>
              </w:rPr>
            </w:pPr>
            <w:r>
              <w:rPr>
                <w:sz w:val="22"/>
                <w:szCs w:val="22"/>
              </w:rPr>
              <w:t>- т</w:t>
            </w:r>
            <w:r w:rsidRPr="001D23ED">
              <w:rPr>
                <w:sz w:val="22"/>
                <w:szCs w:val="22"/>
              </w:rPr>
              <w:t>емпы роста цен на продовольственные товары</w:t>
            </w:r>
          </w:p>
        </w:tc>
        <w:tc>
          <w:tcPr>
            <w:tcW w:w="1873" w:type="dxa"/>
            <w:vAlign w:val="center"/>
          </w:tcPr>
          <w:p w:rsidR="00C20988" w:rsidRPr="001D23ED" w:rsidRDefault="00C20988" w:rsidP="006F3BDC">
            <w:pPr>
              <w:widowControl w:val="0"/>
              <w:ind w:right="575"/>
              <w:jc w:val="right"/>
              <w:rPr>
                <w:sz w:val="22"/>
                <w:szCs w:val="22"/>
              </w:rPr>
            </w:pPr>
            <w:r w:rsidRPr="001D23ED">
              <w:rPr>
                <w:sz w:val="22"/>
                <w:szCs w:val="22"/>
              </w:rPr>
              <w:t>119,7</w:t>
            </w:r>
          </w:p>
        </w:tc>
        <w:tc>
          <w:tcPr>
            <w:tcW w:w="1873" w:type="dxa"/>
            <w:vAlign w:val="center"/>
          </w:tcPr>
          <w:p w:rsidR="00C20988" w:rsidRPr="001D23ED" w:rsidRDefault="00C20988" w:rsidP="006F3BDC">
            <w:pPr>
              <w:widowControl w:val="0"/>
              <w:tabs>
                <w:tab w:val="left" w:pos="972"/>
              </w:tabs>
              <w:ind w:right="575"/>
              <w:jc w:val="right"/>
              <w:rPr>
                <w:sz w:val="22"/>
                <w:szCs w:val="22"/>
              </w:rPr>
            </w:pPr>
            <w:r w:rsidRPr="001D23ED">
              <w:rPr>
                <w:sz w:val="22"/>
                <w:szCs w:val="22"/>
              </w:rPr>
              <w:t>113,0</w:t>
            </w:r>
          </w:p>
        </w:tc>
      </w:tr>
      <w:tr w:rsidR="00C20988" w:rsidRPr="001D23ED" w:rsidTr="0024723A">
        <w:trPr>
          <w:trHeight w:val="62"/>
        </w:trPr>
        <w:tc>
          <w:tcPr>
            <w:tcW w:w="5893" w:type="dxa"/>
            <w:vAlign w:val="center"/>
          </w:tcPr>
          <w:p w:rsidR="00C20988" w:rsidRPr="001D23ED" w:rsidRDefault="00C20988" w:rsidP="00973DA1">
            <w:pPr>
              <w:widowControl w:val="0"/>
              <w:ind w:firstLine="158"/>
              <w:jc w:val="both"/>
              <w:rPr>
                <w:sz w:val="22"/>
                <w:szCs w:val="22"/>
              </w:rPr>
            </w:pPr>
            <w:r>
              <w:rPr>
                <w:sz w:val="22"/>
                <w:szCs w:val="22"/>
              </w:rPr>
              <w:t>- т</w:t>
            </w:r>
            <w:r w:rsidRPr="001D23ED">
              <w:rPr>
                <w:sz w:val="22"/>
                <w:szCs w:val="22"/>
              </w:rPr>
              <w:t>емпы роста цен на непродовольственные товары</w:t>
            </w:r>
          </w:p>
        </w:tc>
        <w:tc>
          <w:tcPr>
            <w:tcW w:w="1873" w:type="dxa"/>
            <w:vAlign w:val="center"/>
          </w:tcPr>
          <w:p w:rsidR="00C20988" w:rsidRPr="001D23ED" w:rsidRDefault="00C20988" w:rsidP="0024723A">
            <w:pPr>
              <w:widowControl w:val="0"/>
              <w:ind w:right="575"/>
              <w:jc w:val="right"/>
              <w:rPr>
                <w:sz w:val="22"/>
                <w:szCs w:val="22"/>
              </w:rPr>
            </w:pPr>
            <w:r w:rsidRPr="001D23ED">
              <w:rPr>
                <w:sz w:val="22"/>
                <w:szCs w:val="22"/>
              </w:rPr>
              <w:t>109,9</w:t>
            </w:r>
          </w:p>
        </w:tc>
        <w:tc>
          <w:tcPr>
            <w:tcW w:w="1873" w:type="dxa"/>
            <w:vAlign w:val="center"/>
          </w:tcPr>
          <w:p w:rsidR="00C20988" w:rsidRPr="001D23ED" w:rsidRDefault="00C20988" w:rsidP="0024723A">
            <w:pPr>
              <w:widowControl w:val="0"/>
              <w:tabs>
                <w:tab w:val="left" w:pos="972"/>
              </w:tabs>
              <w:ind w:right="575"/>
              <w:jc w:val="right"/>
              <w:rPr>
                <w:sz w:val="22"/>
                <w:szCs w:val="22"/>
              </w:rPr>
            </w:pPr>
            <w:r w:rsidRPr="001D23ED">
              <w:rPr>
                <w:sz w:val="22"/>
                <w:szCs w:val="22"/>
              </w:rPr>
              <w:t>103,3</w:t>
            </w:r>
          </w:p>
        </w:tc>
      </w:tr>
      <w:tr w:rsidR="00C20988" w:rsidRPr="001D23ED" w:rsidTr="0024723A">
        <w:trPr>
          <w:trHeight w:val="62"/>
        </w:trPr>
        <w:tc>
          <w:tcPr>
            <w:tcW w:w="5893" w:type="dxa"/>
          </w:tcPr>
          <w:p w:rsidR="00C20988" w:rsidRPr="001D23ED" w:rsidRDefault="00C20988" w:rsidP="006F3BDC">
            <w:pPr>
              <w:widowControl w:val="0"/>
              <w:ind w:firstLine="158"/>
              <w:jc w:val="both"/>
              <w:rPr>
                <w:sz w:val="22"/>
                <w:szCs w:val="22"/>
              </w:rPr>
            </w:pPr>
            <w:r>
              <w:rPr>
                <w:sz w:val="22"/>
                <w:szCs w:val="22"/>
              </w:rPr>
              <w:t>- т</w:t>
            </w:r>
            <w:r w:rsidRPr="001D23ED">
              <w:rPr>
                <w:sz w:val="22"/>
                <w:szCs w:val="22"/>
              </w:rPr>
              <w:t>емпы роста тарифов на услуги</w:t>
            </w:r>
          </w:p>
        </w:tc>
        <w:tc>
          <w:tcPr>
            <w:tcW w:w="1873" w:type="dxa"/>
            <w:vAlign w:val="center"/>
          </w:tcPr>
          <w:p w:rsidR="00C20988" w:rsidRPr="001D23ED" w:rsidRDefault="00C20988" w:rsidP="0024723A">
            <w:pPr>
              <w:widowControl w:val="0"/>
              <w:ind w:right="575"/>
              <w:jc w:val="right"/>
              <w:rPr>
                <w:sz w:val="22"/>
                <w:szCs w:val="22"/>
              </w:rPr>
            </w:pPr>
            <w:r w:rsidRPr="001D23ED">
              <w:rPr>
                <w:sz w:val="22"/>
                <w:szCs w:val="22"/>
              </w:rPr>
              <w:t>101,7</w:t>
            </w:r>
          </w:p>
        </w:tc>
        <w:tc>
          <w:tcPr>
            <w:tcW w:w="1873" w:type="dxa"/>
            <w:vAlign w:val="center"/>
          </w:tcPr>
          <w:p w:rsidR="00C20988" w:rsidRPr="001D23ED" w:rsidRDefault="00C20988" w:rsidP="0024723A">
            <w:pPr>
              <w:widowControl w:val="0"/>
              <w:tabs>
                <w:tab w:val="left" w:pos="972"/>
              </w:tabs>
              <w:ind w:right="575"/>
              <w:jc w:val="right"/>
              <w:rPr>
                <w:sz w:val="22"/>
                <w:szCs w:val="22"/>
              </w:rPr>
            </w:pPr>
            <w:r w:rsidRPr="001D23ED">
              <w:rPr>
                <w:sz w:val="22"/>
                <w:szCs w:val="22"/>
              </w:rPr>
              <w:t>102,3</w:t>
            </w:r>
          </w:p>
        </w:tc>
      </w:tr>
      <w:tr w:rsidR="00C20988" w:rsidRPr="001D23ED" w:rsidTr="0024723A">
        <w:trPr>
          <w:trHeight w:val="62"/>
        </w:trPr>
        <w:tc>
          <w:tcPr>
            <w:tcW w:w="5893" w:type="dxa"/>
            <w:vAlign w:val="center"/>
          </w:tcPr>
          <w:p w:rsidR="00C20988" w:rsidRPr="001D23ED" w:rsidRDefault="00C20988" w:rsidP="00BE7BE0">
            <w:pPr>
              <w:widowControl w:val="0"/>
              <w:jc w:val="both"/>
              <w:rPr>
                <w:sz w:val="22"/>
                <w:szCs w:val="22"/>
              </w:rPr>
            </w:pPr>
            <w:r w:rsidRPr="001D23ED">
              <w:rPr>
                <w:sz w:val="22"/>
                <w:szCs w:val="22"/>
              </w:rPr>
              <w:t>Базовая инфляция</w:t>
            </w:r>
            <w:r w:rsidRPr="001D23ED">
              <w:rPr>
                <w:rStyle w:val="FootnoteReference"/>
                <w:sz w:val="22"/>
                <w:szCs w:val="22"/>
              </w:rPr>
              <w:footnoteReference w:id="2"/>
            </w:r>
          </w:p>
        </w:tc>
        <w:tc>
          <w:tcPr>
            <w:tcW w:w="1873" w:type="dxa"/>
            <w:vAlign w:val="center"/>
          </w:tcPr>
          <w:p w:rsidR="00C20988" w:rsidRPr="001D23ED" w:rsidRDefault="00C20988" w:rsidP="0024723A">
            <w:pPr>
              <w:widowControl w:val="0"/>
              <w:ind w:right="575"/>
              <w:jc w:val="right"/>
              <w:rPr>
                <w:sz w:val="22"/>
                <w:szCs w:val="22"/>
              </w:rPr>
            </w:pPr>
            <w:r w:rsidRPr="001D23ED">
              <w:rPr>
                <w:sz w:val="22"/>
                <w:szCs w:val="22"/>
              </w:rPr>
              <w:t>112,6</w:t>
            </w:r>
          </w:p>
        </w:tc>
        <w:tc>
          <w:tcPr>
            <w:tcW w:w="1873" w:type="dxa"/>
            <w:vAlign w:val="center"/>
          </w:tcPr>
          <w:p w:rsidR="00C20988" w:rsidRPr="001D23ED" w:rsidRDefault="00C20988" w:rsidP="0024723A">
            <w:pPr>
              <w:widowControl w:val="0"/>
              <w:tabs>
                <w:tab w:val="left" w:pos="972"/>
              </w:tabs>
              <w:ind w:right="575"/>
              <w:jc w:val="right"/>
              <w:rPr>
                <w:sz w:val="22"/>
                <w:szCs w:val="22"/>
              </w:rPr>
            </w:pPr>
            <w:r w:rsidRPr="001D23ED">
              <w:rPr>
                <w:sz w:val="22"/>
                <w:szCs w:val="22"/>
              </w:rPr>
              <w:t>103,7</w:t>
            </w:r>
          </w:p>
        </w:tc>
      </w:tr>
      <w:tr w:rsidR="00C20988" w:rsidRPr="001D23ED" w:rsidTr="0024723A">
        <w:trPr>
          <w:trHeight w:val="62"/>
        </w:trPr>
        <w:tc>
          <w:tcPr>
            <w:tcW w:w="5893" w:type="dxa"/>
            <w:vAlign w:val="center"/>
          </w:tcPr>
          <w:p w:rsidR="00C20988" w:rsidRPr="001D23ED" w:rsidRDefault="00C20988" w:rsidP="00BE7BE0">
            <w:pPr>
              <w:widowControl w:val="0"/>
              <w:jc w:val="both"/>
              <w:rPr>
                <w:sz w:val="22"/>
                <w:szCs w:val="22"/>
              </w:rPr>
            </w:pPr>
            <w:r w:rsidRPr="001D23ED">
              <w:rPr>
                <w:sz w:val="22"/>
                <w:szCs w:val="22"/>
              </w:rPr>
              <w:t>Небазовая инфляция</w:t>
            </w:r>
            <w:r w:rsidRPr="001D23ED">
              <w:rPr>
                <w:rStyle w:val="FootnoteReference"/>
                <w:sz w:val="22"/>
                <w:szCs w:val="22"/>
              </w:rPr>
              <w:footnoteReference w:id="3"/>
            </w:r>
          </w:p>
        </w:tc>
        <w:tc>
          <w:tcPr>
            <w:tcW w:w="1873" w:type="dxa"/>
            <w:vAlign w:val="center"/>
          </w:tcPr>
          <w:p w:rsidR="00C20988" w:rsidRPr="001D23ED" w:rsidRDefault="00C20988" w:rsidP="0024723A">
            <w:pPr>
              <w:widowControl w:val="0"/>
              <w:ind w:right="575"/>
              <w:jc w:val="right"/>
              <w:rPr>
                <w:sz w:val="22"/>
                <w:szCs w:val="22"/>
              </w:rPr>
            </w:pPr>
            <w:r w:rsidRPr="001D23ED">
              <w:rPr>
                <w:sz w:val="22"/>
                <w:szCs w:val="22"/>
              </w:rPr>
              <w:t>110,6</w:t>
            </w:r>
          </w:p>
        </w:tc>
        <w:tc>
          <w:tcPr>
            <w:tcW w:w="1873" w:type="dxa"/>
            <w:vAlign w:val="center"/>
          </w:tcPr>
          <w:p w:rsidR="00C20988" w:rsidRPr="001D23ED" w:rsidRDefault="00C20988" w:rsidP="0024723A">
            <w:pPr>
              <w:widowControl w:val="0"/>
              <w:ind w:right="575"/>
              <w:jc w:val="right"/>
              <w:rPr>
                <w:sz w:val="22"/>
                <w:szCs w:val="22"/>
              </w:rPr>
            </w:pPr>
            <w:r w:rsidRPr="001D23ED">
              <w:rPr>
                <w:sz w:val="22"/>
                <w:szCs w:val="22"/>
              </w:rPr>
              <w:t>111,4</w:t>
            </w:r>
          </w:p>
        </w:tc>
      </w:tr>
    </w:tbl>
    <w:p w:rsidR="00C20988" w:rsidRPr="001D23ED" w:rsidRDefault="00C20988" w:rsidP="0076432C">
      <w:pPr>
        <w:widowControl w:val="0"/>
        <w:spacing w:before="120"/>
        <w:ind w:firstLine="425"/>
        <w:jc w:val="both"/>
        <w:rPr>
          <w:sz w:val="24"/>
          <w:szCs w:val="24"/>
        </w:rPr>
      </w:pPr>
      <w:r>
        <w:rPr>
          <w:sz w:val="24"/>
          <w:szCs w:val="24"/>
        </w:rPr>
        <w:t>После длительного периода неизменности с</w:t>
      </w:r>
      <w:r w:rsidRPr="001D23ED">
        <w:rPr>
          <w:sz w:val="24"/>
          <w:szCs w:val="24"/>
        </w:rPr>
        <w:t>ущественный вклад (0,4 п.п.) в формирование сводн</w:t>
      </w:r>
      <w:r>
        <w:rPr>
          <w:sz w:val="24"/>
          <w:szCs w:val="24"/>
        </w:rPr>
        <w:t>ого</w:t>
      </w:r>
      <w:r w:rsidRPr="001D23ED">
        <w:rPr>
          <w:sz w:val="24"/>
          <w:szCs w:val="24"/>
        </w:rPr>
        <w:t xml:space="preserve"> индекс</w:t>
      </w:r>
      <w:r>
        <w:rPr>
          <w:sz w:val="24"/>
          <w:szCs w:val="24"/>
        </w:rPr>
        <w:t>а</w:t>
      </w:r>
      <w:r w:rsidRPr="001D23ED">
        <w:rPr>
          <w:sz w:val="24"/>
          <w:szCs w:val="24"/>
        </w:rPr>
        <w:t xml:space="preserve"> потребительских цен внесло увеличение цен на хлеб и хлебобулочные изделия на 14,8%, осуществлённое в конце 2018 года. Это было связано с ростом стоимости зерновых на фоне удорожания средств защиты, удобрений, ГСМ и семенного материала. Сложившаяся динамика в целом коррелировала с мировыми тенденциями</w:t>
      </w:r>
      <w:r>
        <w:rPr>
          <w:sz w:val="24"/>
          <w:szCs w:val="24"/>
        </w:rPr>
        <w:t>, а также с</w:t>
      </w:r>
      <w:r w:rsidRPr="001D23ED">
        <w:rPr>
          <w:sz w:val="24"/>
          <w:szCs w:val="24"/>
        </w:rPr>
        <w:t xml:space="preserve"> увеличением цен в странах-партнёрах, которое наблюд</w:t>
      </w:r>
      <w:r>
        <w:rPr>
          <w:sz w:val="24"/>
          <w:szCs w:val="24"/>
        </w:rPr>
        <w:t>алось в течение всего 2018 года</w:t>
      </w:r>
      <w:r w:rsidRPr="001D23ED">
        <w:rPr>
          <w:sz w:val="24"/>
          <w:szCs w:val="24"/>
        </w:rPr>
        <w:t xml:space="preserve">. </w:t>
      </w:r>
    </w:p>
    <w:p w:rsidR="00C20988" w:rsidRPr="001D23ED" w:rsidRDefault="00C20988" w:rsidP="00BE7BE0">
      <w:pPr>
        <w:widowControl w:val="0"/>
        <w:ind w:firstLine="425"/>
        <w:jc w:val="both"/>
        <w:rPr>
          <w:sz w:val="24"/>
          <w:szCs w:val="24"/>
        </w:rPr>
      </w:pPr>
      <w:r w:rsidRPr="002D2B0D">
        <w:rPr>
          <w:sz w:val="24"/>
          <w:szCs w:val="24"/>
        </w:rPr>
        <w:t>Повышательные корректировки цен затронули</w:t>
      </w:r>
      <w:r>
        <w:rPr>
          <w:sz w:val="24"/>
          <w:szCs w:val="24"/>
        </w:rPr>
        <w:t xml:space="preserve"> и</w:t>
      </w:r>
      <w:r w:rsidRPr="002D2B0D">
        <w:rPr>
          <w:sz w:val="24"/>
          <w:szCs w:val="24"/>
        </w:rPr>
        <w:t xml:space="preserve"> ряд продуктов животного происхождения. Увеличилась стоимость сыра (+12,5%), молока и молочной продукции (+7,8%), рыбопродуктов (+6,9%), сливочного масла (+4,5%).</w:t>
      </w:r>
      <w:r w:rsidRPr="002D2B0D">
        <w:t xml:space="preserve"> </w:t>
      </w:r>
      <w:r w:rsidRPr="002D2B0D">
        <w:rPr>
          <w:sz w:val="24"/>
          <w:szCs w:val="24"/>
        </w:rPr>
        <w:t>При этом цены на мясо и мясную продукцию выросли незначительно (+0,7%), что обуславливалось относительной стабильностью цен на мясо и птицу (+0,1%), формирующих порядка 60% сводного показателя по группе.</w:t>
      </w:r>
    </w:p>
    <w:p w:rsidR="00C20988" w:rsidRPr="001D23ED" w:rsidRDefault="00C20988" w:rsidP="00636ACE">
      <w:pPr>
        <w:widowControl w:val="0"/>
        <w:ind w:firstLine="425"/>
        <w:jc w:val="both"/>
        <w:rPr>
          <w:sz w:val="24"/>
          <w:szCs w:val="24"/>
        </w:rPr>
      </w:pPr>
      <w:r w:rsidRPr="001D23ED">
        <w:rPr>
          <w:sz w:val="24"/>
          <w:szCs w:val="24"/>
        </w:rPr>
        <w:t xml:space="preserve">Вместе с тем в отчётном периоде по ряду </w:t>
      </w:r>
      <w:r>
        <w:rPr>
          <w:sz w:val="24"/>
          <w:szCs w:val="24"/>
        </w:rPr>
        <w:t xml:space="preserve">продовольственных </w:t>
      </w:r>
      <w:r w:rsidRPr="001D23ED">
        <w:rPr>
          <w:sz w:val="24"/>
          <w:szCs w:val="24"/>
        </w:rPr>
        <w:t>позиций отмечалась дефляция. Вслед за понижательной динамикой на рынках соседних стран уменьшились цены на яйца (-8,1%)</w:t>
      </w:r>
      <w:r>
        <w:rPr>
          <w:sz w:val="24"/>
          <w:szCs w:val="24"/>
        </w:rPr>
        <w:t xml:space="preserve"> и сахар (-8,9%)</w:t>
      </w:r>
      <w:r w:rsidRPr="001D23ED">
        <w:rPr>
          <w:sz w:val="24"/>
          <w:szCs w:val="24"/>
        </w:rPr>
        <w:t xml:space="preserve">. </w:t>
      </w:r>
    </w:p>
    <w:p w:rsidR="00C20988" w:rsidRPr="001D23ED" w:rsidRDefault="00C20988" w:rsidP="00BE7BE0">
      <w:pPr>
        <w:widowControl w:val="0"/>
        <w:ind w:firstLine="425"/>
        <w:jc w:val="both"/>
        <w:rPr>
          <w:sz w:val="24"/>
          <w:szCs w:val="24"/>
        </w:rPr>
      </w:pPr>
      <w:r w:rsidRPr="001D23ED">
        <w:rPr>
          <w:sz w:val="24"/>
          <w:szCs w:val="24"/>
        </w:rPr>
        <w:t xml:space="preserve">В непродовольственном сегменте цены повысились на 3,3%, что значительно ниже уровня базисного периода (+9,9%), сформировав </w:t>
      </w:r>
      <w:r>
        <w:rPr>
          <w:sz w:val="24"/>
          <w:szCs w:val="24"/>
        </w:rPr>
        <w:t xml:space="preserve">тем самым </w:t>
      </w:r>
      <w:r w:rsidRPr="001D23ED">
        <w:rPr>
          <w:sz w:val="24"/>
          <w:szCs w:val="24"/>
        </w:rPr>
        <w:t>1,1 п.п. совокупного индекса. Основным фактором, обусловившим рост, стало повышение цен на топливо, произведённое в два этапа: в январе (+5,8%) и октябре (+8,4%) отчётного года. В результате по итогам 2018 года его стоимость увеличилась на 14,8%</w:t>
      </w:r>
      <w:r w:rsidRPr="001D23ED">
        <w:rPr>
          <w:rStyle w:val="FootnoteReference"/>
          <w:sz w:val="24"/>
          <w:szCs w:val="24"/>
        </w:rPr>
        <w:footnoteReference w:id="4"/>
      </w:r>
      <w:r w:rsidRPr="001D23ED">
        <w:rPr>
          <w:sz w:val="24"/>
          <w:szCs w:val="24"/>
        </w:rPr>
        <w:t xml:space="preserve">. Вслед за повышением стоимости табачной продукции, связанным с ростом акцизов на рынках стран-партнёров, цены на неё в республике увеличились на 18,4%. </w:t>
      </w:r>
    </w:p>
    <w:p w:rsidR="00C20988" w:rsidRDefault="00C20988" w:rsidP="00BE7BE0">
      <w:pPr>
        <w:widowControl w:val="0"/>
        <w:ind w:firstLine="425"/>
        <w:jc w:val="both"/>
        <w:rPr>
          <w:sz w:val="24"/>
          <w:szCs w:val="24"/>
        </w:rPr>
      </w:pPr>
      <w:r w:rsidRPr="001D23ED">
        <w:rPr>
          <w:sz w:val="24"/>
          <w:szCs w:val="24"/>
        </w:rPr>
        <w:t xml:space="preserve">В связи с государственным регулированием стоимости медикаментов, цены на обследуемые в данном сегменте позиции товаров в меньшей степени подвергались повышательным корректировкам, в результате чего индекс сложился на уровне 100,9%. </w:t>
      </w:r>
    </w:p>
    <w:p w:rsidR="00C20988" w:rsidRPr="001D23ED" w:rsidRDefault="00C20988" w:rsidP="0035019C">
      <w:pPr>
        <w:ind w:firstLine="425"/>
        <w:jc w:val="both"/>
        <w:rPr>
          <w:sz w:val="24"/>
          <w:szCs w:val="24"/>
        </w:rPr>
      </w:pPr>
      <w:r w:rsidRPr="001D23ED">
        <w:rPr>
          <w:sz w:val="24"/>
          <w:szCs w:val="24"/>
        </w:rPr>
        <w:t>В сравнении с динамикой в товарном сегменте</w:t>
      </w:r>
      <w:r>
        <w:rPr>
          <w:sz w:val="24"/>
          <w:szCs w:val="24"/>
        </w:rPr>
        <w:t>,</w:t>
      </w:r>
      <w:r w:rsidRPr="001D23ED">
        <w:rPr>
          <w:sz w:val="24"/>
          <w:szCs w:val="24"/>
        </w:rPr>
        <w:t xml:space="preserve"> в сфере оказания потребительских услуг рост тарифов носил более умеренный характер. Так, за 2018 год тарифы в среднем увеличились на 2,3% (+1,7% годом ранее), сформировав 0,6 п.п. СИПЦ. Жилищно-коммунальные тарифы в 2018 году повысились на 1,1%, причём основным генератором роста выступил сегмент жилищных услуг, удорожание которых в среднем составило 7,3%. Повышательная динамика была характерна для тарифов на санаторно-оздоровительные (+9,6%), образовательные (+4,4%), транспортные (+2,9%), медицинские (+2,8%) услуги, а также услуги связи (+3,0%). </w:t>
      </w:r>
    </w:p>
    <w:p w:rsidR="00C20988" w:rsidRPr="001D23ED" w:rsidRDefault="00C20988" w:rsidP="00BE7BE0">
      <w:pPr>
        <w:widowControl w:val="0"/>
        <w:ind w:firstLine="425"/>
        <w:jc w:val="both"/>
        <w:rPr>
          <w:sz w:val="24"/>
          <w:szCs w:val="24"/>
        </w:rPr>
      </w:pPr>
      <w:r>
        <w:rPr>
          <w:sz w:val="24"/>
          <w:szCs w:val="24"/>
        </w:rPr>
        <w:t>В целом</w:t>
      </w:r>
      <w:r w:rsidRPr="001D23ED">
        <w:rPr>
          <w:sz w:val="24"/>
          <w:szCs w:val="24"/>
        </w:rPr>
        <w:t xml:space="preserve"> инфляция по товарам, входящим в расчёт «базовой» компоненты (обусловленной рыночными факторами), сложилась на уровне 3,7%, по «небазовой» составляющей (определяемой факторами сезонности и/или админис</w:t>
      </w:r>
      <w:r>
        <w:rPr>
          <w:sz w:val="24"/>
          <w:szCs w:val="24"/>
        </w:rPr>
        <w:t>тративного воздействия) – 11,4%</w:t>
      </w:r>
      <w:r w:rsidRPr="001D23ED">
        <w:rPr>
          <w:sz w:val="24"/>
          <w:szCs w:val="24"/>
        </w:rPr>
        <w:t xml:space="preserve">. Таким образом, </w:t>
      </w:r>
      <w:r>
        <w:rPr>
          <w:sz w:val="24"/>
          <w:szCs w:val="24"/>
        </w:rPr>
        <w:t>воздействие</w:t>
      </w:r>
      <w:r w:rsidRPr="001D23ED">
        <w:rPr>
          <w:sz w:val="24"/>
          <w:szCs w:val="24"/>
        </w:rPr>
        <w:t xml:space="preserve"> монетарн</w:t>
      </w:r>
      <w:r>
        <w:rPr>
          <w:sz w:val="24"/>
          <w:szCs w:val="24"/>
        </w:rPr>
        <w:t xml:space="preserve">ых </w:t>
      </w:r>
      <w:r w:rsidRPr="004855D6">
        <w:rPr>
          <w:sz w:val="24"/>
          <w:szCs w:val="24"/>
        </w:rPr>
        <w:t>факторов было значительно ниже уровня 2017 года</w:t>
      </w:r>
      <w:r>
        <w:rPr>
          <w:sz w:val="24"/>
          <w:szCs w:val="24"/>
        </w:rPr>
        <w:t>, когда базовая инфляция достигала 12,6%.</w:t>
      </w:r>
    </w:p>
    <w:p w:rsidR="00C20988" w:rsidRPr="001D23ED" w:rsidRDefault="00C20988" w:rsidP="00BE7BE0">
      <w:pPr>
        <w:widowControl w:val="0"/>
        <w:ind w:firstLine="425"/>
        <w:jc w:val="both"/>
        <w:rPr>
          <w:sz w:val="24"/>
          <w:szCs w:val="24"/>
        </w:rPr>
      </w:pPr>
      <w:r w:rsidRPr="001D23ED">
        <w:rPr>
          <w:sz w:val="24"/>
          <w:szCs w:val="24"/>
        </w:rPr>
        <w:t xml:space="preserve">В отличие от потребительского рынка средний масштаб отпускных цен в индустриальном комплексе </w:t>
      </w:r>
      <w:r>
        <w:rPr>
          <w:sz w:val="24"/>
          <w:szCs w:val="24"/>
        </w:rPr>
        <w:t xml:space="preserve">после значительной корректировки в 2017 году (+18,5%) </w:t>
      </w:r>
      <w:r w:rsidRPr="001D23ED">
        <w:rPr>
          <w:sz w:val="24"/>
          <w:szCs w:val="24"/>
        </w:rPr>
        <w:t>за отчётный период снизился на 7,0%. Вектор цен на внутреннем рынке главным образом задавался снижением тарифов в электроэнергетике (-14,6%). В то же время в других отраслях фиксировалось удорожание продукции</w:t>
      </w:r>
      <w:r>
        <w:rPr>
          <w:sz w:val="24"/>
          <w:szCs w:val="24"/>
        </w:rPr>
        <w:t xml:space="preserve">, наиболее значительное </w:t>
      </w:r>
      <w:r w:rsidRPr="009C111F">
        <w:rPr>
          <w:sz w:val="24"/>
          <w:szCs w:val="24"/>
        </w:rPr>
        <w:t>в машиностроительной (+8,3%), пищевой (+7,5%) и полиграфической (+6,6%)</w:t>
      </w:r>
      <w:r>
        <w:rPr>
          <w:sz w:val="24"/>
          <w:szCs w:val="24"/>
        </w:rPr>
        <w:t xml:space="preserve"> </w:t>
      </w:r>
      <w:r w:rsidRPr="009C111F">
        <w:rPr>
          <w:sz w:val="24"/>
          <w:szCs w:val="24"/>
        </w:rPr>
        <w:t xml:space="preserve">промышленностях </w:t>
      </w:r>
      <w:r w:rsidRPr="001D23ED">
        <w:rPr>
          <w:sz w:val="24"/>
          <w:szCs w:val="24"/>
        </w:rPr>
        <w:t>(табл. 1.</w:t>
      </w:r>
      <w:r>
        <w:rPr>
          <w:sz w:val="24"/>
          <w:szCs w:val="24"/>
        </w:rPr>
        <w:t>4</w:t>
      </w:r>
      <w:r w:rsidRPr="001D23ED">
        <w:rPr>
          <w:sz w:val="24"/>
          <w:szCs w:val="24"/>
        </w:rPr>
        <w:t xml:space="preserve">). </w:t>
      </w:r>
    </w:p>
    <w:p w:rsidR="00C20988" w:rsidRPr="001D23ED" w:rsidRDefault="00C20988" w:rsidP="00BE7BE0">
      <w:pPr>
        <w:widowControl w:val="0"/>
        <w:spacing w:before="120"/>
        <w:ind w:firstLine="425"/>
        <w:jc w:val="right"/>
        <w:outlineLvl w:val="0"/>
        <w:rPr>
          <w:b/>
          <w:i/>
          <w:sz w:val="24"/>
          <w:szCs w:val="24"/>
        </w:rPr>
      </w:pPr>
      <w:r w:rsidRPr="00463D12">
        <w:rPr>
          <w:b/>
          <w:i/>
          <w:sz w:val="24"/>
          <w:szCs w:val="24"/>
        </w:rPr>
        <w:t>Таблица 1.4</w:t>
      </w:r>
    </w:p>
    <w:p w:rsidR="00C20988" w:rsidRPr="001D23ED" w:rsidRDefault="00C20988" w:rsidP="00BE7BE0">
      <w:pPr>
        <w:widowControl w:val="0"/>
        <w:spacing w:after="120"/>
        <w:jc w:val="center"/>
        <w:outlineLvl w:val="0"/>
        <w:rPr>
          <w:b/>
          <w:i/>
          <w:sz w:val="24"/>
          <w:szCs w:val="24"/>
        </w:rPr>
      </w:pPr>
      <w:r w:rsidRPr="001D23ED">
        <w:rPr>
          <w:b/>
          <w:i/>
          <w:sz w:val="24"/>
          <w:szCs w:val="24"/>
        </w:rPr>
        <w:t>Темпы роста отпускных цен в отраслях промышленности, %</w:t>
      </w:r>
    </w:p>
    <w:tbl>
      <w:tblPr>
        <w:tblW w:w="9497" w:type="dxa"/>
        <w:jc w:val="center"/>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6"/>
        <w:gridCol w:w="1635"/>
        <w:gridCol w:w="1636"/>
      </w:tblGrid>
      <w:tr w:rsidR="00C20988" w:rsidRPr="001D23ED" w:rsidTr="0098216C">
        <w:trPr>
          <w:cantSplit/>
          <w:trHeight w:val="61"/>
          <w:jc w:val="center"/>
        </w:trPr>
        <w:tc>
          <w:tcPr>
            <w:tcW w:w="6226" w:type="dxa"/>
            <w:shd w:val="clear" w:color="auto" w:fill="B3B3B3"/>
          </w:tcPr>
          <w:p w:rsidR="00C20988" w:rsidRPr="001D23ED" w:rsidRDefault="00C20988" w:rsidP="00BE7BE0">
            <w:pPr>
              <w:widowControl w:val="0"/>
              <w:rPr>
                <w:sz w:val="22"/>
                <w:szCs w:val="22"/>
              </w:rPr>
            </w:pPr>
          </w:p>
        </w:tc>
        <w:tc>
          <w:tcPr>
            <w:tcW w:w="1635" w:type="dxa"/>
            <w:shd w:val="clear" w:color="auto" w:fill="B3B3B3"/>
            <w:vAlign w:val="center"/>
          </w:tcPr>
          <w:p w:rsidR="00C20988" w:rsidRPr="001D23ED" w:rsidRDefault="00C20988" w:rsidP="0098216C">
            <w:pPr>
              <w:widowControl w:val="0"/>
              <w:ind w:left="-109" w:right="-97"/>
              <w:jc w:val="center"/>
              <w:rPr>
                <w:sz w:val="22"/>
                <w:szCs w:val="22"/>
              </w:rPr>
            </w:pPr>
            <w:r w:rsidRPr="001D23ED">
              <w:rPr>
                <w:sz w:val="22"/>
                <w:szCs w:val="22"/>
              </w:rPr>
              <w:t>2017 год</w:t>
            </w:r>
          </w:p>
        </w:tc>
        <w:tc>
          <w:tcPr>
            <w:tcW w:w="1636" w:type="dxa"/>
            <w:shd w:val="clear" w:color="auto" w:fill="B3B3B3"/>
          </w:tcPr>
          <w:p w:rsidR="00C20988" w:rsidRPr="001D23ED" w:rsidRDefault="00C20988" w:rsidP="0098216C">
            <w:pPr>
              <w:widowControl w:val="0"/>
              <w:ind w:left="-109" w:right="-97"/>
              <w:jc w:val="center"/>
              <w:rPr>
                <w:sz w:val="22"/>
                <w:szCs w:val="22"/>
              </w:rPr>
            </w:pPr>
            <w:r w:rsidRPr="004855D6">
              <w:rPr>
                <w:sz w:val="22"/>
                <w:szCs w:val="22"/>
              </w:rPr>
              <w:t>2018 год</w:t>
            </w:r>
          </w:p>
        </w:tc>
      </w:tr>
      <w:tr w:rsidR="00C20988" w:rsidRPr="001D23ED" w:rsidTr="0098216C">
        <w:trPr>
          <w:trHeight w:val="171"/>
          <w:jc w:val="center"/>
        </w:trPr>
        <w:tc>
          <w:tcPr>
            <w:tcW w:w="6226" w:type="dxa"/>
            <w:tcBorders>
              <w:top w:val="double" w:sz="4" w:space="0" w:color="auto"/>
            </w:tcBorders>
            <w:shd w:val="clear" w:color="auto" w:fill="CCCCCC"/>
            <w:vAlign w:val="center"/>
          </w:tcPr>
          <w:p w:rsidR="00C20988" w:rsidRPr="001D23ED" w:rsidRDefault="00C20988" w:rsidP="00BE7BE0">
            <w:pPr>
              <w:widowControl w:val="0"/>
              <w:jc w:val="both"/>
              <w:rPr>
                <w:sz w:val="22"/>
                <w:szCs w:val="22"/>
              </w:rPr>
            </w:pPr>
            <w:r>
              <w:rPr>
                <w:sz w:val="22"/>
                <w:szCs w:val="22"/>
              </w:rPr>
              <w:t xml:space="preserve">Индекс отпускных цен в промышленности </w:t>
            </w:r>
          </w:p>
        </w:tc>
        <w:tc>
          <w:tcPr>
            <w:tcW w:w="1635" w:type="dxa"/>
            <w:tcBorders>
              <w:top w:val="double" w:sz="4" w:space="0" w:color="auto"/>
            </w:tcBorders>
            <w:shd w:val="clear" w:color="auto" w:fill="CCCCCC"/>
            <w:vAlign w:val="bottom"/>
          </w:tcPr>
          <w:p w:rsidR="00C20988" w:rsidRPr="001D23ED" w:rsidRDefault="00C20988" w:rsidP="0098216C">
            <w:pPr>
              <w:widowControl w:val="0"/>
              <w:ind w:right="452"/>
              <w:jc w:val="right"/>
              <w:rPr>
                <w:sz w:val="22"/>
                <w:szCs w:val="22"/>
              </w:rPr>
            </w:pPr>
            <w:r>
              <w:rPr>
                <w:sz w:val="22"/>
                <w:szCs w:val="22"/>
              </w:rPr>
              <w:t>118,5</w:t>
            </w:r>
          </w:p>
        </w:tc>
        <w:tc>
          <w:tcPr>
            <w:tcW w:w="1636" w:type="dxa"/>
            <w:tcBorders>
              <w:top w:val="double" w:sz="4" w:space="0" w:color="auto"/>
            </w:tcBorders>
            <w:shd w:val="clear" w:color="auto" w:fill="CCCCCC"/>
          </w:tcPr>
          <w:p w:rsidR="00C20988" w:rsidRPr="001D23ED" w:rsidRDefault="00C20988" w:rsidP="004855D6">
            <w:pPr>
              <w:widowControl w:val="0"/>
              <w:ind w:right="452"/>
              <w:jc w:val="right"/>
              <w:rPr>
                <w:sz w:val="22"/>
                <w:szCs w:val="22"/>
              </w:rPr>
            </w:pPr>
            <w:r w:rsidRPr="004855D6">
              <w:rPr>
                <w:sz w:val="22"/>
                <w:szCs w:val="22"/>
              </w:rPr>
              <w:t>93,0</w:t>
            </w:r>
          </w:p>
        </w:tc>
      </w:tr>
      <w:tr w:rsidR="00C20988" w:rsidRPr="001D23ED" w:rsidTr="0098216C">
        <w:trPr>
          <w:trHeight w:val="171"/>
          <w:jc w:val="center"/>
        </w:trPr>
        <w:tc>
          <w:tcPr>
            <w:tcW w:w="6226" w:type="dxa"/>
            <w:vAlign w:val="center"/>
          </w:tcPr>
          <w:p w:rsidR="00C20988" w:rsidRPr="001D23ED" w:rsidRDefault="00C20988" w:rsidP="00545E6E">
            <w:pPr>
              <w:widowControl w:val="0"/>
              <w:ind w:left="172"/>
              <w:jc w:val="both"/>
              <w:rPr>
                <w:sz w:val="22"/>
                <w:szCs w:val="22"/>
              </w:rPr>
            </w:pPr>
            <w:r>
              <w:rPr>
                <w:sz w:val="22"/>
                <w:szCs w:val="22"/>
              </w:rPr>
              <w:t>в том числе по отраслям:</w:t>
            </w:r>
          </w:p>
        </w:tc>
        <w:tc>
          <w:tcPr>
            <w:tcW w:w="1635" w:type="dxa"/>
            <w:vAlign w:val="bottom"/>
          </w:tcPr>
          <w:p w:rsidR="00C20988" w:rsidRPr="001D23ED" w:rsidRDefault="00C20988" w:rsidP="0098216C">
            <w:pPr>
              <w:widowControl w:val="0"/>
              <w:ind w:right="452"/>
              <w:jc w:val="right"/>
              <w:rPr>
                <w:sz w:val="22"/>
                <w:szCs w:val="22"/>
              </w:rPr>
            </w:pPr>
          </w:p>
        </w:tc>
        <w:tc>
          <w:tcPr>
            <w:tcW w:w="1636" w:type="dxa"/>
          </w:tcPr>
          <w:p w:rsidR="00C20988" w:rsidRPr="001D23ED" w:rsidRDefault="00C20988" w:rsidP="00BE7BE0">
            <w:pPr>
              <w:widowControl w:val="0"/>
              <w:ind w:right="260"/>
              <w:jc w:val="right"/>
              <w:rPr>
                <w:sz w:val="22"/>
                <w:szCs w:val="22"/>
              </w:rPr>
            </w:pPr>
          </w:p>
        </w:tc>
      </w:tr>
      <w:tr w:rsidR="00C20988" w:rsidRPr="001D23ED" w:rsidTr="004855D6">
        <w:trPr>
          <w:trHeight w:val="171"/>
          <w:jc w:val="center"/>
        </w:trPr>
        <w:tc>
          <w:tcPr>
            <w:tcW w:w="6226" w:type="dxa"/>
            <w:vAlign w:val="center"/>
          </w:tcPr>
          <w:p w:rsidR="00C20988" w:rsidRPr="001D23ED" w:rsidRDefault="00C20988" w:rsidP="00545E6E">
            <w:pPr>
              <w:widowControl w:val="0"/>
              <w:ind w:left="172"/>
              <w:jc w:val="both"/>
              <w:rPr>
                <w:sz w:val="22"/>
                <w:szCs w:val="22"/>
              </w:rPr>
            </w:pPr>
            <w:r>
              <w:rPr>
                <w:sz w:val="22"/>
                <w:szCs w:val="22"/>
              </w:rPr>
              <w:t>- ч</w:t>
            </w:r>
            <w:r w:rsidRPr="001D23ED">
              <w:rPr>
                <w:sz w:val="22"/>
                <w:szCs w:val="22"/>
              </w:rPr>
              <w:t>ёрная металлургия</w:t>
            </w:r>
          </w:p>
        </w:tc>
        <w:tc>
          <w:tcPr>
            <w:tcW w:w="1635" w:type="dxa"/>
            <w:vAlign w:val="bottom"/>
          </w:tcPr>
          <w:p w:rsidR="00C20988" w:rsidRPr="001D23ED" w:rsidRDefault="00C20988" w:rsidP="0098216C">
            <w:pPr>
              <w:widowControl w:val="0"/>
              <w:ind w:right="452"/>
              <w:jc w:val="right"/>
              <w:rPr>
                <w:sz w:val="22"/>
                <w:szCs w:val="22"/>
              </w:rPr>
            </w:pPr>
            <w:r w:rsidRPr="001D23ED">
              <w:rPr>
                <w:sz w:val="22"/>
                <w:szCs w:val="22"/>
              </w:rPr>
              <w:t>185,9</w:t>
            </w:r>
          </w:p>
        </w:tc>
        <w:tc>
          <w:tcPr>
            <w:tcW w:w="1636" w:type="dxa"/>
            <w:vAlign w:val="center"/>
          </w:tcPr>
          <w:p w:rsidR="00C20988" w:rsidRPr="004855D6" w:rsidRDefault="00C20988" w:rsidP="004855D6">
            <w:pPr>
              <w:widowControl w:val="0"/>
              <w:ind w:right="452"/>
              <w:jc w:val="right"/>
              <w:rPr>
                <w:sz w:val="22"/>
                <w:szCs w:val="22"/>
              </w:rPr>
            </w:pPr>
            <w:r w:rsidRPr="004855D6">
              <w:rPr>
                <w:sz w:val="22"/>
                <w:szCs w:val="22"/>
              </w:rPr>
              <w:t>100,5</w:t>
            </w:r>
          </w:p>
        </w:tc>
      </w:tr>
      <w:tr w:rsidR="00C20988" w:rsidRPr="001D23ED" w:rsidTr="004855D6">
        <w:trPr>
          <w:trHeight w:val="240"/>
          <w:jc w:val="center"/>
        </w:trPr>
        <w:tc>
          <w:tcPr>
            <w:tcW w:w="6226" w:type="dxa"/>
            <w:vAlign w:val="center"/>
          </w:tcPr>
          <w:p w:rsidR="00C20988" w:rsidRPr="001D23ED" w:rsidRDefault="00C20988" w:rsidP="00545E6E">
            <w:pPr>
              <w:widowControl w:val="0"/>
              <w:ind w:left="172"/>
              <w:jc w:val="both"/>
              <w:rPr>
                <w:sz w:val="22"/>
                <w:szCs w:val="22"/>
              </w:rPr>
            </w:pPr>
            <w:r>
              <w:rPr>
                <w:sz w:val="22"/>
                <w:szCs w:val="22"/>
              </w:rPr>
              <w:t>- э</w:t>
            </w:r>
            <w:r w:rsidRPr="001D23ED">
              <w:rPr>
                <w:sz w:val="22"/>
                <w:szCs w:val="22"/>
              </w:rPr>
              <w:t>лектроэнергетика</w:t>
            </w:r>
          </w:p>
        </w:tc>
        <w:tc>
          <w:tcPr>
            <w:tcW w:w="1635" w:type="dxa"/>
            <w:vAlign w:val="bottom"/>
          </w:tcPr>
          <w:p w:rsidR="00C20988" w:rsidRPr="001D23ED" w:rsidRDefault="00C20988" w:rsidP="0098216C">
            <w:pPr>
              <w:widowControl w:val="0"/>
              <w:ind w:right="452"/>
              <w:jc w:val="right"/>
              <w:rPr>
                <w:sz w:val="22"/>
                <w:szCs w:val="22"/>
              </w:rPr>
            </w:pPr>
            <w:r w:rsidRPr="001D23ED">
              <w:rPr>
                <w:sz w:val="22"/>
                <w:szCs w:val="22"/>
              </w:rPr>
              <w:t>100,3</w:t>
            </w:r>
          </w:p>
        </w:tc>
        <w:tc>
          <w:tcPr>
            <w:tcW w:w="1636" w:type="dxa"/>
            <w:vAlign w:val="center"/>
          </w:tcPr>
          <w:p w:rsidR="00C20988" w:rsidRPr="004855D6" w:rsidRDefault="00C20988" w:rsidP="004855D6">
            <w:pPr>
              <w:widowControl w:val="0"/>
              <w:ind w:right="452"/>
              <w:jc w:val="right"/>
              <w:rPr>
                <w:sz w:val="22"/>
                <w:szCs w:val="22"/>
              </w:rPr>
            </w:pPr>
            <w:r w:rsidRPr="004855D6">
              <w:rPr>
                <w:sz w:val="22"/>
                <w:szCs w:val="22"/>
              </w:rPr>
              <w:t>85,4</w:t>
            </w:r>
          </w:p>
        </w:tc>
      </w:tr>
      <w:tr w:rsidR="00C20988" w:rsidRPr="001D23ED" w:rsidTr="004855D6">
        <w:trPr>
          <w:trHeight w:val="240"/>
          <w:jc w:val="center"/>
        </w:trPr>
        <w:tc>
          <w:tcPr>
            <w:tcW w:w="6226" w:type="dxa"/>
            <w:vAlign w:val="center"/>
          </w:tcPr>
          <w:p w:rsidR="00C20988" w:rsidRPr="001D23ED" w:rsidRDefault="00C20988" w:rsidP="00545E6E">
            <w:pPr>
              <w:widowControl w:val="0"/>
              <w:ind w:left="172"/>
              <w:rPr>
                <w:sz w:val="22"/>
                <w:szCs w:val="22"/>
              </w:rPr>
            </w:pPr>
            <w:r>
              <w:rPr>
                <w:sz w:val="22"/>
                <w:szCs w:val="22"/>
              </w:rPr>
              <w:t>- м</w:t>
            </w:r>
            <w:r w:rsidRPr="001D23ED">
              <w:rPr>
                <w:sz w:val="22"/>
                <w:szCs w:val="22"/>
              </w:rPr>
              <w:t>ашиностроение и металлообработка</w:t>
            </w:r>
          </w:p>
        </w:tc>
        <w:tc>
          <w:tcPr>
            <w:tcW w:w="1635" w:type="dxa"/>
            <w:vAlign w:val="bottom"/>
          </w:tcPr>
          <w:p w:rsidR="00C20988" w:rsidRPr="001D23ED" w:rsidRDefault="00C20988" w:rsidP="0098216C">
            <w:pPr>
              <w:widowControl w:val="0"/>
              <w:ind w:right="452"/>
              <w:jc w:val="right"/>
              <w:rPr>
                <w:sz w:val="22"/>
                <w:szCs w:val="22"/>
              </w:rPr>
            </w:pPr>
            <w:r w:rsidRPr="001D23ED">
              <w:rPr>
                <w:sz w:val="22"/>
                <w:szCs w:val="22"/>
              </w:rPr>
              <w:t>107,0</w:t>
            </w:r>
          </w:p>
        </w:tc>
        <w:tc>
          <w:tcPr>
            <w:tcW w:w="1636" w:type="dxa"/>
            <w:vAlign w:val="center"/>
          </w:tcPr>
          <w:p w:rsidR="00C20988" w:rsidRPr="004855D6" w:rsidRDefault="00C20988" w:rsidP="004855D6">
            <w:pPr>
              <w:widowControl w:val="0"/>
              <w:ind w:right="452"/>
              <w:jc w:val="right"/>
              <w:rPr>
                <w:sz w:val="22"/>
                <w:szCs w:val="22"/>
              </w:rPr>
            </w:pPr>
            <w:r w:rsidRPr="004855D6">
              <w:rPr>
                <w:sz w:val="22"/>
                <w:szCs w:val="22"/>
              </w:rPr>
              <w:t>108,3</w:t>
            </w:r>
          </w:p>
        </w:tc>
      </w:tr>
      <w:tr w:rsidR="00C20988" w:rsidRPr="001D23ED" w:rsidTr="004855D6">
        <w:trPr>
          <w:trHeight w:val="240"/>
          <w:jc w:val="center"/>
        </w:trPr>
        <w:tc>
          <w:tcPr>
            <w:tcW w:w="6226" w:type="dxa"/>
            <w:tcBorders>
              <w:top w:val="nil"/>
            </w:tcBorders>
            <w:vAlign w:val="center"/>
          </w:tcPr>
          <w:p w:rsidR="00C20988" w:rsidRPr="001D23ED" w:rsidRDefault="00C20988" w:rsidP="00545E6E">
            <w:pPr>
              <w:widowControl w:val="0"/>
              <w:ind w:left="172"/>
              <w:jc w:val="both"/>
              <w:rPr>
                <w:sz w:val="22"/>
                <w:szCs w:val="22"/>
              </w:rPr>
            </w:pPr>
            <w:r>
              <w:rPr>
                <w:sz w:val="22"/>
                <w:szCs w:val="22"/>
              </w:rPr>
              <w:t>- э</w:t>
            </w:r>
            <w:r w:rsidRPr="001D23ED">
              <w:rPr>
                <w:sz w:val="22"/>
                <w:szCs w:val="22"/>
              </w:rPr>
              <w:t>лектротехническая промышленность</w:t>
            </w:r>
          </w:p>
        </w:tc>
        <w:tc>
          <w:tcPr>
            <w:tcW w:w="1635" w:type="dxa"/>
            <w:tcBorders>
              <w:top w:val="nil"/>
            </w:tcBorders>
            <w:vAlign w:val="bottom"/>
          </w:tcPr>
          <w:p w:rsidR="00C20988" w:rsidRPr="001D23ED" w:rsidRDefault="00C20988" w:rsidP="0098216C">
            <w:pPr>
              <w:widowControl w:val="0"/>
              <w:ind w:right="452"/>
              <w:jc w:val="right"/>
              <w:rPr>
                <w:sz w:val="22"/>
                <w:szCs w:val="22"/>
              </w:rPr>
            </w:pPr>
            <w:r w:rsidRPr="001D23ED">
              <w:rPr>
                <w:sz w:val="22"/>
                <w:szCs w:val="22"/>
              </w:rPr>
              <w:t>121,5</w:t>
            </w:r>
          </w:p>
        </w:tc>
        <w:tc>
          <w:tcPr>
            <w:tcW w:w="1636" w:type="dxa"/>
            <w:tcBorders>
              <w:top w:val="nil"/>
            </w:tcBorders>
            <w:vAlign w:val="center"/>
          </w:tcPr>
          <w:p w:rsidR="00C20988" w:rsidRPr="004855D6" w:rsidRDefault="00C20988" w:rsidP="004855D6">
            <w:pPr>
              <w:widowControl w:val="0"/>
              <w:ind w:right="452"/>
              <w:jc w:val="right"/>
              <w:rPr>
                <w:sz w:val="22"/>
                <w:szCs w:val="22"/>
              </w:rPr>
            </w:pPr>
            <w:r w:rsidRPr="004855D6">
              <w:rPr>
                <w:sz w:val="22"/>
                <w:szCs w:val="22"/>
              </w:rPr>
              <w:t>103,9</w:t>
            </w:r>
          </w:p>
        </w:tc>
      </w:tr>
      <w:tr w:rsidR="00C20988" w:rsidRPr="001D23ED" w:rsidTr="004855D6">
        <w:trPr>
          <w:trHeight w:val="84"/>
          <w:jc w:val="center"/>
        </w:trPr>
        <w:tc>
          <w:tcPr>
            <w:tcW w:w="6226" w:type="dxa"/>
            <w:vAlign w:val="center"/>
          </w:tcPr>
          <w:p w:rsidR="00C20988" w:rsidRPr="001D23ED" w:rsidRDefault="00C20988" w:rsidP="00545E6E">
            <w:pPr>
              <w:widowControl w:val="0"/>
              <w:ind w:left="172"/>
              <w:rPr>
                <w:color w:val="000000"/>
                <w:sz w:val="22"/>
                <w:szCs w:val="22"/>
              </w:rPr>
            </w:pPr>
            <w:r>
              <w:rPr>
                <w:color w:val="000000"/>
                <w:sz w:val="22"/>
                <w:szCs w:val="22"/>
              </w:rPr>
              <w:t>- л</w:t>
            </w:r>
            <w:r w:rsidRPr="001D23ED">
              <w:rPr>
                <w:color w:val="000000"/>
                <w:sz w:val="22"/>
                <w:szCs w:val="22"/>
              </w:rPr>
              <w:t>есная и деревообрабатывающая промышленность</w:t>
            </w:r>
          </w:p>
        </w:tc>
        <w:tc>
          <w:tcPr>
            <w:tcW w:w="1635" w:type="dxa"/>
            <w:vAlign w:val="bottom"/>
          </w:tcPr>
          <w:p w:rsidR="00C20988" w:rsidRPr="001D23ED" w:rsidRDefault="00C20988" w:rsidP="0098216C">
            <w:pPr>
              <w:widowControl w:val="0"/>
              <w:ind w:right="452"/>
              <w:jc w:val="right"/>
              <w:rPr>
                <w:sz w:val="22"/>
                <w:szCs w:val="22"/>
              </w:rPr>
            </w:pPr>
            <w:r w:rsidRPr="001D23ED">
              <w:rPr>
                <w:sz w:val="22"/>
                <w:szCs w:val="22"/>
              </w:rPr>
              <w:t>100,0</w:t>
            </w:r>
          </w:p>
        </w:tc>
        <w:tc>
          <w:tcPr>
            <w:tcW w:w="1636" w:type="dxa"/>
            <w:vAlign w:val="center"/>
          </w:tcPr>
          <w:p w:rsidR="00C20988" w:rsidRPr="004855D6" w:rsidRDefault="00C20988" w:rsidP="004855D6">
            <w:pPr>
              <w:widowControl w:val="0"/>
              <w:ind w:right="452"/>
              <w:jc w:val="right"/>
              <w:rPr>
                <w:sz w:val="22"/>
                <w:szCs w:val="22"/>
              </w:rPr>
            </w:pPr>
            <w:r w:rsidRPr="004855D6">
              <w:rPr>
                <w:sz w:val="22"/>
                <w:szCs w:val="22"/>
              </w:rPr>
              <w:t>100,0</w:t>
            </w:r>
          </w:p>
        </w:tc>
      </w:tr>
      <w:tr w:rsidR="00C20988" w:rsidRPr="001D23ED" w:rsidTr="004855D6">
        <w:trPr>
          <w:trHeight w:val="158"/>
          <w:jc w:val="center"/>
        </w:trPr>
        <w:tc>
          <w:tcPr>
            <w:tcW w:w="6226" w:type="dxa"/>
            <w:vAlign w:val="center"/>
          </w:tcPr>
          <w:p w:rsidR="00C20988" w:rsidRPr="001D23ED" w:rsidRDefault="00C20988" w:rsidP="00545E6E">
            <w:pPr>
              <w:widowControl w:val="0"/>
              <w:ind w:left="172"/>
              <w:jc w:val="both"/>
              <w:rPr>
                <w:sz w:val="22"/>
                <w:szCs w:val="22"/>
              </w:rPr>
            </w:pPr>
            <w:r>
              <w:rPr>
                <w:sz w:val="22"/>
                <w:szCs w:val="22"/>
              </w:rPr>
              <w:t>- п</w:t>
            </w:r>
            <w:r w:rsidRPr="001D23ED">
              <w:rPr>
                <w:sz w:val="22"/>
                <w:szCs w:val="22"/>
              </w:rPr>
              <w:t>ромышленность строительных материалов</w:t>
            </w:r>
          </w:p>
        </w:tc>
        <w:tc>
          <w:tcPr>
            <w:tcW w:w="1635" w:type="dxa"/>
            <w:vAlign w:val="bottom"/>
          </w:tcPr>
          <w:p w:rsidR="00C20988" w:rsidRPr="001D23ED" w:rsidRDefault="00C20988" w:rsidP="0098216C">
            <w:pPr>
              <w:widowControl w:val="0"/>
              <w:ind w:right="452"/>
              <w:jc w:val="right"/>
              <w:rPr>
                <w:sz w:val="22"/>
                <w:szCs w:val="22"/>
              </w:rPr>
            </w:pPr>
            <w:r w:rsidRPr="001D23ED">
              <w:rPr>
                <w:sz w:val="22"/>
                <w:szCs w:val="22"/>
              </w:rPr>
              <w:t>136,7</w:t>
            </w:r>
          </w:p>
        </w:tc>
        <w:tc>
          <w:tcPr>
            <w:tcW w:w="1636" w:type="dxa"/>
            <w:vAlign w:val="center"/>
          </w:tcPr>
          <w:p w:rsidR="00C20988" w:rsidRPr="004855D6" w:rsidRDefault="00C20988" w:rsidP="004855D6">
            <w:pPr>
              <w:widowControl w:val="0"/>
              <w:ind w:right="452"/>
              <w:jc w:val="right"/>
              <w:rPr>
                <w:sz w:val="22"/>
                <w:szCs w:val="22"/>
              </w:rPr>
            </w:pPr>
            <w:r w:rsidRPr="004855D6">
              <w:rPr>
                <w:sz w:val="22"/>
                <w:szCs w:val="22"/>
              </w:rPr>
              <w:t>101,3</w:t>
            </w:r>
          </w:p>
        </w:tc>
      </w:tr>
      <w:tr w:rsidR="00C20988" w:rsidRPr="001D23ED" w:rsidTr="004855D6">
        <w:trPr>
          <w:trHeight w:val="240"/>
          <w:jc w:val="center"/>
        </w:trPr>
        <w:tc>
          <w:tcPr>
            <w:tcW w:w="6226" w:type="dxa"/>
            <w:vAlign w:val="center"/>
          </w:tcPr>
          <w:p w:rsidR="00C20988" w:rsidRPr="001D23ED" w:rsidRDefault="00C20988" w:rsidP="00545E6E">
            <w:pPr>
              <w:widowControl w:val="0"/>
              <w:ind w:left="172"/>
              <w:jc w:val="both"/>
              <w:rPr>
                <w:sz w:val="22"/>
                <w:szCs w:val="22"/>
              </w:rPr>
            </w:pPr>
            <w:r>
              <w:rPr>
                <w:sz w:val="22"/>
                <w:szCs w:val="22"/>
              </w:rPr>
              <w:t>- л</w:t>
            </w:r>
            <w:r w:rsidRPr="001D23ED">
              <w:rPr>
                <w:sz w:val="22"/>
                <w:szCs w:val="22"/>
              </w:rPr>
              <w:t>ёгкая промышленность</w:t>
            </w:r>
          </w:p>
        </w:tc>
        <w:tc>
          <w:tcPr>
            <w:tcW w:w="1635" w:type="dxa"/>
            <w:vAlign w:val="bottom"/>
          </w:tcPr>
          <w:p w:rsidR="00C20988" w:rsidRPr="001D23ED" w:rsidRDefault="00C20988" w:rsidP="0098216C">
            <w:pPr>
              <w:widowControl w:val="0"/>
              <w:ind w:right="452"/>
              <w:jc w:val="right"/>
              <w:rPr>
                <w:sz w:val="22"/>
                <w:szCs w:val="22"/>
              </w:rPr>
            </w:pPr>
            <w:r w:rsidRPr="001D23ED">
              <w:rPr>
                <w:sz w:val="22"/>
                <w:szCs w:val="22"/>
              </w:rPr>
              <w:t>128,1</w:t>
            </w:r>
          </w:p>
        </w:tc>
        <w:tc>
          <w:tcPr>
            <w:tcW w:w="1636" w:type="dxa"/>
            <w:vAlign w:val="center"/>
          </w:tcPr>
          <w:p w:rsidR="00C20988" w:rsidRPr="004855D6" w:rsidRDefault="00C20988" w:rsidP="004855D6">
            <w:pPr>
              <w:widowControl w:val="0"/>
              <w:ind w:right="452"/>
              <w:jc w:val="right"/>
              <w:rPr>
                <w:sz w:val="22"/>
                <w:szCs w:val="22"/>
              </w:rPr>
            </w:pPr>
            <w:r w:rsidRPr="004855D6">
              <w:rPr>
                <w:sz w:val="22"/>
                <w:szCs w:val="22"/>
              </w:rPr>
              <w:t>100,5</w:t>
            </w:r>
          </w:p>
        </w:tc>
      </w:tr>
      <w:tr w:rsidR="00C20988" w:rsidRPr="001D23ED" w:rsidTr="004855D6">
        <w:trPr>
          <w:trHeight w:val="240"/>
          <w:jc w:val="center"/>
        </w:trPr>
        <w:tc>
          <w:tcPr>
            <w:tcW w:w="6226" w:type="dxa"/>
            <w:vAlign w:val="center"/>
          </w:tcPr>
          <w:p w:rsidR="00C20988" w:rsidRPr="001D23ED" w:rsidRDefault="00C20988" w:rsidP="00545E6E">
            <w:pPr>
              <w:widowControl w:val="0"/>
              <w:ind w:left="172"/>
              <w:jc w:val="both"/>
              <w:rPr>
                <w:sz w:val="22"/>
                <w:szCs w:val="22"/>
              </w:rPr>
            </w:pPr>
            <w:r>
              <w:rPr>
                <w:sz w:val="22"/>
                <w:szCs w:val="22"/>
              </w:rPr>
              <w:t>- п</w:t>
            </w:r>
            <w:r w:rsidRPr="001D23ED">
              <w:rPr>
                <w:sz w:val="22"/>
                <w:szCs w:val="22"/>
              </w:rPr>
              <w:t>ищевая промышленность</w:t>
            </w:r>
          </w:p>
        </w:tc>
        <w:tc>
          <w:tcPr>
            <w:tcW w:w="1635" w:type="dxa"/>
            <w:vAlign w:val="bottom"/>
          </w:tcPr>
          <w:p w:rsidR="00C20988" w:rsidRPr="001D23ED" w:rsidRDefault="00C20988" w:rsidP="0098216C">
            <w:pPr>
              <w:widowControl w:val="0"/>
              <w:ind w:right="452"/>
              <w:jc w:val="right"/>
              <w:rPr>
                <w:sz w:val="22"/>
                <w:szCs w:val="22"/>
              </w:rPr>
            </w:pPr>
            <w:r w:rsidRPr="001D23ED">
              <w:rPr>
                <w:sz w:val="22"/>
                <w:szCs w:val="22"/>
              </w:rPr>
              <w:t>108,8</w:t>
            </w:r>
          </w:p>
        </w:tc>
        <w:tc>
          <w:tcPr>
            <w:tcW w:w="1636" w:type="dxa"/>
            <w:vAlign w:val="center"/>
          </w:tcPr>
          <w:p w:rsidR="00C20988" w:rsidRPr="004855D6" w:rsidRDefault="00C20988" w:rsidP="004855D6">
            <w:pPr>
              <w:widowControl w:val="0"/>
              <w:ind w:right="452"/>
              <w:jc w:val="right"/>
              <w:rPr>
                <w:sz w:val="22"/>
                <w:szCs w:val="22"/>
              </w:rPr>
            </w:pPr>
            <w:r w:rsidRPr="004855D6">
              <w:rPr>
                <w:sz w:val="22"/>
                <w:szCs w:val="22"/>
              </w:rPr>
              <w:t>107,5</w:t>
            </w:r>
          </w:p>
        </w:tc>
      </w:tr>
      <w:tr w:rsidR="00C20988" w:rsidRPr="001D23ED" w:rsidTr="004855D6">
        <w:trPr>
          <w:trHeight w:val="132"/>
          <w:jc w:val="center"/>
        </w:trPr>
        <w:tc>
          <w:tcPr>
            <w:tcW w:w="6226" w:type="dxa"/>
            <w:vAlign w:val="center"/>
          </w:tcPr>
          <w:p w:rsidR="00C20988" w:rsidRPr="001D23ED" w:rsidRDefault="00C20988" w:rsidP="00545E6E">
            <w:pPr>
              <w:widowControl w:val="0"/>
              <w:ind w:left="172"/>
              <w:jc w:val="both"/>
              <w:rPr>
                <w:sz w:val="22"/>
                <w:szCs w:val="22"/>
              </w:rPr>
            </w:pPr>
            <w:r>
              <w:rPr>
                <w:sz w:val="22"/>
                <w:szCs w:val="22"/>
              </w:rPr>
              <w:t>- п</w:t>
            </w:r>
            <w:r w:rsidRPr="001D23ED">
              <w:rPr>
                <w:sz w:val="22"/>
                <w:szCs w:val="22"/>
              </w:rPr>
              <w:t>олиграфическая промышленность</w:t>
            </w:r>
          </w:p>
        </w:tc>
        <w:tc>
          <w:tcPr>
            <w:tcW w:w="1635" w:type="dxa"/>
            <w:vAlign w:val="bottom"/>
          </w:tcPr>
          <w:p w:rsidR="00C20988" w:rsidRPr="001D23ED" w:rsidRDefault="00C20988" w:rsidP="0098216C">
            <w:pPr>
              <w:widowControl w:val="0"/>
              <w:ind w:right="452"/>
              <w:jc w:val="right"/>
              <w:rPr>
                <w:sz w:val="22"/>
                <w:szCs w:val="22"/>
              </w:rPr>
            </w:pPr>
            <w:r w:rsidRPr="001D23ED">
              <w:rPr>
                <w:sz w:val="22"/>
                <w:szCs w:val="22"/>
              </w:rPr>
              <w:t>102,7</w:t>
            </w:r>
          </w:p>
        </w:tc>
        <w:tc>
          <w:tcPr>
            <w:tcW w:w="1636" w:type="dxa"/>
            <w:vAlign w:val="center"/>
          </w:tcPr>
          <w:p w:rsidR="00C20988" w:rsidRPr="004855D6" w:rsidRDefault="00C20988" w:rsidP="004855D6">
            <w:pPr>
              <w:widowControl w:val="0"/>
              <w:ind w:right="452"/>
              <w:jc w:val="right"/>
              <w:rPr>
                <w:sz w:val="22"/>
                <w:szCs w:val="22"/>
              </w:rPr>
            </w:pPr>
            <w:r w:rsidRPr="004855D6">
              <w:rPr>
                <w:sz w:val="22"/>
                <w:szCs w:val="22"/>
              </w:rPr>
              <w:t>106,6</w:t>
            </w:r>
          </w:p>
        </w:tc>
      </w:tr>
    </w:tbl>
    <w:p w:rsidR="00C20988" w:rsidRPr="00662C95" w:rsidRDefault="00C20988" w:rsidP="00210B2B">
      <w:pPr>
        <w:widowControl w:val="0"/>
        <w:spacing w:before="240" w:after="120"/>
        <w:ind w:left="425"/>
        <w:jc w:val="both"/>
        <w:rPr>
          <w:i/>
          <w:iCs/>
          <w:noProof/>
          <w:color w:val="000000"/>
          <w:sz w:val="24"/>
          <w:szCs w:val="24"/>
        </w:rPr>
      </w:pPr>
      <w:r w:rsidRPr="00662C95">
        <w:rPr>
          <w:i/>
          <w:iCs/>
          <w:noProof/>
          <w:color w:val="000000"/>
          <w:sz w:val="24"/>
          <w:szCs w:val="24"/>
        </w:rPr>
        <w:t>Социальная сфера</w:t>
      </w:r>
    </w:p>
    <w:p w:rsidR="00C20988" w:rsidRPr="00662C95" w:rsidRDefault="00C20988" w:rsidP="00A273FB">
      <w:pPr>
        <w:autoSpaceDE w:val="0"/>
        <w:autoSpaceDN w:val="0"/>
        <w:adjustRightInd w:val="0"/>
        <w:ind w:firstLine="425"/>
        <w:jc w:val="both"/>
        <w:rPr>
          <w:color w:val="000000"/>
          <w:sz w:val="24"/>
          <w:szCs w:val="24"/>
        </w:rPr>
      </w:pPr>
      <w:r w:rsidRPr="00662C95">
        <w:rPr>
          <w:sz w:val="24"/>
          <w:szCs w:val="24"/>
        </w:rPr>
        <w:t>В 2018 году гражданами республики получено доходов на 12,3% больше, чем в 2017 году, а в реальном выражении (с учётом повышения потребительских цен) – на 1,1%</w:t>
      </w:r>
      <w:r w:rsidRPr="00662C95">
        <w:rPr>
          <w:rStyle w:val="FootnoteReference"/>
          <w:sz w:val="24"/>
          <w:szCs w:val="24"/>
        </w:rPr>
        <w:footnoteReference w:id="5"/>
      </w:r>
      <w:r w:rsidRPr="00662C95">
        <w:rPr>
          <w:sz w:val="24"/>
          <w:szCs w:val="24"/>
        </w:rPr>
        <w:t>. В абсолютном выражении это соответствовало 14 344,2 млн руб. Ежемесячный среднедушевой денежный доход составил 2 559,3 руб., а годом ранее – 2 266,2 руб.</w:t>
      </w:r>
      <w:r>
        <w:rPr>
          <w:sz w:val="24"/>
          <w:szCs w:val="24"/>
        </w:rPr>
        <w:t>;</w:t>
      </w:r>
      <w:r w:rsidRPr="00662C95">
        <w:rPr>
          <w:sz w:val="24"/>
          <w:szCs w:val="24"/>
        </w:rPr>
        <w:t xml:space="preserve"> его покупательная способность по отношению к прожиточному минимуму возросла с 1,67 до</w:t>
      </w:r>
      <w:r>
        <w:rPr>
          <w:sz w:val="24"/>
          <w:szCs w:val="24"/>
        </w:rPr>
        <w:t xml:space="preserve"> </w:t>
      </w:r>
      <w:r w:rsidRPr="00662C95">
        <w:rPr>
          <w:sz w:val="24"/>
          <w:szCs w:val="24"/>
        </w:rPr>
        <w:t>1,76</w:t>
      </w:r>
      <w:r w:rsidRPr="00662C95">
        <w:rPr>
          <w:color w:val="000000"/>
          <w:sz w:val="24"/>
          <w:szCs w:val="24"/>
        </w:rPr>
        <w:t xml:space="preserve">. </w:t>
      </w:r>
    </w:p>
    <w:p w:rsidR="00C20988" w:rsidRPr="00662C95" w:rsidRDefault="00C20988" w:rsidP="00A273FB">
      <w:pPr>
        <w:autoSpaceDE w:val="0"/>
        <w:autoSpaceDN w:val="0"/>
        <w:adjustRightInd w:val="0"/>
        <w:ind w:firstLine="425"/>
        <w:jc w:val="both"/>
        <w:rPr>
          <w:sz w:val="26"/>
          <w:szCs w:val="26"/>
        </w:rPr>
      </w:pPr>
      <w:r w:rsidRPr="00662C95">
        <w:rPr>
          <w:sz w:val="24"/>
          <w:szCs w:val="24"/>
        </w:rPr>
        <w:t xml:space="preserve">Номинальный размер средств, остающихся в </w:t>
      </w:r>
      <w:r>
        <w:rPr>
          <w:sz w:val="24"/>
          <w:szCs w:val="24"/>
        </w:rPr>
        <w:t xml:space="preserve">личном </w:t>
      </w:r>
      <w:r w:rsidRPr="00662C95">
        <w:rPr>
          <w:sz w:val="24"/>
          <w:szCs w:val="24"/>
        </w:rPr>
        <w:t>распоряжении граждан,</w:t>
      </w:r>
      <w:r w:rsidRPr="00662C95">
        <w:rPr>
          <w:rStyle w:val="FootnoteReference"/>
          <w:sz w:val="24"/>
          <w:szCs w:val="24"/>
        </w:rPr>
        <w:footnoteReference w:id="6"/>
      </w:r>
      <w:r w:rsidRPr="00662C95">
        <w:rPr>
          <w:sz w:val="24"/>
          <w:szCs w:val="24"/>
        </w:rPr>
        <w:t xml:space="preserve"> вырос по</w:t>
      </w:r>
      <w:r>
        <w:rPr>
          <w:sz w:val="24"/>
          <w:szCs w:val="24"/>
        </w:rPr>
        <w:t xml:space="preserve"> </w:t>
      </w:r>
      <w:r w:rsidRPr="00662C95">
        <w:rPr>
          <w:sz w:val="24"/>
          <w:szCs w:val="24"/>
        </w:rPr>
        <w:t xml:space="preserve">отношению к базисному уровню на 12,3% (до </w:t>
      </w:r>
      <w:r w:rsidRPr="00662C95">
        <w:rPr>
          <w:sz w:val="26"/>
          <w:szCs w:val="26"/>
        </w:rPr>
        <w:t xml:space="preserve">13 405,2 </w:t>
      </w:r>
      <w:r w:rsidRPr="00662C95">
        <w:rPr>
          <w:sz w:val="24"/>
          <w:szCs w:val="24"/>
        </w:rPr>
        <w:t xml:space="preserve">млн руб.), а в реальном выражении – </w:t>
      </w:r>
      <w:r>
        <w:rPr>
          <w:sz w:val="24"/>
          <w:szCs w:val="24"/>
        </w:rPr>
        <w:t>н</w:t>
      </w:r>
      <w:r w:rsidRPr="00662C95">
        <w:rPr>
          <w:sz w:val="24"/>
          <w:szCs w:val="24"/>
        </w:rPr>
        <w:t>а 1,1%.</w:t>
      </w:r>
    </w:p>
    <w:p w:rsidR="00C20988" w:rsidRPr="00662C95" w:rsidRDefault="00C20988" w:rsidP="006F3BDC">
      <w:pPr>
        <w:widowControl w:val="0"/>
        <w:ind w:firstLine="425"/>
        <w:jc w:val="both"/>
        <w:rPr>
          <w:color w:val="000000"/>
          <w:sz w:val="24"/>
          <w:szCs w:val="24"/>
        </w:rPr>
      </w:pPr>
      <w:r w:rsidRPr="00662C95">
        <w:rPr>
          <w:color w:val="000000"/>
          <w:sz w:val="24"/>
          <w:szCs w:val="24"/>
        </w:rPr>
        <w:t xml:space="preserve">Общий объём начисленного фонда оплаты труда всех работающих с учётом погашенной задолженности за 2018 год составил 5 551,7 млн руб., увеличившись на 8,0%. На конец декабря 2018 года задолженность по выплате заработной платы в реальном секторе сложилась в пределах 54,1 млн руб., или 11,7% среднемесячного фонда оплаты труда (14,8% – годом ранее). Больше половины данной суммы составляют обязательства перед работниками предприятий индустрии (56,6%), порядка 21% – строительного комплекса, 11% – сельского хозяйства. Задолженность по выплате заработной платы в бюджетном секторе по итогам года отсутствовала. </w:t>
      </w:r>
    </w:p>
    <w:p w:rsidR="00C20988" w:rsidRPr="00662C95" w:rsidRDefault="00C20988" w:rsidP="00A273FB">
      <w:pPr>
        <w:pStyle w:val="artx"/>
        <w:ind w:firstLine="425"/>
        <w:jc w:val="both"/>
        <w:rPr>
          <w:rFonts w:ascii="Times New Roman" w:hAnsi="Times New Roman" w:cs="Times New Roman"/>
          <w:sz w:val="24"/>
          <w:szCs w:val="24"/>
        </w:rPr>
      </w:pPr>
      <w:r w:rsidRPr="00662C95">
        <w:rPr>
          <w:rFonts w:ascii="Times New Roman" w:hAnsi="Times New Roman" w:cs="Times New Roman"/>
          <w:sz w:val="24"/>
          <w:szCs w:val="24"/>
        </w:rPr>
        <w:t xml:space="preserve">Согласно оценке Государственной службы статистики ПМР, среднемесячная заработная плата одного работника в целом по экономике, включая субъекты малого предпринимательства, составила 4 211,0 руб., что на 7,8% выше базисного значения. </w:t>
      </w:r>
    </w:p>
    <w:p w:rsidR="00C20988" w:rsidRPr="00662C95" w:rsidRDefault="00C20988" w:rsidP="00A273FB">
      <w:pPr>
        <w:widowControl w:val="0"/>
        <w:autoSpaceDE w:val="0"/>
        <w:autoSpaceDN w:val="0"/>
        <w:adjustRightInd w:val="0"/>
        <w:ind w:firstLine="425"/>
        <w:jc w:val="both"/>
        <w:rPr>
          <w:color w:val="000000"/>
          <w:sz w:val="24"/>
          <w:szCs w:val="24"/>
        </w:rPr>
      </w:pPr>
      <w:r w:rsidRPr="00662C95">
        <w:rPr>
          <w:color w:val="000000"/>
          <w:sz w:val="24"/>
          <w:szCs w:val="24"/>
        </w:rPr>
        <w:t xml:space="preserve">Оплата труда работающих на крупных предприятиях в среднем сложилась на уровне 4 328,0 руб. в месяц, увеличившись на 8,9%, в том числе в секторе материального производства – 5 361,0 руб. (+10,9%), в непроизводственной сфере – 3 330,0 руб. (+5,5%). Начисленная заработная плата работников бюджетной сферы превзошла уровень базисного периода на 4,7%, до 2 858,0 руб. </w:t>
      </w:r>
    </w:p>
    <w:p w:rsidR="00C20988" w:rsidRPr="00662C95" w:rsidRDefault="00C20988" w:rsidP="00A273FB">
      <w:pPr>
        <w:pStyle w:val="Heading3"/>
        <w:keepNext w:val="0"/>
        <w:jc w:val="both"/>
        <w:rPr>
          <w:rFonts w:ascii="Times New Roman" w:hAnsi="Times New Roman" w:cs="Times New Roman"/>
          <w:i w:val="0"/>
          <w:sz w:val="24"/>
          <w:szCs w:val="24"/>
        </w:rPr>
      </w:pPr>
      <w:r w:rsidRPr="00662C95">
        <w:rPr>
          <w:rFonts w:ascii="Times New Roman" w:hAnsi="Times New Roman" w:cs="Times New Roman"/>
          <w:i w:val="0"/>
          <w:sz w:val="24"/>
          <w:szCs w:val="24"/>
        </w:rPr>
        <w:t>Средний размер пенсии</w:t>
      </w:r>
      <w:r w:rsidRPr="00662C95">
        <w:rPr>
          <w:rStyle w:val="FootnoteReference"/>
          <w:rFonts w:ascii="Times New Roman" w:hAnsi="Times New Roman"/>
          <w:color w:val="000000"/>
          <w:sz w:val="24"/>
          <w:szCs w:val="24"/>
        </w:rPr>
        <w:footnoteReference w:id="7"/>
      </w:r>
      <w:r w:rsidRPr="00662C95">
        <w:rPr>
          <w:rFonts w:ascii="Times New Roman" w:hAnsi="Times New Roman" w:cs="Times New Roman"/>
          <w:i w:val="0"/>
          <w:sz w:val="24"/>
          <w:szCs w:val="24"/>
        </w:rPr>
        <w:t xml:space="preserve"> с учётом корректировок и надбавок практически соответствовал базисному уровню, составив 1 327,4 руб., что на 8,5% выше расчётного значения прожиточного минимума пенсионера (1 223,3 руб.).</w:t>
      </w:r>
      <w:r w:rsidRPr="00662C95">
        <w:rPr>
          <w:i w:val="0"/>
          <w:sz w:val="24"/>
          <w:szCs w:val="24"/>
        </w:rPr>
        <w:t xml:space="preserve"> </w:t>
      </w:r>
      <w:r w:rsidRPr="00662C95">
        <w:rPr>
          <w:rFonts w:ascii="Times New Roman" w:hAnsi="Times New Roman" w:cs="Times New Roman"/>
          <w:i w:val="0"/>
          <w:sz w:val="24"/>
          <w:szCs w:val="24"/>
        </w:rPr>
        <w:t xml:space="preserve">Совокупный объём пенсионного обеспечения с учётом пенсий, получаемых гражданами Российской Федерации, проживающими на территории Приднестровья, за 2018 год сложился на отметке </w:t>
      </w:r>
      <w:r w:rsidRPr="00662C95">
        <w:rPr>
          <w:rFonts w:ascii="Times New Roman" w:hAnsi="Times New Roman" w:cs="Times New Roman"/>
          <w:i w:val="0"/>
          <w:sz w:val="24"/>
          <w:szCs w:val="24"/>
        </w:rPr>
        <w:br/>
        <w:t xml:space="preserve">2 766,7 млн руб., или 102,6% к базисному значению. </w:t>
      </w:r>
    </w:p>
    <w:p w:rsidR="00C20988" w:rsidRPr="00662C95" w:rsidRDefault="00C20988" w:rsidP="00A273FB">
      <w:pPr>
        <w:pStyle w:val="Heading3"/>
        <w:jc w:val="both"/>
        <w:rPr>
          <w:rFonts w:ascii="Times New Roman" w:hAnsi="Times New Roman" w:cs="Times New Roman"/>
          <w:b/>
          <w:bCs/>
          <w:i w:val="0"/>
          <w:sz w:val="24"/>
          <w:szCs w:val="24"/>
        </w:rPr>
      </w:pPr>
      <w:r w:rsidRPr="00662C95">
        <w:rPr>
          <w:rFonts w:ascii="Times New Roman" w:hAnsi="Times New Roman" w:cs="Times New Roman"/>
          <w:i w:val="0"/>
          <w:sz w:val="24"/>
          <w:szCs w:val="24"/>
        </w:rPr>
        <w:t xml:space="preserve">В целом </w:t>
      </w:r>
      <w:r w:rsidRPr="00662C95">
        <w:rPr>
          <w:rFonts w:ascii="Times New Roman" w:hAnsi="Times New Roman" w:cs="Times New Roman"/>
          <w:i w:val="0"/>
          <w:color w:val="000000"/>
          <w:sz w:val="24"/>
          <w:szCs w:val="24"/>
        </w:rPr>
        <w:t xml:space="preserve">объём социального финансирования из средств республиканского бюджета, Единого государственного фонда социального страхования ПМР и прочих источников расширился на 3,0% и составил 3 110,5 млн руб. </w:t>
      </w:r>
    </w:p>
    <w:p w:rsidR="00C20988" w:rsidRPr="00662C95" w:rsidRDefault="00C20988" w:rsidP="00025753">
      <w:pPr>
        <w:widowControl w:val="0"/>
        <w:shd w:val="clear" w:color="auto" w:fill="F0F0F0"/>
        <w:ind w:firstLine="425"/>
        <w:jc w:val="both"/>
        <w:rPr>
          <w:sz w:val="24"/>
          <w:szCs w:val="24"/>
        </w:rPr>
      </w:pPr>
      <w:r w:rsidRPr="00662C95">
        <w:rPr>
          <w:sz w:val="24"/>
          <w:szCs w:val="24"/>
        </w:rPr>
        <w:t xml:space="preserve">На фоне роста располагаемых доходов граждан совокупный объём их расходов на покупку всех видов товаров и оплату услуг достиг 9 879,8 млн руб., что на 8,7% превысило уровень базисного года. </w:t>
      </w:r>
    </w:p>
    <w:p w:rsidR="00C20988" w:rsidRPr="00662C95" w:rsidRDefault="00C20988" w:rsidP="00025753">
      <w:pPr>
        <w:widowControl w:val="0"/>
        <w:shd w:val="clear" w:color="auto" w:fill="F0F0F0"/>
        <w:tabs>
          <w:tab w:val="left" w:pos="426"/>
        </w:tabs>
        <w:ind w:firstLine="425"/>
        <w:jc w:val="both"/>
        <w:rPr>
          <w:color w:val="000000"/>
          <w:sz w:val="24"/>
          <w:szCs w:val="24"/>
        </w:rPr>
      </w:pPr>
      <w:r w:rsidRPr="00662C95">
        <w:rPr>
          <w:sz w:val="24"/>
          <w:szCs w:val="24"/>
        </w:rPr>
        <w:tab/>
        <w:t xml:space="preserve">На приобретение товаров на внутреннем рынке гражданами было потрачено </w:t>
      </w:r>
      <w:r w:rsidRPr="00662C95">
        <w:rPr>
          <w:sz w:val="24"/>
          <w:szCs w:val="24"/>
        </w:rPr>
        <w:br/>
        <w:t xml:space="preserve">7 627,1 млн </w:t>
      </w:r>
      <w:r w:rsidRPr="00662C95">
        <w:rPr>
          <w:color w:val="000000"/>
          <w:sz w:val="24"/>
          <w:szCs w:val="24"/>
        </w:rPr>
        <w:t xml:space="preserve">руб., что 10,7% больше, чем годом ранее. При этом продолжилось смещение потребительского спроса в сторону непродовольственных товаров – 57,2% в структуре реализации товаров. В абсолютном выражении на непродовольственные товары населением было израсходовано 4 362,7 млн руб., что на 17,4% больше, чем год назад, в то время как реализация продуктов питания увеличилась на 2,7%, до 3 264,4 млн руб. </w:t>
      </w:r>
    </w:p>
    <w:p w:rsidR="00C20988" w:rsidRPr="00662C95" w:rsidRDefault="00C20988" w:rsidP="00025753">
      <w:pPr>
        <w:widowControl w:val="0"/>
        <w:shd w:val="clear" w:color="auto" w:fill="F0F0F0"/>
        <w:autoSpaceDE w:val="0"/>
        <w:autoSpaceDN w:val="0"/>
        <w:adjustRightInd w:val="0"/>
        <w:ind w:firstLine="425"/>
        <w:jc w:val="both"/>
        <w:rPr>
          <w:color w:val="000000"/>
          <w:sz w:val="24"/>
          <w:szCs w:val="24"/>
        </w:rPr>
      </w:pPr>
      <w:r w:rsidRPr="00662C95">
        <w:rPr>
          <w:color w:val="000000"/>
          <w:sz w:val="24"/>
          <w:szCs w:val="24"/>
        </w:rPr>
        <w:t xml:space="preserve">Расходы на оплату услуг характеризовались более умеренной динамикой роста (+2,4%), составив 2 252,7 млн руб. В основном это были затраты на оплату жилищно-коммунальных, транспортных услуг и услуг связи. </w:t>
      </w:r>
    </w:p>
    <w:p w:rsidR="00C20988" w:rsidRPr="00662C95" w:rsidRDefault="00C20988" w:rsidP="00A273FB">
      <w:pPr>
        <w:autoSpaceDE w:val="0"/>
        <w:autoSpaceDN w:val="0"/>
        <w:adjustRightInd w:val="0"/>
        <w:ind w:firstLine="425"/>
        <w:jc w:val="both"/>
        <w:rPr>
          <w:color w:val="000000"/>
          <w:sz w:val="24"/>
          <w:szCs w:val="24"/>
        </w:rPr>
      </w:pPr>
      <w:r w:rsidRPr="00662C95">
        <w:rPr>
          <w:sz w:val="24"/>
          <w:szCs w:val="24"/>
        </w:rPr>
        <w:t xml:space="preserve">Рост доходов граждан на фоне замедления инфляции способствует формированию сбережений. Прирост средств населения на депозитах в коммерческих банках сложился в объёме 544,5 млн руб. Таким образом, </w:t>
      </w:r>
      <w:r w:rsidRPr="00662C95">
        <w:rPr>
          <w:color w:val="000000"/>
          <w:sz w:val="24"/>
          <w:szCs w:val="24"/>
        </w:rPr>
        <w:t>на депозитных счетах физических лиц осели 19,4%</w:t>
      </w:r>
      <w:r w:rsidRPr="00662C95">
        <w:rPr>
          <w:rStyle w:val="FootnoteReference"/>
          <w:color w:val="000000"/>
          <w:sz w:val="24"/>
          <w:szCs w:val="24"/>
        </w:rPr>
        <w:footnoteReference w:id="8"/>
      </w:r>
      <w:r w:rsidRPr="00662C95">
        <w:rPr>
          <w:color w:val="000000"/>
          <w:sz w:val="24"/>
          <w:szCs w:val="24"/>
        </w:rPr>
        <w:t xml:space="preserve"> поступлений. </w:t>
      </w:r>
    </w:p>
    <w:p w:rsidR="00C20988" w:rsidRPr="00662C95" w:rsidRDefault="00C20988" w:rsidP="00A273FB">
      <w:pPr>
        <w:widowControl w:val="0"/>
        <w:ind w:firstLine="425"/>
        <w:jc w:val="both"/>
        <w:rPr>
          <w:color w:val="000000"/>
          <w:sz w:val="24"/>
          <w:szCs w:val="24"/>
        </w:rPr>
      </w:pPr>
      <w:r w:rsidRPr="00662C95">
        <w:rPr>
          <w:color w:val="000000"/>
          <w:sz w:val="24"/>
          <w:szCs w:val="24"/>
        </w:rPr>
        <w:t xml:space="preserve">Важным источником денежных доходов, поддерживающим потребительский спрос, являются денежные трансферты из-за рубежа, величина которых в рублёвом эквиваленте по итогам 2018 года превысила показатель предыдущего года на 11,0% и </w:t>
      </w:r>
      <w:r w:rsidRPr="00662C95">
        <w:rPr>
          <w:sz w:val="24"/>
          <w:szCs w:val="24"/>
        </w:rPr>
        <w:t xml:space="preserve">составила </w:t>
      </w:r>
      <w:r w:rsidRPr="00662C95">
        <w:rPr>
          <w:sz w:val="24"/>
          <w:szCs w:val="24"/>
        </w:rPr>
        <w:br/>
      </w:r>
      <w:r w:rsidRPr="00662C95">
        <w:rPr>
          <w:color w:val="000000"/>
          <w:sz w:val="24"/>
          <w:szCs w:val="24"/>
        </w:rPr>
        <w:t>1 632,1 млн руб.</w:t>
      </w:r>
    </w:p>
    <w:p w:rsidR="00C20988" w:rsidRDefault="00C20988" w:rsidP="00A273FB">
      <w:pPr>
        <w:widowControl w:val="0"/>
        <w:tabs>
          <w:tab w:val="left" w:pos="1080"/>
        </w:tabs>
        <w:ind w:firstLine="425"/>
        <w:jc w:val="both"/>
      </w:pPr>
      <w:r w:rsidRPr="00662C95">
        <w:rPr>
          <w:color w:val="000000"/>
          <w:sz w:val="24"/>
          <w:szCs w:val="24"/>
        </w:rPr>
        <w:t>На рынке труда фиксируется минимальный уровень официальной безработицы – 1,9% экономически активного населения против 3,7% годом ранее. В отчётном периоде на постоянное место работы было принято 19 052 человека, из них 1 003 человека – на дополнительно введённые рабочие места. Процент замещения выбывших работников новыми кадрами составил 92,6%.</w:t>
      </w:r>
      <w:r w:rsidRPr="001D23ED">
        <w:rPr>
          <w:color w:val="000000"/>
          <w:sz w:val="24"/>
          <w:szCs w:val="24"/>
        </w:rPr>
        <w:t xml:space="preserve"> </w:t>
      </w:r>
    </w:p>
    <w:p w:rsidR="00C20988" w:rsidRDefault="00C20988" w:rsidP="00A11EEB">
      <w:pPr>
        <w:pStyle w:val="Footer"/>
        <w:tabs>
          <w:tab w:val="left" w:pos="900"/>
        </w:tabs>
        <w:ind w:firstLine="425"/>
        <w:jc w:val="both"/>
        <w:rPr>
          <w:color w:val="000000"/>
          <w:sz w:val="24"/>
          <w:szCs w:val="24"/>
        </w:rPr>
      </w:pPr>
    </w:p>
    <w:p w:rsidR="00C20988" w:rsidRPr="00715F41" w:rsidRDefault="00C20988" w:rsidP="00715F41">
      <w:pPr>
        <w:pStyle w:val="ListParagraph"/>
        <w:widowControl w:val="0"/>
        <w:numPr>
          <w:ilvl w:val="1"/>
          <w:numId w:val="1"/>
        </w:numPr>
        <w:jc w:val="both"/>
        <w:rPr>
          <w:b/>
          <w:bCs/>
          <w:noProof/>
          <w:sz w:val="24"/>
          <w:szCs w:val="24"/>
        </w:rPr>
      </w:pPr>
      <w:r w:rsidRPr="00715F41">
        <w:rPr>
          <w:b/>
          <w:bCs/>
          <w:noProof/>
          <w:sz w:val="24"/>
          <w:szCs w:val="24"/>
        </w:rPr>
        <w:t>ПЛАТЁЖНЫЙ БАЛАНС</w:t>
      </w:r>
    </w:p>
    <w:p w:rsidR="00C20988" w:rsidRDefault="00C20988" w:rsidP="00715F41">
      <w:pPr>
        <w:pStyle w:val="BodyTextIndent"/>
        <w:spacing w:before="120" w:after="0"/>
        <w:ind w:left="0" w:firstLine="425"/>
        <w:jc w:val="both"/>
        <w:rPr>
          <w:sz w:val="24"/>
          <w:szCs w:val="24"/>
        </w:rPr>
      </w:pPr>
      <w:r w:rsidRPr="00374E38">
        <w:rPr>
          <w:sz w:val="24"/>
          <w:szCs w:val="24"/>
        </w:rPr>
        <w:t>В 2018 год</w:t>
      </w:r>
      <w:r>
        <w:rPr>
          <w:sz w:val="24"/>
          <w:szCs w:val="24"/>
        </w:rPr>
        <w:t>у</w:t>
      </w:r>
      <w:r w:rsidRPr="00374E38">
        <w:rPr>
          <w:sz w:val="24"/>
          <w:szCs w:val="24"/>
        </w:rPr>
        <w:t xml:space="preserve"> основным фактором, определившим величину сальдо счёта текущих операций, являлся торговый баланс, итоговый результат которого во многом </w:t>
      </w:r>
      <w:r>
        <w:rPr>
          <w:sz w:val="24"/>
          <w:szCs w:val="24"/>
        </w:rPr>
        <w:t xml:space="preserve">сложился </w:t>
      </w:r>
      <w:r w:rsidRPr="00374E38">
        <w:rPr>
          <w:sz w:val="24"/>
          <w:szCs w:val="24"/>
        </w:rPr>
        <w:t>под влиянием динамики внешнеторговых операций в металлургии. Негативный эффект оказало формирован</w:t>
      </w:r>
      <w:r>
        <w:rPr>
          <w:sz w:val="24"/>
          <w:szCs w:val="24"/>
        </w:rPr>
        <w:t>и</w:t>
      </w:r>
      <w:r w:rsidRPr="00374E38">
        <w:rPr>
          <w:sz w:val="24"/>
          <w:szCs w:val="24"/>
        </w:rPr>
        <w:t>е отриц</w:t>
      </w:r>
      <w:r>
        <w:rPr>
          <w:sz w:val="24"/>
          <w:szCs w:val="24"/>
        </w:rPr>
        <w:t xml:space="preserve">ательного сальдо баланса услуг </w:t>
      </w:r>
      <w:r w:rsidRPr="00374E38">
        <w:rPr>
          <w:sz w:val="24"/>
          <w:szCs w:val="24"/>
        </w:rPr>
        <w:t>вследствие значительного расширения спроса на услуги зарубежных контрагентов. Одновременно с этим частично нивелирующее воздействие проявилось со стороны увеличения притока частных трансфертов. В результате дефицит счёта тек</w:t>
      </w:r>
      <w:r>
        <w:rPr>
          <w:sz w:val="24"/>
          <w:szCs w:val="24"/>
        </w:rPr>
        <w:t xml:space="preserve">ущих операций сложился в сумме </w:t>
      </w:r>
      <w:r w:rsidRPr="00374E38">
        <w:rPr>
          <w:sz w:val="24"/>
          <w:szCs w:val="24"/>
        </w:rPr>
        <w:t>-</w:t>
      </w:r>
      <w:r>
        <w:rPr>
          <w:sz w:val="24"/>
          <w:szCs w:val="24"/>
        </w:rPr>
        <w:t>399,4</w:t>
      </w:r>
      <w:r w:rsidRPr="00374E38">
        <w:rPr>
          <w:sz w:val="24"/>
          <w:szCs w:val="24"/>
        </w:rPr>
        <w:t xml:space="preserve"> млн долл., что на </w:t>
      </w:r>
      <w:r>
        <w:rPr>
          <w:sz w:val="24"/>
          <w:szCs w:val="24"/>
        </w:rPr>
        <w:t>41,9</w:t>
      </w:r>
      <w:r w:rsidRPr="00374E38">
        <w:rPr>
          <w:sz w:val="24"/>
          <w:szCs w:val="24"/>
        </w:rPr>
        <w:t xml:space="preserve">% выше показателя </w:t>
      </w:r>
      <w:r>
        <w:rPr>
          <w:sz w:val="24"/>
          <w:szCs w:val="24"/>
        </w:rPr>
        <w:t xml:space="preserve">2017 года и на 28,7% – </w:t>
      </w:r>
      <w:r w:rsidRPr="00374E38">
        <w:rPr>
          <w:sz w:val="24"/>
          <w:szCs w:val="24"/>
        </w:rPr>
        <w:t>2016 года.</w:t>
      </w:r>
    </w:p>
    <w:p w:rsidR="00C20988" w:rsidRPr="0046087E" w:rsidRDefault="00C20988" w:rsidP="00715F41">
      <w:pPr>
        <w:widowControl w:val="0"/>
        <w:autoSpaceDE w:val="0"/>
        <w:autoSpaceDN w:val="0"/>
        <w:adjustRightInd w:val="0"/>
        <w:spacing w:before="120"/>
        <w:ind w:firstLine="425"/>
        <w:jc w:val="right"/>
        <w:rPr>
          <w:b/>
          <w:i/>
          <w:color w:val="000000"/>
          <w:sz w:val="24"/>
          <w:szCs w:val="24"/>
        </w:rPr>
      </w:pPr>
      <w:r w:rsidRPr="00374E38">
        <w:rPr>
          <w:b/>
          <w:i/>
          <w:color w:val="000000"/>
          <w:sz w:val="24"/>
          <w:szCs w:val="24"/>
        </w:rPr>
        <w:t>Таблица 1.</w:t>
      </w:r>
      <w:r>
        <w:rPr>
          <w:b/>
          <w:i/>
          <w:color w:val="000000"/>
          <w:sz w:val="24"/>
          <w:szCs w:val="24"/>
        </w:rPr>
        <w:t>5</w:t>
      </w:r>
    </w:p>
    <w:p w:rsidR="00C20988" w:rsidRPr="00374E38" w:rsidRDefault="00C20988" w:rsidP="00715F41">
      <w:pPr>
        <w:pStyle w:val="Heading1"/>
        <w:keepNext w:val="0"/>
        <w:spacing w:before="120" w:line="10" w:lineRule="atLeast"/>
        <w:jc w:val="center"/>
        <w:rPr>
          <w:b/>
          <w:i/>
          <w:color w:val="000000"/>
          <w:sz w:val="24"/>
          <w:szCs w:val="24"/>
          <w:vertAlign w:val="superscript"/>
        </w:rPr>
      </w:pPr>
      <w:bookmarkStart w:id="1" w:name="OLE_LINK8"/>
      <w:bookmarkStart w:id="2" w:name="OLE_LINK11"/>
      <w:r w:rsidRPr="00374E38">
        <w:rPr>
          <w:b/>
          <w:i/>
          <w:color w:val="000000"/>
          <w:sz w:val="24"/>
          <w:szCs w:val="24"/>
        </w:rPr>
        <w:t>Платёжный баланс ПМР (сальдо) за 2016-2018 гг.</w:t>
      </w:r>
      <w:r w:rsidRPr="00374E38">
        <w:rPr>
          <w:b/>
          <w:i/>
          <w:color w:val="000000"/>
          <w:sz w:val="24"/>
          <w:szCs w:val="24"/>
          <w:vertAlign w:val="superscript"/>
        </w:rPr>
        <w:t xml:space="preserve"> </w:t>
      </w:r>
      <w:r w:rsidRPr="00374E38">
        <w:rPr>
          <w:rStyle w:val="FootnoteReference"/>
          <w:b/>
          <w:i/>
          <w:color w:val="000000"/>
          <w:sz w:val="24"/>
          <w:szCs w:val="24"/>
        </w:rPr>
        <w:footnoteReference w:id="9"/>
      </w:r>
    </w:p>
    <w:p w:rsidR="00C20988" w:rsidRPr="00374E38" w:rsidRDefault="00C20988" w:rsidP="00715F41">
      <w:pPr>
        <w:jc w:val="right"/>
        <w:rPr>
          <w:color w:val="000000"/>
          <w:sz w:val="24"/>
          <w:szCs w:val="24"/>
        </w:rPr>
      </w:pPr>
      <w:r w:rsidRPr="00374E38">
        <w:rPr>
          <w:color w:val="000000"/>
          <w:sz w:val="24"/>
          <w:szCs w:val="24"/>
        </w:rPr>
        <w:t>млн долл.</w:t>
      </w: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9"/>
        <w:gridCol w:w="1795"/>
        <w:gridCol w:w="1795"/>
        <w:gridCol w:w="1796"/>
      </w:tblGrid>
      <w:tr w:rsidR="00C20988" w:rsidRPr="00374E38" w:rsidTr="00384D3D">
        <w:trPr>
          <w:trHeight w:val="270"/>
        </w:trPr>
        <w:tc>
          <w:tcPr>
            <w:tcW w:w="4239" w:type="dxa"/>
            <w:tcBorders>
              <w:bottom w:val="double" w:sz="4" w:space="0" w:color="auto"/>
            </w:tcBorders>
            <w:shd w:val="clear" w:color="auto" w:fill="CCCCCC"/>
            <w:vAlign w:val="center"/>
          </w:tcPr>
          <w:p w:rsidR="00C20988" w:rsidRPr="00374E38" w:rsidRDefault="00C20988" w:rsidP="00384D3D">
            <w:pPr>
              <w:pStyle w:val="Header"/>
              <w:widowControl w:val="0"/>
              <w:ind w:left="-142"/>
              <w:jc w:val="center"/>
              <w:rPr>
                <w:color w:val="000000"/>
                <w:sz w:val="22"/>
                <w:szCs w:val="22"/>
              </w:rPr>
            </w:pPr>
          </w:p>
        </w:tc>
        <w:tc>
          <w:tcPr>
            <w:tcW w:w="1795" w:type="dxa"/>
            <w:tcBorders>
              <w:bottom w:val="double" w:sz="4" w:space="0" w:color="auto"/>
            </w:tcBorders>
            <w:shd w:val="clear" w:color="auto" w:fill="CCCCCC"/>
            <w:vAlign w:val="center"/>
          </w:tcPr>
          <w:p w:rsidR="00C20988" w:rsidRPr="00374E38" w:rsidRDefault="00C20988" w:rsidP="00384D3D">
            <w:pPr>
              <w:pStyle w:val="Header"/>
              <w:ind w:left="-108" w:right="-78"/>
              <w:jc w:val="center"/>
              <w:rPr>
                <w:color w:val="000000"/>
                <w:sz w:val="22"/>
                <w:szCs w:val="22"/>
              </w:rPr>
            </w:pPr>
            <w:r w:rsidRPr="00374E38">
              <w:rPr>
                <w:color w:val="000000"/>
                <w:sz w:val="22"/>
                <w:szCs w:val="22"/>
              </w:rPr>
              <w:t>2016 год</w:t>
            </w:r>
          </w:p>
        </w:tc>
        <w:tc>
          <w:tcPr>
            <w:tcW w:w="1795" w:type="dxa"/>
            <w:tcBorders>
              <w:bottom w:val="double" w:sz="4" w:space="0" w:color="auto"/>
            </w:tcBorders>
            <w:shd w:val="clear" w:color="auto" w:fill="CCCCCC"/>
            <w:vAlign w:val="center"/>
          </w:tcPr>
          <w:p w:rsidR="00C20988" w:rsidRPr="00374E38" w:rsidRDefault="00C20988" w:rsidP="00384D3D">
            <w:pPr>
              <w:pStyle w:val="Header"/>
              <w:ind w:left="-108" w:right="-78"/>
              <w:jc w:val="center"/>
              <w:rPr>
                <w:color w:val="000000"/>
                <w:sz w:val="22"/>
                <w:szCs w:val="22"/>
              </w:rPr>
            </w:pPr>
            <w:r w:rsidRPr="00374E38">
              <w:rPr>
                <w:color w:val="000000"/>
                <w:sz w:val="22"/>
                <w:szCs w:val="22"/>
              </w:rPr>
              <w:t>2017 год</w:t>
            </w:r>
          </w:p>
        </w:tc>
        <w:tc>
          <w:tcPr>
            <w:tcW w:w="1796" w:type="dxa"/>
            <w:tcBorders>
              <w:bottom w:val="double" w:sz="4" w:space="0" w:color="auto"/>
            </w:tcBorders>
            <w:shd w:val="clear" w:color="auto" w:fill="CCCCCC"/>
            <w:vAlign w:val="center"/>
          </w:tcPr>
          <w:p w:rsidR="00C20988" w:rsidRPr="00374E38" w:rsidRDefault="00C20988" w:rsidP="00384D3D">
            <w:pPr>
              <w:pStyle w:val="Header"/>
              <w:ind w:left="-108" w:right="-78"/>
              <w:jc w:val="center"/>
              <w:rPr>
                <w:color w:val="000000"/>
                <w:sz w:val="22"/>
                <w:szCs w:val="22"/>
              </w:rPr>
            </w:pPr>
            <w:r w:rsidRPr="00374E38">
              <w:rPr>
                <w:color w:val="000000"/>
                <w:sz w:val="22"/>
                <w:szCs w:val="22"/>
              </w:rPr>
              <w:t>2018 год</w:t>
            </w:r>
          </w:p>
        </w:tc>
      </w:tr>
      <w:tr w:rsidR="00C20988" w:rsidRPr="00374E38" w:rsidTr="00384D3D">
        <w:trPr>
          <w:trHeight w:val="372"/>
        </w:trPr>
        <w:tc>
          <w:tcPr>
            <w:tcW w:w="4239" w:type="dxa"/>
            <w:tcBorders>
              <w:top w:val="double" w:sz="4" w:space="0" w:color="auto"/>
            </w:tcBorders>
            <w:shd w:val="clear" w:color="auto" w:fill="E0E0E0"/>
            <w:vAlign w:val="center"/>
          </w:tcPr>
          <w:p w:rsidR="00C20988" w:rsidRPr="00374E38" w:rsidRDefault="00C20988" w:rsidP="00384D3D">
            <w:pPr>
              <w:pStyle w:val="Footer"/>
              <w:widowControl w:val="0"/>
              <w:jc w:val="both"/>
              <w:rPr>
                <w:color w:val="000000"/>
                <w:sz w:val="22"/>
                <w:szCs w:val="22"/>
              </w:rPr>
            </w:pPr>
            <w:r w:rsidRPr="00374E38">
              <w:rPr>
                <w:color w:val="000000"/>
                <w:sz w:val="22"/>
                <w:szCs w:val="22"/>
              </w:rPr>
              <w:t>1. СЧЁТ ТЕКУЩИХ ОПЕРАЦИЙ</w:t>
            </w:r>
          </w:p>
        </w:tc>
        <w:tc>
          <w:tcPr>
            <w:tcW w:w="1795" w:type="dxa"/>
            <w:tcBorders>
              <w:top w:val="double" w:sz="4" w:space="0" w:color="auto"/>
            </w:tcBorders>
            <w:shd w:val="clear" w:color="auto" w:fill="E0E0E0"/>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-310,4</w:t>
            </w:r>
          </w:p>
        </w:tc>
        <w:tc>
          <w:tcPr>
            <w:tcW w:w="1795" w:type="dxa"/>
            <w:tcBorders>
              <w:top w:val="double" w:sz="4" w:space="0" w:color="auto"/>
            </w:tcBorders>
            <w:shd w:val="clear" w:color="auto" w:fill="E0E0E0"/>
            <w:vAlign w:val="center"/>
          </w:tcPr>
          <w:p w:rsidR="00C20988" w:rsidRPr="00374E38" w:rsidRDefault="00C20988" w:rsidP="00384D3D">
            <w:pPr>
              <w:widowControl w:val="0"/>
              <w:ind w:right="432"/>
              <w:jc w:val="right"/>
              <w:rPr>
                <w:color w:val="000000"/>
                <w:sz w:val="22"/>
                <w:szCs w:val="22"/>
              </w:rPr>
            </w:pPr>
            <w:r>
              <w:rPr>
                <w:color w:val="000000"/>
                <w:sz w:val="22"/>
                <w:szCs w:val="22"/>
              </w:rPr>
              <w:t>-281,4</w:t>
            </w:r>
          </w:p>
        </w:tc>
        <w:tc>
          <w:tcPr>
            <w:tcW w:w="1796" w:type="dxa"/>
            <w:tcBorders>
              <w:top w:val="double" w:sz="4" w:space="0" w:color="auto"/>
            </w:tcBorders>
            <w:shd w:val="clear" w:color="auto" w:fill="E0E0E0"/>
            <w:vAlign w:val="center"/>
          </w:tcPr>
          <w:p w:rsidR="00C20988" w:rsidRPr="00374E38" w:rsidRDefault="00C20988" w:rsidP="00384D3D">
            <w:pPr>
              <w:widowControl w:val="0"/>
              <w:ind w:right="435"/>
              <w:jc w:val="right"/>
              <w:rPr>
                <w:color w:val="000000"/>
                <w:sz w:val="22"/>
                <w:szCs w:val="22"/>
              </w:rPr>
            </w:pPr>
            <w:r>
              <w:rPr>
                <w:color w:val="000000"/>
                <w:sz w:val="22"/>
                <w:szCs w:val="22"/>
              </w:rPr>
              <w:t>-399,4</w:t>
            </w:r>
          </w:p>
        </w:tc>
      </w:tr>
      <w:tr w:rsidR="00C20988" w:rsidRPr="00374E38" w:rsidTr="00384D3D">
        <w:trPr>
          <w:trHeight w:val="378"/>
        </w:trPr>
        <w:tc>
          <w:tcPr>
            <w:tcW w:w="4239" w:type="dxa"/>
            <w:vAlign w:val="center"/>
          </w:tcPr>
          <w:p w:rsidR="00C20988" w:rsidRPr="00374E38" w:rsidRDefault="00C20988" w:rsidP="00384D3D">
            <w:pPr>
              <w:pStyle w:val="artx"/>
              <w:widowControl w:val="0"/>
              <w:ind w:firstLine="102"/>
              <w:rPr>
                <w:rFonts w:ascii="Times New Roman" w:hAnsi="Times New Roman" w:cs="Times New Roman"/>
                <w:sz w:val="22"/>
                <w:szCs w:val="22"/>
              </w:rPr>
            </w:pPr>
            <w:r w:rsidRPr="00374E38">
              <w:rPr>
                <w:rFonts w:ascii="Times New Roman" w:hAnsi="Times New Roman" w:cs="Times New Roman"/>
                <w:sz w:val="22"/>
                <w:szCs w:val="22"/>
              </w:rPr>
              <w:t>Товары и услуги</w:t>
            </w:r>
          </w:p>
        </w:tc>
        <w:tc>
          <w:tcPr>
            <w:tcW w:w="1795" w:type="dxa"/>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-371,6</w:t>
            </w:r>
          </w:p>
        </w:tc>
        <w:tc>
          <w:tcPr>
            <w:tcW w:w="1795" w:type="dxa"/>
            <w:vAlign w:val="center"/>
          </w:tcPr>
          <w:p w:rsidR="00C20988" w:rsidRPr="00374E38" w:rsidRDefault="00C20988" w:rsidP="00384D3D">
            <w:pPr>
              <w:widowControl w:val="0"/>
              <w:ind w:right="432"/>
              <w:jc w:val="right"/>
              <w:rPr>
                <w:color w:val="000000"/>
                <w:sz w:val="22"/>
                <w:szCs w:val="22"/>
              </w:rPr>
            </w:pPr>
            <w:r>
              <w:rPr>
                <w:color w:val="000000"/>
                <w:sz w:val="22"/>
                <w:szCs w:val="22"/>
              </w:rPr>
              <w:t>-388,1</w:t>
            </w:r>
          </w:p>
        </w:tc>
        <w:tc>
          <w:tcPr>
            <w:tcW w:w="1796" w:type="dxa"/>
            <w:vAlign w:val="center"/>
          </w:tcPr>
          <w:p w:rsidR="00C20988" w:rsidRPr="00374E38" w:rsidRDefault="00C20988" w:rsidP="00384D3D">
            <w:pPr>
              <w:widowControl w:val="0"/>
              <w:ind w:right="435"/>
              <w:jc w:val="right"/>
              <w:rPr>
                <w:color w:val="000000"/>
                <w:sz w:val="22"/>
                <w:szCs w:val="22"/>
              </w:rPr>
            </w:pPr>
            <w:r>
              <w:rPr>
                <w:color w:val="000000"/>
                <w:sz w:val="22"/>
                <w:szCs w:val="22"/>
              </w:rPr>
              <w:t>-540,4</w:t>
            </w:r>
          </w:p>
        </w:tc>
      </w:tr>
      <w:tr w:rsidR="00C20988" w:rsidRPr="00374E38" w:rsidTr="00384D3D">
        <w:trPr>
          <w:trHeight w:val="322"/>
        </w:trPr>
        <w:tc>
          <w:tcPr>
            <w:tcW w:w="4239" w:type="dxa"/>
            <w:shd w:val="clear" w:color="auto" w:fill="E0E0E0"/>
            <w:vAlign w:val="center"/>
          </w:tcPr>
          <w:p w:rsidR="00C20988" w:rsidRPr="00374E38" w:rsidRDefault="00C20988" w:rsidP="00384D3D">
            <w:pPr>
              <w:pStyle w:val="artx"/>
              <w:widowControl w:val="0"/>
              <w:ind w:firstLine="102"/>
              <w:rPr>
                <w:rFonts w:ascii="Times New Roman" w:hAnsi="Times New Roman" w:cs="Times New Roman"/>
                <w:sz w:val="22"/>
                <w:szCs w:val="22"/>
              </w:rPr>
            </w:pPr>
            <w:r w:rsidRPr="00374E38">
              <w:rPr>
                <w:rFonts w:ascii="Times New Roman" w:hAnsi="Times New Roman" w:cs="Times New Roman"/>
                <w:sz w:val="22"/>
                <w:szCs w:val="22"/>
              </w:rPr>
              <w:t>A. Товары</w:t>
            </w:r>
          </w:p>
        </w:tc>
        <w:tc>
          <w:tcPr>
            <w:tcW w:w="1795" w:type="dxa"/>
            <w:shd w:val="clear" w:color="auto" w:fill="E0E0E0"/>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-374,6</w:t>
            </w:r>
          </w:p>
        </w:tc>
        <w:tc>
          <w:tcPr>
            <w:tcW w:w="1795" w:type="dxa"/>
            <w:shd w:val="clear" w:color="auto" w:fill="E0E0E0"/>
            <w:vAlign w:val="center"/>
          </w:tcPr>
          <w:p w:rsidR="00C20988" w:rsidRPr="00374E38" w:rsidRDefault="00C20988" w:rsidP="00384D3D">
            <w:pPr>
              <w:widowControl w:val="0"/>
              <w:ind w:right="432"/>
              <w:jc w:val="right"/>
              <w:rPr>
                <w:color w:val="000000"/>
                <w:sz w:val="22"/>
                <w:szCs w:val="22"/>
              </w:rPr>
            </w:pPr>
            <w:r>
              <w:rPr>
                <w:color w:val="000000"/>
                <w:sz w:val="22"/>
                <w:szCs w:val="22"/>
              </w:rPr>
              <w:t>-387,8</w:t>
            </w:r>
          </w:p>
        </w:tc>
        <w:tc>
          <w:tcPr>
            <w:tcW w:w="1796" w:type="dxa"/>
            <w:shd w:val="clear" w:color="auto" w:fill="E0E0E0"/>
            <w:vAlign w:val="center"/>
          </w:tcPr>
          <w:p w:rsidR="00C20988" w:rsidRPr="00374E38" w:rsidRDefault="00C20988" w:rsidP="00384D3D">
            <w:pPr>
              <w:widowControl w:val="0"/>
              <w:ind w:right="435"/>
              <w:jc w:val="right"/>
              <w:rPr>
                <w:color w:val="000000"/>
                <w:sz w:val="22"/>
                <w:szCs w:val="22"/>
              </w:rPr>
            </w:pPr>
            <w:r>
              <w:rPr>
                <w:color w:val="000000"/>
                <w:sz w:val="22"/>
                <w:szCs w:val="22"/>
              </w:rPr>
              <w:t>-521,5</w:t>
            </w:r>
          </w:p>
        </w:tc>
      </w:tr>
      <w:tr w:rsidR="00C20988" w:rsidRPr="00374E38" w:rsidTr="00384D3D">
        <w:tc>
          <w:tcPr>
            <w:tcW w:w="4239" w:type="dxa"/>
            <w:tcBorders>
              <w:top w:val="nil"/>
              <w:bottom w:val="nil"/>
            </w:tcBorders>
            <w:vAlign w:val="center"/>
          </w:tcPr>
          <w:p w:rsidR="00C20988" w:rsidRPr="00374E38" w:rsidRDefault="00C20988" w:rsidP="00384D3D">
            <w:pPr>
              <w:pStyle w:val="artx"/>
              <w:widowControl w:val="0"/>
              <w:ind w:left="318" w:firstLine="102"/>
              <w:rPr>
                <w:rFonts w:ascii="Times New Roman" w:hAnsi="Times New Roman" w:cs="Times New Roman"/>
                <w:sz w:val="22"/>
                <w:szCs w:val="22"/>
                <w:vertAlign w:val="superscript"/>
              </w:rPr>
            </w:pPr>
            <w:r w:rsidRPr="00374E38">
              <w:rPr>
                <w:rFonts w:ascii="Times New Roman" w:hAnsi="Times New Roman" w:cs="Times New Roman"/>
                <w:sz w:val="22"/>
                <w:szCs w:val="22"/>
              </w:rPr>
              <w:t xml:space="preserve">-экспорт </w:t>
            </w:r>
          </w:p>
        </w:tc>
        <w:tc>
          <w:tcPr>
            <w:tcW w:w="1795" w:type="dxa"/>
            <w:tcBorders>
              <w:top w:val="nil"/>
              <w:bottom w:val="nil"/>
            </w:tcBorders>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470,1</w:t>
            </w:r>
          </w:p>
        </w:tc>
        <w:tc>
          <w:tcPr>
            <w:tcW w:w="1795" w:type="dxa"/>
            <w:tcBorders>
              <w:top w:val="nil"/>
              <w:bottom w:val="nil"/>
            </w:tcBorders>
            <w:vAlign w:val="center"/>
          </w:tcPr>
          <w:p w:rsidR="00C20988" w:rsidRPr="00374E38" w:rsidRDefault="00C20988" w:rsidP="00384D3D">
            <w:pPr>
              <w:widowControl w:val="0"/>
              <w:ind w:right="432"/>
              <w:jc w:val="right"/>
              <w:rPr>
                <w:color w:val="000000"/>
                <w:sz w:val="22"/>
                <w:szCs w:val="22"/>
              </w:rPr>
            </w:pPr>
            <w:r>
              <w:rPr>
                <w:color w:val="000000"/>
                <w:sz w:val="22"/>
                <w:szCs w:val="22"/>
              </w:rPr>
              <w:t>583,6</w:t>
            </w:r>
          </w:p>
        </w:tc>
        <w:tc>
          <w:tcPr>
            <w:tcW w:w="1796" w:type="dxa"/>
            <w:tcBorders>
              <w:top w:val="nil"/>
              <w:bottom w:val="nil"/>
            </w:tcBorders>
            <w:vAlign w:val="center"/>
          </w:tcPr>
          <w:p w:rsidR="00C20988" w:rsidRPr="00374E38" w:rsidRDefault="00C20988" w:rsidP="00384D3D">
            <w:pPr>
              <w:widowControl w:val="0"/>
              <w:ind w:right="435"/>
              <w:jc w:val="right"/>
              <w:rPr>
                <w:color w:val="000000"/>
                <w:sz w:val="22"/>
                <w:szCs w:val="22"/>
              </w:rPr>
            </w:pPr>
            <w:r>
              <w:rPr>
                <w:color w:val="000000"/>
                <w:sz w:val="22"/>
                <w:szCs w:val="22"/>
              </w:rPr>
              <w:t>705,2</w:t>
            </w:r>
          </w:p>
        </w:tc>
      </w:tr>
      <w:tr w:rsidR="00C20988" w:rsidRPr="00374E38" w:rsidTr="00384D3D">
        <w:tc>
          <w:tcPr>
            <w:tcW w:w="4239" w:type="dxa"/>
            <w:tcBorders>
              <w:top w:val="nil"/>
            </w:tcBorders>
            <w:vAlign w:val="center"/>
          </w:tcPr>
          <w:p w:rsidR="00C20988" w:rsidRPr="00374E38" w:rsidRDefault="00C20988" w:rsidP="00384D3D">
            <w:pPr>
              <w:pStyle w:val="artx"/>
              <w:widowControl w:val="0"/>
              <w:ind w:left="318" w:firstLine="102"/>
              <w:rPr>
                <w:rFonts w:ascii="Times New Roman" w:hAnsi="Times New Roman" w:cs="Times New Roman"/>
                <w:sz w:val="22"/>
                <w:szCs w:val="22"/>
              </w:rPr>
            </w:pPr>
            <w:r w:rsidRPr="00374E38">
              <w:rPr>
                <w:rFonts w:ascii="Times New Roman" w:hAnsi="Times New Roman" w:cs="Times New Roman"/>
                <w:sz w:val="22"/>
                <w:szCs w:val="22"/>
              </w:rPr>
              <w:t>-импорт</w:t>
            </w:r>
          </w:p>
        </w:tc>
        <w:tc>
          <w:tcPr>
            <w:tcW w:w="1795" w:type="dxa"/>
            <w:tcBorders>
              <w:top w:val="nil"/>
            </w:tcBorders>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844,7</w:t>
            </w:r>
          </w:p>
        </w:tc>
        <w:tc>
          <w:tcPr>
            <w:tcW w:w="1795" w:type="dxa"/>
            <w:tcBorders>
              <w:top w:val="nil"/>
            </w:tcBorders>
            <w:vAlign w:val="center"/>
          </w:tcPr>
          <w:p w:rsidR="00C20988" w:rsidRPr="00374E38" w:rsidRDefault="00C20988" w:rsidP="00384D3D">
            <w:pPr>
              <w:widowControl w:val="0"/>
              <w:ind w:right="432"/>
              <w:jc w:val="right"/>
              <w:rPr>
                <w:color w:val="000000"/>
                <w:sz w:val="22"/>
                <w:szCs w:val="22"/>
              </w:rPr>
            </w:pPr>
            <w:r>
              <w:rPr>
                <w:color w:val="000000"/>
                <w:sz w:val="22"/>
                <w:szCs w:val="22"/>
              </w:rPr>
              <w:t>971,4</w:t>
            </w:r>
          </w:p>
        </w:tc>
        <w:tc>
          <w:tcPr>
            <w:tcW w:w="1796" w:type="dxa"/>
            <w:tcBorders>
              <w:top w:val="nil"/>
            </w:tcBorders>
            <w:vAlign w:val="center"/>
          </w:tcPr>
          <w:p w:rsidR="00C20988" w:rsidRPr="00374E38" w:rsidRDefault="00C20988" w:rsidP="00384D3D">
            <w:pPr>
              <w:widowControl w:val="0"/>
              <w:ind w:right="435"/>
              <w:jc w:val="right"/>
              <w:rPr>
                <w:color w:val="000000"/>
                <w:sz w:val="22"/>
                <w:szCs w:val="22"/>
              </w:rPr>
            </w:pPr>
            <w:r>
              <w:rPr>
                <w:color w:val="000000"/>
                <w:sz w:val="22"/>
                <w:szCs w:val="22"/>
              </w:rPr>
              <w:t>1 226,7</w:t>
            </w:r>
          </w:p>
        </w:tc>
      </w:tr>
      <w:tr w:rsidR="00C20988" w:rsidRPr="00374E38" w:rsidTr="00384D3D">
        <w:trPr>
          <w:trHeight w:val="323"/>
        </w:trPr>
        <w:tc>
          <w:tcPr>
            <w:tcW w:w="4239" w:type="dxa"/>
            <w:shd w:val="clear" w:color="auto" w:fill="E0E0E0"/>
            <w:vAlign w:val="center"/>
          </w:tcPr>
          <w:p w:rsidR="00C20988" w:rsidRPr="00374E38" w:rsidRDefault="00C20988" w:rsidP="00384D3D">
            <w:pPr>
              <w:pStyle w:val="artx"/>
              <w:widowControl w:val="0"/>
              <w:ind w:firstLine="102"/>
              <w:rPr>
                <w:rFonts w:ascii="Times New Roman" w:hAnsi="Times New Roman" w:cs="Times New Roman"/>
                <w:sz w:val="22"/>
                <w:szCs w:val="22"/>
              </w:rPr>
            </w:pPr>
            <w:r w:rsidRPr="00374E38">
              <w:rPr>
                <w:rFonts w:ascii="Times New Roman" w:hAnsi="Times New Roman" w:cs="Times New Roman"/>
                <w:sz w:val="22"/>
                <w:szCs w:val="22"/>
              </w:rPr>
              <w:t>B. Услуги</w:t>
            </w:r>
          </w:p>
        </w:tc>
        <w:tc>
          <w:tcPr>
            <w:tcW w:w="1795" w:type="dxa"/>
            <w:shd w:val="clear" w:color="auto" w:fill="E0E0E0"/>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3,0</w:t>
            </w:r>
          </w:p>
        </w:tc>
        <w:tc>
          <w:tcPr>
            <w:tcW w:w="1795" w:type="dxa"/>
            <w:shd w:val="clear" w:color="auto" w:fill="E0E0E0"/>
            <w:vAlign w:val="center"/>
          </w:tcPr>
          <w:p w:rsidR="00C20988" w:rsidRPr="00374E38" w:rsidRDefault="00C20988" w:rsidP="00384D3D">
            <w:pPr>
              <w:widowControl w:val="0"/>
              <w:ind w:right="432"/>
              <w:jc w:val="right"/>
              <w:rPr>
                <w:color w:val="000000"/>
                <w:sz w:val="22"/>
                <w:szCs w:val="22"/>
              </w:rPr>
            </w:pPr>
            <w:r>
              <w:rPr>
                <w:color w:val="000000"/>
                <w:sz w:val="22"/>
                <w:szCs w:val="22"/>
              </w:rPr>
              <w:t>-0,3</w:t>
            </w:r>
          </w:p>
        </w:tc>
        <w:tc>
          <w:tcPr>
            <w:tcW w:w="1796" w:type="dxa"/>
            <w:shd w:val="clear" w:color="auto" w:fill="E0E0E0"/>
            <w:vAlign w:val="center"/>
          </w:tcPr>
          <w:p w:rsidR="00C20988" w:rsidRPr="00374E38" w:rsidRDefault="00C20988" w:rsidP="00384D3D">
            <w:pPr>
              <w:widowControl w:val="0"/>
              <w:ind w:right="435"/>
              <w:jc w:val="right"/>
              <w:rPr>
                <w:color w:val="000000"/>
                <w:sz w:val="22"/>
                <w:szCs w:val="22"/>
              </w:rPr>
            </w:pPr>
            <w:r>
              <w:rPr>
                <w:color w:val="000000"/>
                <w:sz w:val="22"/>
                <w:szCs w:val="22"/>
              </w:rPr>
              <w:t>-19,0</w:t>
            </w:r>
          </w:p>
        </w:tc>
      </w:tr>
      <w:tr w:rsidR="00C20988" w:rsidRPr="00374E38" w:rsidTr="00384D3D">
        <w:tc>
          <w:tcPr>
            <w:tcW w:w="4239" w:type="dxa"/>
            <w:tcBorders>
              <w:top w:val="nil"/>
              <w:bottom w:val="nil"/>
            </w:tcBorders>
            <w:vAlign w:val="center"/>
          </w:tcPr>
          <w:p w:rsidR="00C20988" w:rsidRPr="00374E38" w:rsidRDefault="00C20988" w:rsidP="00384D3D">
            <w:pPr>
              <w:pStyle w:val="artx"/>
              <w:widowControl w:val="0"/>
              <w:ind w:left="318" w:firstLine="102"/>
              <w:rPr>
                <w:rFonts w:ascii="Times New Roman" w:hAnsi="Times New Roman" w:cs="Times New Roman"/>
                <w:sz w:val="22"/>
                <w:szCs w:val="22"/>
              </w:rPr>
            </w:pPr>
            <w:r w:rsidRPr="00374E38">
              <w:rPr>
                <w:rFonts w:ascii="Times New Roman" w:hAnsi="Times New Roman" w:cs="Times New Roman"/>
                <w:sz w:val="22"/>
                <w:szCs w:val="22"/>
              </w:rPr>
              <w:t>-экспорт</w:t>
            </w:r>
          </w:p>
        </w:tc>
        <w:tc>
          <w:tcPr>
            <w:tcW w:w="1795" w:type="dxa"/>
            <w:tcBorders>
              <w:top w:val="nil"/>
              <w:bottom w:val="nil"/>
            </w:tcBorders>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64,4</w:t>
            </w:r>
          </w:p>
        </w:tc>
        <w:tc>
          <w:tcPr>
            <w:tcW w:w="1795" w:type="dxa"/>
            <w:tcBorders>
              <w:top w:val="nil"/>
              <w:bottom w:val="nil"/>
            </w:tcBorders>
            <w:vAlign w:val="center"/>
          </w:tcPr>
          <w:p w:rsidR="00C20988" w:rsidRPr="00374E38" w:rsidRDefault="00C20988" w:rsidP="00384D3D">
            <w:pPr>
              <w:widowControl w:val="0"/>
              <w:ind w:right="432"/>
              <w:jc w:val="right"/>
              <w:rPr>
                <w:color w:val="000000"/>
                <w:sz w:val="22"/>
                <w:szCs w:val="22"/>
              </w:rPr>
            </w:pPr>
            <w:r>
              <w:rPr>
                <w:color w:val="000000"/>
                <w:sz w:val="22"/>
                <w:szCs w:val="22"/>
              </w:rPr>
              <w:t>63,9</w:t>
            </w:r>
          </w:p>
        </w:tc>
        <w:tc>
          <w:tcPr>
            <w:tcW w:w="1796" w:type="dxa"/>
            <w:tcBorders>
              <w:top w:val="nil"/>
              <w:bottom w:val="nil"/>
            </w:tcBorders>
            <w:vAlign w:val="center"/>
          </w:tcPr>
          <w:p w:rsidR="00C20988" w:rsidRPr="00374E38" w:rsidRDefault="00C20988" w:rsidP="00384D3D">
            <w:pPr>
              <w:widowControl w:val="0"/>
              <w:ind w:right="435"/>
              <w:jc w:val="right"/>
              <w:rPr>
                <w:color w:val="000000"/>
                <w:sz w:val="22"/>
                <w:szCs w:val="22"/>
              </w:rPr>
            </w:pPr>
            <w:r>
              <w:rPr>
                <w:color w:val="000000"/>
                <w:sz w:val="22"/>
                <w:szCs w:val="22"/>
              </w:rPr>
              <w:t>72,6</w:t>
            </w:r>
          </w:p>
        </w:tc>
      </w:tr>
      <w:tr w:rsidR="00C20988" w:rsidRPr="00374E38" w:rsidTr="00384D3D">
        <w:tc>
          <w:tcPr>
            <w:tcW w:w="4239" w:type="dxa"/>
            <w:tcBorders>
              <w:top w:val="nil"/>
            </w:tcBorders>
            <w:vAlign w:val="center"/>
          </w:tcPr>
          <w:p w:rsidR="00C20988" w:rsidRPr="00374E38" w:rsidRDefault="00C20988" w:rsidP="00384D3D">
            <w:pPr>
              <w:pStyle w:val="artx"/>
              <w:widowControl w:val="0"/>
              <w:ind w:left="318" w:firstLine="102"/>
              <w:rPr>
                <w:rFonts w:ascii="Times New Roman" w:hAnsi="Times New Roman" w:cs="Times New Roman"/>
                <w:sz w:val="22"/>
                <w:szCs w:val="22"/>
              </w:rPr>
            </w:pPr>
            <w:r w:rsidRPr="00374E38">
              <w:rPr>
                <w:rFonts w:ascii="Times New Roman" w:hAnsi="Times New Roman" w:cs="Times New Roman"/>
                <w:sz w:val="22"/>
                <w:szCs w:val="22"/>
              </w:rPr>
              <w:t>-импорт</w:t>
            </w:r>
          </w:p>
        </w:tc>
        <w:tc>
          <w:tcPr>
            <w:tcW w:w="1795" w:type="dxa"/>
            <w:tcBorders>
              <w:top w:val="nil"/>
            </w:tcBorders>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61,4</w:t>
            </w:r>
          </w:p>
        </w:tc>
        <w:tc>
          <w:tcPr>
            <w:tcW w:w="1795" w:type="dxa"/>
            <w:tcBorders>
              <w:top w:val="nil"/>
            </w:tcBorders>
            <w:vAlign w:val="center"/>
          </w:tcPr>
          <w:p w:rsidR="00C20988" w:rsidRPr="00374E38" w:rsidRDefault="00C20988" w:rsidP="00384D3D">
            <w:pPr>
              <w:widowControl w:val="0"/>
              <w:ind w:right="432"/>
              <w:jc w:val="right"/>
              <w:rPr>
                <w:color w:val="000000"/>
                <w:sz w:val="22"/>
                <w:szCs w:val="22"/>
              </w:rPr>
            </w:pPr>
            <w:r>
              <w:rPr>
                <w:color w:val="000000"/>
                <w:sz w:val="22"/>
                <w:szCs w:val="22"/>
              </w:rPr>
              <w:t>64,2</w:t>
            </w:r>
          </w:p>
        </w:tc>
        <w:tc>
          <w:tcPr>
            <w:tcW w:w="1796" w:type="dxa"/>
            <w:tcBorders>
              <w:top w:val="nil"/>
            </w:tcBorders>
            <w:vAlign w:val="center"/>
          </w:tcPr>
          <w:p w:rsidR="00C20988" w:rsidRPr="00374E38" w:rsidRDefault="00C20988" w:rsidP="00384D3D">
            <w:pPr>
              <w:widowControl w:val="0"/>
              <w:ind w:right="435"/>
              <w:jc w:val="right"/>
              <w:rPr>
                <w:color w:val="000000"/>
                <w:sz w:val="22"/>
                <w:szCs w:val="22"/>
              </w:rPr>
            </w:pPr>
            <w:r>
              <w:rPr>
                <w:color w:val="000000"/>
                <w:sz w:val="22"/>
                <w:szCs w:val="22"/>
              </w:rPr>
              <w:t>91,6</w:t>
            </w:r>
          </w:p>
        </w:tc>
      </w:tr>
      <w:tr w:rsidR="00C20988" w:rsidRPr="00374E38" w:rsidTr="00384D3D">
        <w:trPr>
          <w:trHeight w:val="322"/>
        </w:trPr>
        <w:tc>
          <w:tcPr>
            <w:tcW w:w="4239" w:type="dxa"/>
            <w:shd w:val="clear" w:color="auto" w:fill="E0E0E0"/>
            <w:vAlign w:val="center"/>
          </w:tcPr>
          <w:p w:rsidR="00C20988" w:rsidRPr="00374E38" w:rsidRDefault="00C20988" w:rsidP="00384D3D">
            <w:pPr>
              <w:pStyle w:val="artx"/>
              <w:widowControl w:val="0"/>
              <w:ind w:firstLine="102"/>
              <w:rPr>
                <w:rFonts w:ascii="Times New Roman" w:hAnsi="Times New Roman" w:cs="Times New Roman"/>
                <w:sz w:val="22"/>
                <w:szCs w:val="22"/>
              </w:rPr>
            </w:pPr>
            <w:r w:rsidRPr="00374E38">
              <w:rPr>
                <w:rFonts w:ascii="Times New Roman" w:hAnsi="Times New Roman" w:cs="Times New Roman"/>
                <w:sz w:val="22"/>
                <w:szCs w:val="22"/>
              </w:rPr>
              <w:t>C. Первичные доходы</w:t>
            </w:r>
          </w:p>
        </w:tc>
        <w:tc>
          <w:tcPr>
            <w:tcW w:w="1795" w:type="dxa"/>
            <w:shd w:val="clear" w:color="auto" w:fill="E0E0E0"/>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-15,3</w:t>
            </w:r>
          </w:p>
        </w:tc>
        <w:tc>
          <w:tcPr>
            <w:tcW w:w="1795" w:type="dxa"/>
            <w:shd w:val="clear" w:color="auto" w:fill="E0E0E0"/>
            <w:vAlign w:val="center"/>
          </w:tcPr>
          <w:p w:rsidR="00C20988" w:rsidRPr="00374E38" w:rsidRDefault="00C20988" w:rsidP="00384D3D">
            <w:pPr>
              <w:widowControl w:val="0"/>
              <w:ind w:right="432"/>
              <w:jc w:val="right"/>
              <w:rPr>
                <w:color w:val="000000"/>
                <w:sz w:val="22"/>
                <w:szCs w:val="22"/>
              </w:rPr>
            </w:pPr>
            <w:r>
              <w:rPr>
                <w:color w:val="000000"/>
                <w:sz w:val="22"/>
                <w:szCs w:val="22"/>
              </w:rPr>
              <w:t>-27,3</w:t>
            </w:r>
          </w:p>
        </w:tc>
        <w:tc>
          <w:tcPr>
            <w:tcW w:w="1796" w:type="dxa"/>
            <w:shd w:val="clear" w:color="auto" w:fill="E0E0E0"/>
            <w:vAlign w:val="center"/>
          </w:tcPr>
          <w:p w:rsidR="00C20988" w:rsidRPr="00374E38" w:rsidRDefault="00C20988" w:rsidP="00384D3D">
            <w:pPr>
              <w:widowControl w:val="0"/>
              <w:ind w:right="435"/>
              <w:jc w:val="right"/>
              <w:rPr>
                <w:color w:val="000000"/>
                <w:sz w:val="22"/>
                <w:szCs w:val="22"/>
              </w:rPr>
            </w:pPr>
            <w:r>
              <w:rPr>
                <w:color w:val="000000"/>
                <w:sz w:val="22"/>
                <w:szCs w:val="22"/>
              </w:rPr>
              <w:t>-32,2</w:t>
            </w:r>
          </w:p>
        </w:tc>
      </w:tr>
      <w:tr w:rsidR="00C20988" w:rsidRPr="00374E38" w:rsidTr="00384D3D">
        <w:tc>
          <w:tcPr>
            <w:tcW w:w="4239" w:type="dxa"/>
            <w:tcBorders>
              <w:top w:val="nil"/>
              <w:bottom w:val="nil"/>
            </w:tcBorders>
            <w:vAlign w:val="center"/>
          </w:tcPr>
          <w:p w:rsidR="00C20988" w:rsidRPr="00374E38" w:rsidRDefault="00C20988" w:rsidP="00384D3D">
            <w:pPr>
              <w:pStyle w:val="artx"/>
              <w:widowControl w:val="0"/>
              <w:ind w:left="318" w:firstLine="102"/>
              <w:rPr>
                <w:rFonts w:ascii="Times New Roman" w:hAnsi="Times New Roman" w:cs="Times New Roman"/>
                <w:sz w:val="22"/>
                <w:szCs w:val="22"/>
              </w:rPr>
            </w:pPr>
            <w:r w:rsidRPr="00374E38">
              <w:rPr>
                <w:rFonts w:ascii="Times New Roman" w:hAnsi="Times New Roman" w:cs="Times New Roman"/>
                <w:sz w:val="22"/>
                <w:szCs w:val="22"/>
              </w:rPr>
              <w:t>-получено</w:t>
            </w:r>
          </w:p>
        </w:tc>
        <w:tc>
          <w:tcPr>
            <w:tcW w:w="1795" w:type="dxa"/>
            <w:tcBorders>
              <w:top w:val="nil"/>
              <w:bottom w:val="nil"/>
            </w:tcBorders>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11,1</w:t>
            </w:r>
          </w:p>
        </w:tc>
        <w:tc>
          <w:tcPr>
            <w:tcW w:w="1795" w:type="dxa"/>
            <w:tcBorders>
              <w:top w:val="nil"/>
              <w:bottom w:val="nil"/>
            </w:tcBorders>
            <w:vAlign w:val="center"/>
          </w:tcPr>
          <w:p w:rsidR="00C20988" w:rsidRPr="00374E38" w:rsidRDefault="00C20988" w:rsidP="00384D3D">
            <w:pPr>
              <w:widowControl w:val="0"/>
              <w:ind w:right="432"/>
              <w:jc w:val="right"/>
              <w:rPr>
                <w:color w:val="000000"/>
                <w:sz w:val="22"/>
                <w:szCs w:val="22"/>
              </w:rPr>
            </w:pPr>
            <w:r>
              <w:rPr>
                <w:color w:val="000000"/>
                <w:sz w:val="22"/>
                <w:szCs w:val="22"/>
              </w:rPr>
              <w:t>10,6</w:t>
            </w:r>
          </w:p>
        </w:tc>
        <w:tc>
          <w:tcPr>
            <w:tcW w:w="1796" w:type="dxa"/>
            <w:tcBorders>
              <w:top w:val="nil"/>
              <w:bottom w:val="nil"/>
            </w:tcBorders>
            <w:vAlign w:val="center"/>
          </w:tcPr>
          <w:p w:rsidR="00C20988" w:rsidRPr="00374E38" w:rsidRDefault="00C20988" w:rsidP="00384D3D">
            <w:pPr>
              <w:widowControl w:val="0"/>
              <w:ind w:right="435"/>
              <w:jc w:val="right"/>
              <w:rPr>
                <w:color w:val="000000"/>
                <w:sz w:val="22"/>
                <w:szCs w:val="22"/>
              </w:rPr>
            </w:pPr>
            <w:r>
              <w:rPr>
                <w:color w:val="000000"/>
                <w:sz w:val="22"/>
                <w:szCs w:val="22"/>
              </w:rPr>
              <w:t>10,3</w:t>
            </w:r>
          </w:p>
        </w:tc>
      </w:tr>
      <w:tr w:rsidR="00C20988" w:rsidRPr="00374E38" w:rsidTr="00384D3D">
        <w:tc>
          <w:tcPr>
            <w:tcW w:w="4239" w:type="dxa"/>
            <w:tcBorders>
              <w:top w:val="nil"/>
            </w:tcBorders>
            <w:vAlign w:val="center"/>
          </w:tcPr>
          <w:p w:rsidR="00C20988" w:rsidRPr="00374E38" w:rsidRDefault="00C20988" w:rsidP="00384D3D">
            <w:pPr>
              <w:pStyle w:val="artx"/>
              <w:widowControl w:val="0"/>
              <w:ind w:left="318" w:firstLine="102"/>
              <w:rPr>
                <w:rFonts w:ascii="Times New Roman" w:hAnsi="Times New Roman" w:cs="Times New Roman"/>
                <w:sz w:val="22"/>
                <w:szCs w:val="22"/>
              </w:rPr>
            </w:pPr>
            <w:r w:rsidRPr="00374E38">
              <w:rPr>
                <w:rFonts w:ascii="Times New Roman" w:hAnsi="Times New Roman" w:cs="Times New Roman"/>
                <w:sz w:val="22"/>
                <w:szCs w:val="22"/>
              </w:rPr>
              <w:t>-выплачено</w:t>
            </w:r>
          </w:p>
        </w:tc>
        <w:tc>
          <w:tcPr>
            <w:tcW w:w="1795" w:type="dxa"/>
            <w:tcBorders>
              <w:top w:val="nil"/>
            </w:tcBorders>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26,4</w:t>
            </w:r>
          </w:p>
        </w:tc>
        <w:tc>
          <w:tcPr>
            <w:tcW w:w="1795" w:type="dxa"/>
            <w:tcBorders>
              <w:top w:val="nil"/>
            </w:tcBorders>
            <w:vAlign w:val="center"/>
          </w:tcPr>
          <w:p w:rsidR="00C20988" w:rsidRPr="00374E38" w:rsidRDefault="00C20988" w:rsidP="00384D3D">
            <w:pPr>
              <w:widowControl w:val="0"/>
              <w:ind w:right="432"/>
              <w:jc w:val="right"/>
              <w:rPr>
                <w:color w:val="000000"/>
                <w:sz w:val="22"/>
                <w:szCs w:val="22"/>
              </w:rPr>
            </w:pPr>
            <w:r>
              <w:rPr>
                <w:color w:val="000000"/>
                <w:sz w:val="22"/>
                <w:szCs w:val="22"/>
              </w:rPr>
              <w:t>37,9</w:t>
            </w:r>
          </w:p>
        </w:tc>
        <w:tc>
          <w:tcPr>
            <w:tcW w:w="1796" w:type="dxa"/>
            <w:tcBorders>
              <w:top w:val="nil"/>
            </w:tcBorders>
            <w:vAlign w:val="center"/>
          </w:tcPr>
          <w:p w:rsidR="00C20988" w:rsidRPr="00374E38" w:rsidRDefault="00C20988" w:rsidP="00384D3D">
            <w:pPr>
              <w:widowControl w:val="0"/>
              <w:ind w:right="435"/>
              <w:jc w:val="right"/>
              <w:rPr>
                <w:color w:val="000000"/>
                <w:sz w:val="22"/>
                <w:szCs w:val="22"/>
              </w:rPr>
            </w:pPr>
            <w:r>
              <w:rPr>
                <w:color w:val="000000"/>
                <w:sz w:val="22"/>
                <w:szCs w:val="22"/>
              </w:rPr>
              <w:t>42,5</w:t>
            </w:r>
          </w:p>
        </w:tc>
      </w:tr>
      <w:tr w:rsidR="00C20988" w:rsidRPr="00374E38" w:rsidTr="00384D3D">
        <w:trPr>
          <w:trHeight w:val="350"/>
        </w:trPr>
        <w:tc>
          <w:tcPr>
            <w:tcW w:w="4239" w:type="dxa"/>
            <w:shd w:val="clear" w:color="auto" w:fill="E0E0E0"/>
            <w:vAlign w:val="center"/>
          </w:tcPr>
          <w:p w:rsidR="00C20988" w:rsidRPr="00374E38" w:rsidRDefault="00C20988" w:rsidP="00384D3D">
            <w:pPr>
              <w:pStyle w:val="artx"/>
              <w:widowControl w:val="0"/>
              <w:ind w:firstLine="102"/>
              <w:rPr>
                <w:rFonts w:ascii="Times New Roman" w:hAnsi="Times New Roman" w:cs="Times New Roman"/>
                <w:sz w:val="22"/>
                <w:szCs w:val="22"/>
              </w:rPr>
            </w:pPr>
            <w:r w:rsidRPr="00374E38">
              <w:rPr>
                <w:rFonts w:ascii="Times New Roman" w:hAnsi="Times New Roman" w:cs="Times New Roman"/>
                <w:sz w:val="22"/>
                <w:szCs w:val="22"/>
              </w:rPr>
              <w:t>D. Вторичные доходы</w:t>
            </w:r>
          </w:p>
        </w:tc>
        <w:tc>
          <w:tcPr>
            <w:tcW w:w="1795" w:type="dxa"/>
            <w:shd w:val="clear" w:color="auto" w:fill="E0E0E0"/>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76,5</w:t>
            </w:r>
          </w:p>
        </w:tc>
        <w:tc>
          <w:tcPr>
            <w:tcW w:w="1795" w:type="dxa"/>
            <w:shd w:val="clear" w:color="auto" w:fill="E0E0E0"/>
            <w:vAlign w:val="center"/>
          </w:tcPr>
          <w:p w:rsidR="00C20988" w:rsidRPr="00374E38" w:rsidRDefault="00C20988" w:rsidP="00384D3D">
            <w:pPr>
              <w:widowControl w:val="0"/>
              <w:ind w:right="432"/>
              <w:jc w:val="right"/>
              <w:rPr>
                <w:color w:val="000000"/>
                <w:sz w:val="22"/>
                <w:szCs w:val="22"/>
              </w:rPr>
            </w:pPr>
            <w:r>
              <w:rPr>
                <w:color w:val="000000"/>
                <w:sz w:val="22"/>
                <w:szCs w:val="22"/>
              </w:rPr>
              <w:t>134,0</w:t>
            </w:r>
          </w:p>
        </w:tc>
        <w:tc>
          <w:tcPr>
            <w:tcW w:w="1796" w:type="dxa"/>
            <w:shd w:val="clear" w:color="auto" w:fill="E0E0E0"/>
            <w:vAlign w:val="center"/>
          </w:tcPr>
          <w:p w:rsidR="00C20988" w:rsidRPr="00374E38" w:rsidRDefault="00C20988" w:rsidP="00384D3D">
            <w:pPr>
              <w:widowControl w:val="0"/>
              <w:ind w:right="435"/>
              <w:jc w:val="right"/>
              <w:rPr>
                <w:color w:val="000000"/>
                <w:sz w:val="22"/>
                <w:szCs w:val="22"/>
              </w:rPr>
            </w:pPr>
            <w:r>
              <w:rPr>
                <w:color w:val="000000"/>
                <w:sz w:val="22"/>
                <w:szCs w:val="22"/>
              </w:rPr>
              <w:t>173,2</w:t>
            </w:r>
          </w:p>
        </w:tc>
      </w:tr>
      <w:tr w:rsidR="00C20988" w:rsidRPr="00374E38" w:rsidTr="00384D3D">
        <w:tc>
          <w:tcPr>
            <w:tcW w:w="4239" w:type="dxa"/>
            <w:tcBorders>
              <w:top w:val="nil"/>
              <w:bottom w:val="nil"/>
            </w:tcBorders>
            <w:vAlign w:val="center"/>
          </w:tcPr>
          <w:p w:rsidR="00C20988" w:rsidRPr="00374E38" w:rsidRDefault="00C20988" w:rsidP="00384D3D">
            <w:pPr>
              <w:pStyle w:val="artx"/>
              <w:widowControl w:val="0"/>
              <w:ind w:left="318" w:firstLine="102"/>
              <w:rPr>
                <w:rFonts w:ascii="Times New Roman" w:hAnsi="Times New Roman" w:cs="Times New Roman"/>
                <w:sz w:val="22"/>
                <w:szCs w:val="22"/>
              </w:rPr>
            </w:pPr>
            <w:r w:rsidRPr="00374E38">
              <w:rPr>
                <w:rFonts w:ascii="Times New Roman" w:hAnsi="Times New Roman" w:cs="Times New Roman"/>
                <w:sz w:val="22"/>
                <w:szCs w:val="22"/>
              </w:rPr>
              <w:t>-получено</w:t>
            </w:r>
          </w:p>
        </w:tc>
        <w:tc>
          <w:tcPr>
            <w:tcW w:w="1795" w:type="dxa"/>
            <w:tcBorders>
              <w:top w:val="nil"/>
              <w:bottom w:val="nil"/>
            </w:tcBorders>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123,8</w:t>
            </w:r>
          </w:p>
        </w:tc>
        <w:tc>
          <w:tcPr>
            <w:tcW w:w="1795" w:type="dxa"/>
            <w:tcBorders>
              <w:top w:val="nil"/>
              <w:bottom w:val="nil"/>
            </w:tcBorders>
            <w:vAlign w:val="center"/>
          </w:tcPr>
          <w:p w:rsidR="00C20988" w:rsidRPr="00374E38" w:rsidRDefault="00C20988" w:rsidP="00384D3D">
            <w:pPr>
              <w:widowControl w:val="0"/>
              <w:ind w:right="432"/>
              <w:jc w:val="right"/>
              <w:rPr>
                <w:color w:val="000000"/>
                <w:sz w:val="22"/>
                <w:szCs w:val="22"/>
              </w:rPr>
            </w:pPr>
            <w:r>
              <w:rPr>
                <w:color w:val="000000"/>
                <w:sz w:val="22"/>
                <w:szCs w:val="22"/>
              </w:rPr>
              <w:t>178,2</w:t>
            </w:r>
          </w:p>
        </w:tc>
        <w:tc>
          <w:tcPr>
            <w:tcW w:w="1796" w:type="dxa"/>
            <w:tcBorders>
              <w:top w:val="nil"/>
              <w:bottom w:val="nil"/>
            </w:tcBorders>
            <w:vAlign w:val="center"/>
          </w:tcPr>
          <w:p w:rsidR="00C20988" w:rsidRPr="00374E38" w:rsidRDefault="00C20988" w:rsidP="00384D3D">
            <w:pPr>
              <w:widowControl w:val="0"/>
              <w:ind w:right="435"/>
              <w:jc w:val="right"/>
              <w:rPr>
                <w:color w:val="000000"/>
                <w:sz w:val="22"/>
                <w:szCs w:val="22"/>
              </w:rPr>
            </w:pPr>
            <w:r>
              <w:rPr>
                <w:color w:val="000000"/>
                <w:sz w:val="22"/>
                <w:szCs w:val="22"/>
              </w:rPr>
              <w:t>213,9</w:t>
            </w:r>
          </w:p>
        </w:tc>
      </w:tr>
      <w:tr w:rsidR="00C20988" w:rsidRPr="00374E38" w:rsidTr="00384D3D">
        <w:tc>
          <w:tcPr>
            <w:tcW w:w="4239" w:type="dxa"/>
            <w:tcBorders>
              <w:top w:val="nil"/>
            </w:tcBorders>
            <w:vAlign w:val="center"/>
          </w:tcPr>
          <w:p w:rsidR="00C20988" w:rsidRPr="00374E38" w:rsidRDefault="00C20988" w:rsidP="00384D3D">
            <w:pPr>
              <w:pStyle w:val="artx"/>
              <w:widowControl w:val="0"/>
              <w:ind w:left="318" w:firstLine="102"/>
              <w:rPr>
                <w:rFonts w:ascii="Times New Roman" w:hAnsi="Times New Roman" w:cs="Times New Roman"/>
                <w:sz w:val="22"/>
                <w:szCs w:val="22"/>
              </w:rPr>
            </w:pPr>
            <w:r w:rsidRPr="00374E38">
              <w:rPr>
                <w:rFonts w:ascii="Times New Roman" w:hAnsi="Times New Roman" w:cs="Times New Roman"/>
                <w:sz w:val="22"/>
                <w:szCs w:val="22"/>
              </w:rPr>
              <w:t>-выплачено</w:t>
            </w:r>
          </w:p>
        </w:tc>
        <w:tc>
          <w:tcPr>
            <w:tcW w:w="1795" w:type="dxa"/>
            <w:tcBorders>
              <w:top w:val="nil"/>
            </w:tcBorders>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47,3</w:t>
            </w:r>
          </w:p>
        </w:tc>
        <w:tc>
          <w:tcPr>
            <w:tcW w:w="1795" w:type="dxa"/>
            <w:tcBorders>
              <w:top w:val="nil"/>
            </w:tcBorders>
            <w:vAlign w:val="center"/>
          </w:tcPr>
          <w:p w:rsidR="00C20988" w:rsidRPr="00374E38" w:rsidRDefault="00C20988" w:rsidP="00384D3D">
            <w:pPr>
              <w:widowControl w:val="0"/>
              <w:ind w:right="432"/>
              <w:jc w:val="right"/>
              <w:rPr>
                <w:color w:val="000000"/>
                <w:sz w:val="22"/>
                <w:szCs w:val="22"/>
              </w:rPr>
            </w:pPr>
            <w:r>
              <w:rPr>
                <w:color w:val="000000"/>
                <w:sz w:val="22"/>
                <w:szCs w:val="22"/>
              </w:rPr>
              <w:t>44,2</w:t>
            </w:r>
          </w:p>
        </w:tc>
        <w:tc>
          <w:tcPr>
            <w:tcW w:w="1796" w:type="dxa"/>
            <w:tcBorders>
              <w:top w:val="nil"/>
            </w:tcBorders>
            <w:vAlign w:val="center"/>
          </w:tcPr>
          <w:p w:rsidR="00C20988" w:rsidRPr="00374E38" w:rsidRDefault="00C20988" w:rsidP="00384D3D">
            <w:pPr>
              <w:widowControl w:val="0"/>
              <w:ind w:right="435"/>
              <w:jc w:val="right"/>
              <w:rPr>
                <w:color w:val="000000"/>
                <w:sz w:val="22"/>
                <w:szCs w:val="22"/>
              </w:rPr>
            </w:pPr>
            <w:r>
              <w:rPr>
                <w:color w:val="000000"/>
                <w:sz w:val="22"/>
                <w:szCs w:val="22"/>
              </w:rPr>
              <w:t>40,7</w:t>
            </w:r>
          </w:p>
        </w:tc>
      </w:tr>
      <w:tr w:rsidR="00C20988" w:rsidRPr="00374E38" w:rsidTr="00384D3D">
        <w:trPr>
          <w:trHeight w:val="410"/>
        </w:trPr>
        <w:tc>
          <w:tcPr>
            <w:tcW w:w="4239" w:type="dxa"/>
            <w:shd w:val="clear" w:color="auto" w:fill="E0E0E0"/>
            <w:vAlign w:val="center"/>
          </w:tcPr>
          <w:p w:rsidR="00C20988" w:rsidRPr="00374E38" w:rsidRDefault="00C20988" w:rsidP="00384D3D">
            <w:pPr>
              <w:pStyle w:val="CharChar"/>
              <w:widowControl w:val="0"/>
              <w:rPr>
                <w:rFonts w:ascii="Times New Roman" w:hAnsi="Times New Roman" w:cs="Times New Roman"/>
                <w:color w:val="000000"/>
                <w:sz w:val="22"/>
                <w:szCs w:val="22"/>
              </w:rPr>
            </w:pPr>
            <w:r w:rsidRPr="00374E38">
              <w:rPr>
                <w:rFonts w:ascii="Times New Roman" w:hAnsi="Times New Roman" w:cs="Times New Roman"/>
                <w:color w:val="000000"/>
                <w:sz w:val="22"/>
                <w:szCs w:val="22"/>
              </w:rPr>
              <w:t xml:space="preserve">2. СЧЁТ ОПЕРАЦИЙ С КАПИТАЛОМ </w:t>
            </w:r>
          </w:p>
        </w:tc>
        <w:tc>
          <w:tcPr>
            <w:tcW w:w="1795" w:type="dxa"/>
            <w:shd w:val="clear" w:color="auto" w:fill="E0E0E0"/>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0,0</w:t>
            </w:r>
          </w:p>
        </w:tc>
        <w:tc>
          <w:tcPr>
            <w:tcW w:w="1795" w:type="dxa"/>
            <w:shd w:val="clear" w:color="auto" w:fill="E0E0E0"/>
            <w:vAlign w:val="center"/>
          </w:tcPr>
          <w:p w:rsidR="00C20988" w:rsidRPr="00374E38" w:rsidRDefault="00C20988" w:rsidP="00384D3D">
            <w:pPr>
              <w:widowControl w:val="0"/>
              <w:ind w:right="432"/>
              <w:jc w:val="right"/>
              <w:rPr>
                <w:color w:val="000000"/>
                <w:sz w:val="22"/>
                <w:szCs w:val="22"/>
              </w:rPr>
            </w:pPr>
            <w:r>
              <w:rPr>
                <w:color w:val="000000"/>
                <w:sz w:val="22"/>
                <w:szCs w:val="22"/>
              </w:rPr>
              <w:t>0,0</w:t>
            </w:r>
          </w:p>
        </w:tc>
        <w:tc>
          <w:tcPr>
            <w:tcW w:w="1796" w:type="dxa"/>
            <w:shd w:val="clear" w:color="auto" w:fill="E0E0E0"/>
            <w:vAlign w:val="center"/>
          </w:tcPr>
          <w:p w:rsidR="00C20988" w:rsidRPr="00374E38" w:rsidRDefault="00C20988" w:rsidP="00384D3D">
            <w:pPr>
              <w:widowControl w:val="0"/>
              <w:ind w:right="435"/>
              <w:jc w:val="right"/>
              <w:rPr>
                <w:color w:val="000000"/>
                <w:sz w:val="22"/>
                <w:szCs w:val="22"/>
              </w:rPr>
            </w:pPr>
            <w:r>
              <w:rPr>
                <w:color w:val="000000"/>
                <w:sz w:val="22"/>
                <w:szCs w:val="22"/>
              </w:rPr>
              <w:t>0,0</w:t>
            </w:r>
          </w:p>
        </w:tc>
      </w:tr>
      <w:tr w:rsidR="00C20988" w:rsidRPr="00374E38" w:rsidTr="00384D3D">
        <w:trPr>
          <w:trHeight w:val="240"/>
        </w:trPr>
        <w:tc>
          <w:tcPr>
            <w:tcW w:w="4239" w:type="dxa"/>
            <w:shd w:val="clear" w:color="auto" w:fill="E0E0E0"/>
            <w:vAlign w:val="center"/>
          </w:tcPr>
          <w:p w:rsidR="00C20988" w:rsidRPr="00374E38" w:rsidRDefault="00C20988" w:rsidP="00384D3D">
            <w:pPr>
              <w:pStyle w:val="CharChar"/>
              <w:widowControl w:val="0"/>
              <w:rPr>
                <w:rFonts w:ascii="Times New Roman" w:hAnsi="Times New Roman" w:cs="Times New Roman"/>
                <w:color w:val="000000"/>
                <w:sz w:val="22"/>
                <w:szCs w:val="22"/>
              </w:rPr>
            </w:pPr>
            <w:r w:rsidRPr="00374E38">
              <w:rPr>
                <w:rFonts w:ascii="Times New Roman" w:hAnsi="Times New Roman" w:cs="Times New Roman"/>
                <w:color w:val="000000"/>
                <w:sz w:val="22"/>
                <w:szCs w:val="22"/>
              </w:rPr>
              <w:t>3. ФИНАНСОВЫЙ СЧЁТ</w:t>
            </w:r>
          </w:p>
        </w:tc>
        <w:tc>
          <w:tcPr>
            <w:tcW w:w="1795" w:type="dxa"/>
            <w:shd w:val="clear" w:color="auto" w:fill="E0E0E0"/>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-319,0</w:t>
            </w:r>
          </w:p>
        </w:tc>
        <w:tc>
          <w:tcPr>
            <w:tcW w:w="1795" w:type="dxa"/>
            <w:shd w:val="clear" w:color="auto" w:fill="E0E0E0"/>
            <w:vAlign w:val="center"/>
          </w:tcPr>
          <w:p w:rsidR="00C20988" w:rsidRPr="00374E38" w:rsidRDefault="00C20988" w:rsidP="00384D3D">
            <w:pPr>
              <w:widowControl w:val="0"/>
              <w:ind w:right="432"/>
              <w:jc w:val="right"/>
              <w:rPr>
                <w:color w:val="000000"/>
                <w:sz w:val="22"/>
                <w:szCs w:val="22"/>
              </w:rPr>
            </w:pPr>
            <w:r>
              <w:rPr>
                <w:color w:val="000000"/>
                <w:sz w:val="22"/>
                <w:szCs w:val="22"/>
              </w:rPr>
              <w:t>-276,2</w:t>
            </w:r>
          </w:p>
        </w:tc>
        <w:tc>
          <w:tcPr>
            <w:tcW w:w="1796" w:type="dxa"/>
            <w:shd w:val="clear" w:color="auto" w:fill="E0E0E0"/>
            <w:vAlign w:val="center"/>
          </w:tcPr>
          <w:p w:rsidR="00C20988" w:rsidRPr="00374E38" w:rsidRDefault="00C20988" w:rsidP="00384D3D">
            <w:pPr>
              <w:widowControl w:val="0"/>
              <w:ind w:right="435"/>
              <w:jc w:val="right"/>
              <w:rPr>
                <w:color w:val="000000"/>
                <w:sz w:val="22"/>
                <w:szCs w:val="22"/>
              </w:rPr>
            </w:pPr>
            <w:r>
              <w:rPr>
                <w:color w:val="000000"/>
                <w:sz w:val="22"/>
                <w:szCs w:val="22"/>
              </w:rPr>
              <w:t>-350,4</w:t>
            </w:r>
          </w:p>
        </w:tc>
      </w:tr>
      <w:tr w:rsidR="00C20988" w:rsidRPr="00374E38" w:rsidTr="00384D3D">
        <w:tc>
          <w:tcPr>
            <w:tcW w:w="4239" w:type="dxa"/>
            <w:shd w:val="clear" w:color="auto" w:fill="D9D9D9"/>
            <w:vAlign w:val="center"/>
          </w:tcPr>
          <w:p w:rsidR="00C20988" w:rsidRPr="00374E38" w:rsidRDefault="00C20988" w:rsidP="00384D3D">
            <w:pPr>
              <w:pStyle w:val="CharChar"/>
              <w:widowControl w:val="0"/>
              <w:ind w:firstLine="130"/>
              <w:rPr>
                <w:rFonts w:ascii="Times New Roman" w:hAnsi="Times New Roman" w:cs="Times New Roman"/>
                <w:color w:val="000000"/>
                <w:sz w:val="22"/>
                <w:szCs w:val="22"/>
              </w:rPr>
            </w:pPr>
            <w:r w:rsidRPr="00374E38">
              <w:rPr>
                <w:rFonts w:ascii="Times New Roman" w:hAnsi="Times New Roman" w:cs="Times New Roman"/>
                <w:color w:val="000000"/>
                <w:sz w:val="22"/>
                <w:szCs w:val="22"/>
              </w:rPr>
              <w:t>Прямые инвестиции</w:t>
            </w:r>
          </w:p>
        </w:tc>
        <w:tc>
          <w:tcPr>
            <w:tcW w:w="1795" w:type="dxa"/>
            <w:shd w:val="clear" w:color="auto" w:fill="D9D9D9"/>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9,6</w:t>
            </w:r>
          </w:p>
        </w:tc>
        <w:tc>
          <w:tcPr>
            <w:tcW w:w="1795" w:type="dxa"/>
            <w:shd w:val="clear" w:color="auto" w:fill="D9D9D9"/>
            <w:vAlign w:val="center"/>
          </w:tcPr>
          <w:p w:rsidR="00C20988" w:rsidRPr="00374E38" w:rsidRDefault="00C20988" w:rsidP="00384D3D">
            <w:pPr>
              <w:widowControl w:val="0"/>
              <w:ind w:right="432"/>
              <w:jc w:val="right"/>
              <w:rPr>
                <w:color w:val="000000"/>
                <w:sz w:val="22"/>
                <w:szCs w:val="22"/>
              </w:rPr>
            </w:pPr>
            <w:r>
              <w:rPr>
                <w:color w:val="000000"/>
                <w:sz w:val="22"/>
                <w:szCs w:val="22"/>
              </w:rPr>
              <w:t>14,4</w:t>
            </w:r>
          </w:p>
        </w:tc>
        <w:tc>
          <w:tcPr>
            <w:tcW w:w="1796" w:type="dxa"/>
            <w:shd w:val="clear" w:color="auto" w:fill="D9D9D9"/>
            <w:vAlign w:val="center"/>
          </w:tcPr>
          <w:p w:rsidR="00C20988" w:rsidRPr="00374E38" w:rsidRDefault="00C20988" w:rsidP="00384D3D">
            <w:pPr>
              <w:widowControl w:val="0"/>
              <w:ind w:right="435"/>
              <w:jc w:val="right"/>
              <w:rPr>
                <w:color w:val="000000"/>
                <w:sz w:val="22"/>
                <w:szCs w:val="22"/>
              </w:rPr>
            </w:pPr>
            <w:r>
              <w:rPr>
                <w:color w:val="000000"/>
                <w:sz w:val="22"/>
                <w:szCs w:val="22"/>
              </w:rPr>
              <w:t>1,6</w:t>
            </w:r>
          </w:p>
        </w:tc>
      </w:tr>
      <w:tr w:rsidR="00C20988" w:rsidRPr="00374E38" w:rsidTr="00384D3D">
        <w:tc>
          <w:tcPr>
            <w:tcW w:w="4239" w:type="dxa"/>
            <w:tcBorders>
              <w:top w:val="nil"/>
              <w:bottom w:val="nil"/>
            </w:tcBorders>
            <w:vAlign w:val="center"/>
          </w:tcPr>
          <w:p w:rsidR="00C20988" w:rsidRPr="00374E38" w:rsidRDefault="00C20988" w:rsidP="00384D3D">
            <w:pPr>
              <w:pStyle w:val="Header"/>
              <w:widowControl w:val="0"/>
              <w:ind w:left="382" w:hanging="98"/>
              <w:rPr>
                <w:color w:val="000000"/>
                <w:sz w:val="22"/>
                <w:szCs w:val="22"/>
              </w:rPr>
            </w:pPr>
            <w:r w:rsidRPr="00374E38">
              <w:rPr>
                <w:color w:val="000000"/>
                <w:sz w:val="22"/>
                <w:szCs w:val="22"/>
              </w:rPr>
              <w:t>-чистое приобретение финансовых активов</w:t>
            </w:r>
          </w:p>
        </w:tc>
        <w:tc>
          <w:tcPr>
            <w:tcW w:w="1795" w:type="dxa"/>
            <w:tcBorders>
              <w:top w:val="nil"/>
              <w:bottom w:val="nil"/>
            </w:tcBorders>
            <w:vAlign w:val="bottom"/>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1,0</w:t>
            </w:r>
          </w:p>
        </w:tc>
        <w:tc>
          <w:tcPr>
            <w:tcW w:w="1795" w:type="dxa"/>
            <w:tcBorders>
              <w:top w:val="nil"/>
              <w:bottom w:val="nil"/>
            </w:tcBorders>
            <w:vAlign w:val="bottom"/>
          </w:tcPr>
          <w:p w:rsidR="00C20988" w:rsidRPr="00374E38" w:rsidRDefault="00C20988" w:rsidP="00384D3D">
            <w:pPr>
              <w:widowControl w:val="0"/>
              <w:ind w:right="432"/>
              <w:jc w:val="right"/>
              <w:rPr>
                <w:color w:val="000000"/>
                <w:sz w:val="22"/>
                <w:szCs w:val="22"/>
              </w:rPr>
            </w:pPr>
            <w:r>
              <w:rPr>
                <w:color w:val="000000"/>
                <w:sz w:val="22"/>
                <w:szCs w:val="22"/>
              </w:rPr>
              <w:t>0,6</w:t>
            </w:r>
          </w:p>
        </w:tc>
        <w:tc>
          <w:tcPr>
            <w:tcW w:w="1796" w:type="dxa"/>
            <w:tcBorders>
              <w:top w:val="nil"/>
              <w:bottom w:val="nil"/>
            </w:tcBorders>
            <w:vAlign w:val="bottom"/>
          </w:tcPr>
          <w:p w:rsidR="00C20988" w:rsidRPr="00374E38" w:rsidRDefault="00C20988" w:rsidP="00384D3D">
            <w:pPr>
              <w:widowControl w:val="0"/>
              <w:ind w:right="435"/>
              <w:jc w:val="right"/>
              <w:rPr>
                <w:color w:val="000000"/>
                <w:sz w:val="22"/>
                <w:szCs w:val="22"/>
              </w:rPr>
            </w:pPr>
            <w:r>
              <w:rPr>
                <w:color w:val="000000"/>
                <w:sz w:val="22"/>
                <w:szCs w:val="22"/>
              </w:rPr>
              <w:t>2,5</w:t>
            </w:r>
          </w:p>
        </w:tc>
      </w:tr>
      <w:tr w:rsidR="00C20988" w:rsidRPr="00374E38" w:rsidTr="00384D3D">
        <w:tc>
          <w:tcPr>
            <w:tcW w:w="4239" w:type="dxa"/>
            <w:tcBorders>
              <w:top w:val="nil"/>
            </w:tcBorders>
            <w:vAlign w:val="center"/>
          </w:tcPr>
          <w:p w:rsidR="00C20988" w:rsidRPr="00374E38" w:rsidRDefault="00C20988" w:rsidP="00384D3D">
            <w:pPr>
              <w:pStyle w:val="Header"/>
              <w:widowControl w:val="0"/>
              <w:ind w:left="318" w:hanging="20"/>
              <w:rPr>
                <w:color w:val="000000"/>
                <w:sz w:val="22"/>
                <w:szCs w:val="22"/>
              </w:rPr>
            </w:pPr>
            <w:r w:rsidRPr="00374E38">
              <w:rPr>
                <w:color w:val="000000"/>
                <w:sz w:val="22"/>
                <w:szCs w:val="22"/>
              </w:rPr>
              <w:t>-чистое принятие обязательств</w:t>
            </w:r>
          </w:p>
        </w:tc>
        <w:tc>
          <w:tcPr>
            <w:tcW w:w="1795" w:type="dxa"/>
            <w:tcBorders>
              <w:top w:val="nil"/>
            </w:tcBorders>
            <w:vAlign w:val="bottom"/>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-8,6</w:t>
            </w:r>
          </w:p>
        </w:tc>
        <w:tc>
          <w:tcPr>
            <w:tcW w:w="1795" w:type="dxa"/>
            <w:tcBorders>
              <w:top w:val="nil"/>
            </w:tcBorders>
            <w:vAlign w:val="bottom"/>
          </w:tcPr>
          <w:p w:rsidR="00C20988" w:rsidRPr="00374E38" w:rsidRDefault="00C20988" w:rsidP="00384D3D">
            <w:pPr>
              <w:widowControl w:val="0"/>
              <w:ind w:right="432"/>
              <w:jc w:val="right"/>
              <w:rPr>
                <w:color w:val="000000"/>
                <w:sz w:val="22"/>
                <w:szCs w:val="22"/>
              </w:rPr>
            </w:pPr>
            <w:r>
              <w:rPr>
                <w:color w:val="000000"/>
                <w:sz w:val="22"/>
                <w:szCs w:val="22"/>
              </w:rPr>
              <w:t>-13,8</w:t>
            </w:r>
          </w:p>
        </w:tc>
        <w:tc>
          <w:tcPr>
            <w:tcW w:w="1796" w:type="dxa"/>
            <w:tcBorders>
              <w:top w:val="nil"/>
            </w:tcBorders>
            <w:vAlign w:val="bottom"/>
          </w:tcPr>
          <w:p w:rsidR="00C20988" w:rsidRPr="00374E38" w:rsidRDefault="00C20988" w:rsidP="00384D3D">
            <w:pPr>
              <w:widowControl w:val="0"/>
              <w:ind w:right="435"/>
              <w:jc w:val="right"/>
              <w:rPr>
                <w:color w:val="000000"/>
                <w:sz w:val="22"/>
                <w:szCs w:val="22"/>
              </w:rPr>
            </w:pPr>
            <w:r>
              <w:rPr>
                <w:color w:val="000000"/>
                <w:sz w:val="22"/>
                <w:szCs w:val="22"/>
              </w:rPr>
              <w:t>0,9</w:t>
            </w:r>
          </w:p>
        </w:tc>
      </w:tr>
      <w:tr w:rsidR="00C20988" w:rsidRPr="00374E38" w:rsidTr="00384D3D">
        <w:trPr>
          <w:trHeight w:val="336"/>
        </w:trPr>
        <w:tc>
          <w:tcPr>
            <w:tcW w:w="4239" w:type="dxa"/>
            <w:shd w:val="clear" w:color="auto" w:fill="D9D9D9"/>
            <w:vAlign w:val="center"/>
          </w:tcPr>
          <w:p w:rsidR="00C20988" w:rsidRPr="00374E38" w:rsidRDefault="00C20988" w:rsidP="00384D3D">
            <w:pPr>
              <w:pStyle w:val="Header"/>
              <w:widowControl w:val="0"/>
              <w:ind w:firstLine="130"/>
              <w:rPr>
                <w:color w:val="000000"/>
                <w:sz w:val="22"/>
                <w:szCs w:val="22"/>
              </w:rPr>
            </w:pPr>
            <w:r w:rsidRPr="00374E38">
              <w:rPr>
                <w:color w:val="000000"/>
                <w:sz w:val="22"/>
                <w:szCs w:val="22"/>
              </w:rPr>
              <w:t xml:space="preserve">Портфельные инвестиции </w:t>
            </w:r>
          </w:p>
        </w:tc>
        <w:tc>
          <w:tcPr>
            <w:tcW w:w="1795" w:type="dxa"/>
            <w:shd w:val="clear" w:color="auto" w:fill="D9D9D9"/>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24,4</w:t>
            </w:r>
          </w:p>
        </w:tc>
        <w:tc>
          <w:tcPr>
            <w:tcW w:w="1795" w:type="dxa"/>
            <w:shd w:val="clear" w:color="auto" w:fill="D9D9D9"/>
            <w:vAlign w:val="center"/>
          </w:tcPr>
          <w:p w:rsidR="00C20988" w:rsidRPr="00374E38" w:rsidRDefault="00C20988" w:rsidP="00384D3D">
            <w:pPr>
              <w:widowControl w:val="0"/>
              <w:ind w:right="432"/>
              <w:jc w:val="right"/>
              <w:rPr>
                <w:color w:val="000000"/>
                <w:sz w:val="22"/>
                <w:szCs w:val="22"/>
              </w:rPr>
            </w:pPr>
            <w:r>
              <w:rPr>
                <w:color w:val="000000"/>
                <w:sz w:val="22"/>
                <w:szCs w:val="22"/>
              </w:rPr>
              <w:t>0,0</w:t>
            </w:r>
          </w:p>
        </w:tc>
        <w:tc>
          <w:tcPr>
            <w:tcW w:w="1796" w:type="dxa"/>
            <w:shd w:val="clear" w:color="auto" w:fill="D9D9D9"/>
            <w:vAlign w:val="center"/>
          </w:tcPr>
          <w:p w:rsidR="00C20988" w:rsidRPr="00374E38" w:rsidRDefault="00C20988" w:rsidP="00384D3D">
            <w:pPr>
              <w:widowControl w:val="0"/>
              <w:ind w:right="435"/>
              <w:jc w:val="right"/>
              <w:rPr>
                <w:color w:val="000000"/>
                <w:sz w:val="22"/>
                <w:szCs w:val="22"/>
              </w:rPr>
            </w:pPr>
            <w:r>
              <w:rPr>
                <w:color w:val="000000"/>
                <w:sz w:val="22"/>
                <w:szCs w:val="22"/>
              </w:rPr>
              <w:t>0,0</w:t>
            </w:r>
          </w:p>
        </w:tc>
      </w:tr>
      <w:tr w:rsidR="00C20988" w:rsidRPr="00374E38" w:rsidTr="00384D3D">
        <w:tc>
          <w:tcPr>
            <w:tcW w:w="4239" w:type="dxa"/>
            <w:tcBorders>
              <w:bottom w:val="nil"/>
            </w:tcBorders>
            <w:vAlign w:val="center"/>
          </w:tcPr>
          <w:p w:rsidR="00C20988" w:rsidRPr="00374E38" w:rsidRDefault="00C20988" w:rsidP="00384D3D">
            <w:pPr>
              <w:pStyle w:val="Header"/>
              <w:widowControl w:val="0"/>
              <w:ind w:left="396" w:hanging="84"/>
              <w:rPr>
                <w:color w:val="000000"/>
                <w:sz w:val="22"/>
                <w:szCs w:val="22"/>
              </w:rPr>
            </w:pPr>
            <w:r w:rsidRPr="00374E38">
              <w:rPr>
                <w:color w:val="000000"/>
                <w:sz w:val="22"/>
                <w:szCs w:val="22"/>
              </w:rPr>
              <w:t>-чистое приобретение финансовых активов</w:t>
            </w:r>
          </w:p>
        </w:tc>
        <w:tc>
          <w:tcPr>
            <w:tcW w:w="1795" w:type="dxa"/>
            <w:tcBorders>
              <w:left w:val="nil"/>
              <w:bottom w:val="nil"/>
            </w:tcBorders>
            <w:vAlign w:val="bottom"/>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0,0</w:t>
            </w:r>
          </w:p>
        </w:tc>
        <w:tc>
          <w:tcPr>
            <w:tcW w:w="1795" w:type="dxa"/>
            <w:tcBorders>
              <w:bottom w:val="nil"/>
            </w:tcBorders>
            <w:vAlign w:val="bottom"/>
          </w:tcPr>
          <w:p w:rsidR="00C20988" w:rsidRPr="00374E38" w:rsidRDefault="00C20988" w:rsidP="00384D3D">
            <w:pPr>
              <w:widowControl w:val="0"/>
              <w:ind w:right="432"/>
              <w:jc w:val="right"/>
              <w:rPr>
                <w:color w:val="000000"/>
                <w:sz w:val="22"/>
                <w:szCs w:val="22"/>
              </w:rPr>
            </w:pPr>
            <w:r>
              <w:rPr>
                <w:color w:val="000000"/>
                <w:sz w:val="22"/>
                <w:szCs w:val="22"/>
              </w:rPr>
              <w:t>0,0</w:t>
            </w:r>
          </w:p>
        </w:tc>
        <w:tc>
          <w:tcPr>
            <w:tcW w:w="1796" w:type="dxa"/>
            <w:tcBorders>
              <w:left w:val="nil"/>
              <w:bottom w:val="nil"/>
            </w:tcBorders>
            <w:vAlign w:val="bottom"/>
          </w:tcPr>
          <w:p w:rsidR="00C20988" w:rsidRPr="00374E38" w:rsidRDefault="00C20988" w:rsidP="00384D3D">
            <w:pPr>
              <w:widowControl w:val="0"/>
              <w:ind w:right="435"/>
              <w:jc w:val="right"/>
              <w:rPr>
                <w:color w:val="000000"/>
                <w:sz w:val="22"/>
                <w:szCs w:val="22"/>
              </w:rPr>
            </w:pPr>
            <w:r>
              <w:rPr>
                <w:color w:val="000000"/>
                <w:sz w:val="22"/>
                <w:szCs w:val="22"/>
              </w:rPr>
              <w:t>0,0</w:t>
            </w:r>
          </w:p>
        </w:tc>
      </w:tr>
      <w:tr w:rsidR="00C20988" w:rsidRPr="00374E38" w:rsidTr="00384D3D">
        <w:tc>
          <w:tcPr>
            <w:tcW w:w="4239" w:type="dxa"/>
            <w:tcBorders>
              <w:top w:val="nil"/>
            </w:tcBorders>
            <w:vAlign w:val="center"/>
          </w:tcPr>
          <w:p w:rsidR="00C20988" w:rsidRPr="00374E38" w:rsidRDefault="00C20988" w:rsidP="00384D3D">
            <w:pPr>
              <w:pStyle w:val="Header"/>
              <w:widowControl w:val="0"/>
              <w:ind w:left="396" w:hanging="84"/>
              <w:rPr>
                <w:color w:val="000000"/>
                <w:sz w:val="22"/>
                <w:szCs w:val="22"/>
              </w:rPr>
            </w:pPr>
            <w:r w:rsidRPr="00374E38">
              <w:rPr>
                <w:color w:val="000000"/>
                <w:sz w:val="22"/>
                <w:szCs w:val="22"/>
              </w:rPr>
              <w:t>-чистое принятие обязательств</w:t>
            </w:r>
          </w:p>
        </w:tc>
        <w:tc>
          <w:tcPr>
            <w:tcW w:w="1795" w:type="dxa"/>
            <w:tcBorders>
              <w:top w:val="nil"/>
              <w:left w:val="nil"/>
            </w:tcBorders>
            <w:vAlign w:val="bottom"/>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-24,4</w:t>
            </w:r>
          </w:p>
        </w:tc>
        <w:tc>
          <w:tcPr>
            <w:tcW w:w="1795" w:type="dxa"/>
            <w:tcBorders>
              <w:top w:val="nil"/>
            </w:tcBorders>
            <w:vAlign w:val="bottom"/>
          </w:tcPr>
          <w:p w:rsidR="00C20988" w:rsidRPr="00374E38" w:rsidRDefault="00C20988" w:rsidP="00384D3D">
            <w:pPr>
              <w:widowControl w:val="0"/>
              <w:ind w:right="432"/>
              <w:jc w:val="right"/>
              <w:rPr>
                <w:color w:val="000000"/>
                <w:sz w:val="22"/>
                <w:szCs w:val="22"/>
              </w:rPr>
            </w:pPr>
            <w:r>
              <w:rPr>
                <w:color w:val="000000"/>
                <w:sz w:val="22"/>
                <w:szCs w:val="22"/>
              </w:rPr>
              <w:t>0,0</w:t>
            </w:r>
          </w:p>
        </w:tc>
        <w:tc>
          <w:tcPr>
            <w:tcW w:w="1796" w:type="dxa"/>
            <w:tcBorders>
              <w:top w:val="nil"/>
              <w:left w:val="nil"/>
            </w:tcBorders>
            <w:vAlign w:val="bottom"/>
          </w:tcPr>
          <w:p w:rsidR="00C20988" w:rsidRPr="00374E38" w:rsidRDefault="00C20988" w:rsidP="00384D3D">
            <w:pPr>
              <w:widowControl w:val="0"/>
              <w:ind w:right="435"/>
              <w:jc w:val="right"/>
              <w:rPr>
                <w:color w:val="000000"/>
                <w:sz w:val="22"/>
                <w:szCs w:val="22"/>
              </w:rPr>
            </w:pPr>
            <w:r>
              <w:rPr>
                <w:color w:val="000000"/>
                <w:sz w:val="22"/>
                <w:szCs w:val="22"/>
              </w:rPr>
              <w:t>0,0</w:t>
            </w:r>
          </w:p>
        </w:tc>
      </w:tr>
      <w:tr w:rsidR="00C20988" w:rsidRPr="00374E38" w:rsidTr="00384D3D">
        <w:trPr>
          <w:trHeight w:val="322"/>
        </w:trPr>
        <w:tc>
          <w:tcPr>
            <w:tcW w:w="4239" w:type="dxa"/>
            <w:shd w:val="clear" w:color="auto" w:fill="D9D9D9"/>
            <w:vAlign w:val="center"/>
          </w:tcPr>
          <w:p w:rsidR="00C20988" w:rsidRPr="00374E38" w:rsidRDefault="00C20988" w:rsidP="00384D3D">
            <w:pPr>
              <w:pStyle w:val="Header"/>
              <w:widowControl w:val="0"/>
              <w:ind w:left="318" w:hanging="174"/>
              <w:rPr>
                <w:color w:val="000000"/>
                <w:sz w:val="22"/>
                <w:szCs w:val="22"/>
              </w:rPr>
            </w:pPr>
            <w:r w:rsidRPr="00374E38">
              <w:rPr>
                <w:color w:val="000000"/>
                <w:sz w:val="22"/>
                <w:szCs w:val="22"/>
              </w:rPr>
              <w:t>Другие инвестиции</w:t>
            </w:r>
          </w:p>
        </w:tc>
        <w:tc>
          <w:tcPr>
            <w:tcW w:w="1795" w:type="dxa"/>
            <w:tcBorders>
              <w:left w:val="nil"/>
            </w:tcBorders>
            <w:shd w:val="clear" w:color="auto" w:fill="D9D9D9"/>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-334,6</w:t>
            </w:r>
          </w:p>
        </w:tc>
        <w:tc>
          <w:tcPr>
            <w:tcW w:w="1795" w:type="dxa"/>
            <w:shd w:val="clear" w:color="auto" w:fill="D9D9D9"/>
            <w:vAlign w:val="center"/>
          </w:tcPr>
          <w:p w:rsidR="00C20988" w:rsidRPr="00374E38" w:rsidRDefault="00C20988" w:rsidP="00384D3D">
            <w:pPr>
              <w:widowControl w:val="0"/>
              <w:ind w:right="432"/>
              <w:jc w:val="right"/>
              <w:rPr>
                <w:color w:val="000000"/>
                <w:sz w:val="22"/>
                <w:szCs w:val="22"/>
              </w:rPr>
            </w:pPr>
            <w:r>
              <w:rPr>
                <w:color w:val="000000"/>
                <w:sz w:val="22"/>
                <w:szCs w:val="22"/>
              </w:rPr>
              <w:t>-303,7</w:t>
            </w:r>
          </w:p>
        </w:tc>
        <w:tc>
          <w:tcPr>
            <w:tcW w:w="1796" w:type="dxa"/>
            <w:tcBorders>
              <w:left w:val="nil"/>
            </w:tcBorders>
            <w:shd w:val="clear" w:color="auto" w:fill="D9D9D9"/>
            <w:vAlign w:val="center"/>
          </w:tcPr>
          <w:p w:rsidR="00C20988" w:rsidRPr="00374E38" w:rsidRDefault="00C20988" w:rsidP="00384D3D">
            <w:pPr>
              <w:widowControl w:val="0"/>
              <w:ind w:right="435"/>
              <w:jc w:val="right"/>
              <w:rPr>
                <w:color w:val="000000"/>
                <w:sz w:val="22"/>
                <w:szCs w:val="22"/>
              </w:rPr>
            </w:pPr>
            <w:r>
              <w:rPr>
                <w:color w:val="000000"/>
                <w:sz w:val="22"/>
                <w:szCs w:val="22"/>
              </w:rPr>
              <w:t>-353,8</w:t>
            </w:r>
          </w:p>
        </w:tc>
      </w:tr>
      <w:tr w:rsidR="00C20988" w:rsidRPr="00374E38" w:rsidTr="00384D3D">
        <w:tc>
          <w:tcPr>
            <w:tcW w:w="4239" w:type="dxa"/>
            <w:tcBorders>
              <w:bottom w:val="nil"/>
            </w:tcBorders>
            <w:vAlign w:val="center"/>
          </w:tcPr>
          <w:p w:rsidR="00C20988" w:rsidRPr="00374E38" w:rsidRDefault="00C20988" w:rsidP="00384D3D">
            <w:pPr>
              <w:pStyle w:val="Header"/>
              <w:widowControl w:val="0"/>
              <w:ind w:left="396" w:hanging="84"/>
              <w:rPr>
                <w:color w:val="000000"/>
                <w:sz w:val="22"/>
                <w:szCs w:val="22"/>
              </w:rPr>
            </w:pPr>
            <w:r w:rsidRPr="00374E38">
              <w:rPr>
                <w:color w:val="000000"/>
                <w:sz w:val="22"/>
                <w:szCs w:val="22"/>
              </w:rPr>
              <w:t>-чистое приобретение финансовых активов</w:t>
            </w:r>
          </w:p>
        </w:tc>
        <w:tc>
          <w:tcPr>
            <w:tcW w:w="1795" w:type="dxa"/>
            <w:tcBorders>
              <w:left w:val="nil"/>
              <w:bottom w:val="nil"/>
            </w:tcBorders>
            <w:vAlign w:val="bottom"/>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14,5</w:t>
            </w:r>
          </w:p>
        </w:tc>
        <w:tc>
          <w:tcPr>
            <w:tcW w:w="1795" w:type="dxa"/>
            <w:tcBorders>
              <w:bottom w:val="nil"/>
            </w:tcBorders>
            <w:vAlign w:val="bottom"/>
          </w:tcPr>
          <w:p w:rsidR="00C20988" w:rsidRPr="00374E38" w:rsidRDefault="00C20988" w:rsidP="00384D3D">
            <w:pPr>
              <w:widowControl w:val="0"/>
              <w:ind w:right="432"/>
              <w:jc w:val="right"/>
              <w:rPr>
                <w:color w:val="000000"/>
                <w:sz w:val="22"/>
                <w:szCs w:val="22"/>
              </w:rPr>
            </w:pPr>
            <w:r>
              <w:rPr>
                <w:color w:val="000000"/>
                <w:sz w:val="22"/>
                <w:szCs w:val="22"/>
              </w:rPr>
              <w:t>2,8</w:t>
            </w:r>
          </w:p>
        </w:tc>
        <w:tc>
          <w:tcPr>
            <w:tcW w:w="1796" w:type="dxa"/>
            <w:tcBorders>
              <w:left w:val="nil"/>
              <w:bottom w:val="nil"/>
            </w:tcBorders>
            <w:vAlign w:val="bottom"/>
          </w:tcPr>
          <w:p w:rsidR="00C20988" w:rsidRPr="00374E38" w:rsidRDefault="00C20988" w:rsidP="00384D3D">
            <w:pPr>
              <w:widowControl w:val="0"/>
              <w:ind w:right="435"/>
              <w:jc w:val="right"/>
              <w:rPr>
                <w:color w:val="000000"/>
                <w:sz w:val="22"/>
                <w:szCs w:val="22"/>
              </w:rPr>
            </w:pPr>
            <w:r>
              <w:rPr>
                <w:color w:val="000000"/>
                <w:sz w:val="22"/>
                <w:szCs w:val="22"/>
              </w:rPr>
              <w:t>52,0</w:t>
            </w:r>
          </w:p>
        </w:tc>
      </w:tr>
      <w:tr w:rsidR="00C20988" w:rsidRPr="00374E38" w:rsidTr="00384D3D">
        <w:tc>
          <w:tcPr>
            <w:tcW w:w="4239" w:type="dxa"/>
            <w:tcBorders>
              <w:top w:val="nil"/>
              <w:bottom w:val="nil"/>
            </w:tcBorders>
            <w:vAlign w:val="center"/>
          </w:tcPr>
          <w:p w:rsidR="00C20988" w:rsidRPr="00374E38" w:rsidRDefault="00C20988" w:rsidP="00384D3D">
            <w:pPr>
              <w:pStyle w:val="Header"/>
              <w:widowControl w:val="0"/>
              <w:ind w:left="396" w:hanging="84"/>
              <w:rPr>
                <w:color w:val="000000"/>
                <w:sz w:val="22"/>
                <w:szCs w:val="22"/>
              </w:rPr>
            </w:pPr>
            <w:r w:rsidRPr="00374E38">
              <w:rPr>
                <w:color w:val="000000"/>
                <w:sz w:val="22"/>
                <w:szCs w:val="22"/>
              </w:rPr>
              <w:t>-чистое приобретение обязательств</w:t>
            </w:r>
          </w:p>
        </w:tc>
        <w:tc>
          <w:tcPr>
            <w:tcW w:w="1795" w:type="dxa"/>
            <w:tcBorders>
              <w:top w:val="nil"/>
              <w:left w:val="nil"/>
              <w:bottom w:val="nil"/>
            </w:tcBorders>
            <w:vAlign w:val="bottom"/>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349,1</w:t>
            </w:r>
          </w:p>
        </w:tc>
        <w:tc>
          <w:tcPr>
            <w:tcW w:w="1795" w:type="dxa"/>
            <w:tcBorders>
              <w:top w:val="nil"/>
              <w:bottom w:val="nil"/>
            </w:tcBorders>
            <w:vAlign w:val="bottom"/>
          </w:tcPr>
          <w:p w:rsidR="00C20988" w:rsidRPr="00374E38" w:rsidRDefault="00C20988" w:rsidP="00384D3D">
            <w:pPr>
              <w:widowControl w:val="0"/>
              <w:ind w:right="432"/>
              <w:jc w:val="right"/>
              <w:rPr>
                <w:color w:val="000000"/>
                <w:sz w:val="22"/>
                <w:szCs w:val="22"/>
              </w:rPr>
            </w:pPr>
            <w:r>
              <w:rPr>
                <w:color w:val="000000"/>
                <w:sz w:val="22"/>
                <w:szCs w:val="22"/>
              </w:rPr>
              <w:t>306,5</w:t>
            </w:r>
          </w:p>
        </w:tc>
        <w:tc>
          <w:tcPr>
            <w:tcW w:w="1796" w:type="dxa"/>
            <w:tcBorders>
              <w:top w:val="nil"/>
              <w:left w:val="nil"/>
              <w:bottom w:val="nil"/>
            </w:tcBorders>
            <w:vAlign w:val="bottom"/>
          </w:tcPr>
          <w:p w:rsidR="00C20988" w:rsidRPr="00374E38" w:rsidRDefault="00C20988" w:rsidP="00384D3D">
            <w:pPr>
              <w:widowControl w:val="0"/>
              <w:ind w:right="435"/>
              <w:jc w:val="right"/>
              <w:rPr>
                <w:color w:val="000000"/>
                <w:sz w:val="22"/>
                <w:szCs w:val="22"/>
              </w:rPr>
            </w:pPr>
            <w:r>
              <w:rPr>
                <w:color w:val="000000"/>
                <w:sz w:val="22"/>
                <w:szCs w:val="22"/>
              </w:rPr>
              <w:t>405,8</w:t>
            </w:r>
          </w:p>
        </w:tc>
      </w:tr>
      <w:tr w:rsidR="00C20988" w:rsidRPr="00374E38" w:rsidTr="00384D3D">
        <w:trPr>
          <w:trHeight w:val="331"/>
        </w:trPr>
        <w:tc>
          <w:tcPr>
            <w:tcW w:w="4239" w:type="dxa"/>
            <w:shd w:val="clear" w:color="auto" w:fill="E0E0E0"/>
            <w:vAlign w:val="center"/>
          </w:tcPr>
          <w:p w:rsidR="00C20988" w:rsidRPr="00374E38" w:rsidRDefault="00C20988" w:rsidP="00384D3D">
            <w:pPr>
              <w:pStyle w:val="Header"/>
              <w:widowControl w:val="0"/>
              <w:ind w:firstLine="158"/>
              <w:jc w:val="both"/>
              <w:rPr>
                <w:color w:val="000000"/>
                <w:sz w:val="22"/>
                <w:szCs w:val="22"/>
              </w:rPr>
            </w:pPr>
            <w:r w:rsidRPr="00374E38">
              <w:rPr>
                <w:color w:val="000000"/>
                <w:sz w:val="22"/>
                <w:szCs w:val="22"/>
              </w:rPr>
              <w:t>Валютные активы</w:t>
            </w:r>
            <w:r w:rsidRPr="00374E38">
              <w:rPr>
                <w:rStyle w:val="FootnoteReference"/>
                <w:color w:val="000000"/>
                <w:sz w:val="22"/>
                <w:szCs w:val="22"/>
              </w:rPr>
              <w:footnoteReference w:id="10"/>
            </w:r>
            <w:r w:rsidRPr="00374E38">
              <w:rPr>
                <w:color w:val="000000"/>
                <w:sz w:val="22"/>
                <w:szCs w:val="22"/>
                <w:lang w:val="en-US"/>
              </w:rPr>
              <w:t xml:space="preserve"> </w:t>
            </w:r>
            <w:r w:rsidRPr="00374E38">
              <w:rPr>
                <w:color w:val="000000"/>
                <w:sz w:val="22"/>
                <w:szCs w:val="22"/>
              </w:rPr>
              <w:t>центрального банка</w:t>
            </w:r>
          </w:p>
        </w:tc>
        <w:tc>
          <w:tcPr>
            <w:tcW w:w="1795" w:type="dxa"/>
            <w:shd w:val="clear" w:color="auto" w:fill="E0E0E0"/>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-18,5</w:t>
            </w:r>
          </w:p>
        </w:tc>
        <w:tc>
          <w:tcPr>
            <w:tcW w:w="1795" w:type="dxa"/>
            <w:shd w:val="clear" w:color="auto" w:fill="E0E0E0"/>
            <w:vAlign w:val="center"/>
          </w:tcPr>
          <w:p w:rsidR="00C20988" w:rsidRPr="00374E38" w:rsidRDefault="00C20988" w:rsidP="00384D3D">
            <w:pPr>
              <w:widowControl w:val="0"/>
              <w:ind w:right="432"/>
              <w:jc w:val="right"/>
              <w:rPr>
                <w:color w:val="000000"/>
                <w:sz w:val="22"/>
                <w:szCs w:val="22"/>
              </w:rPr>
            </w:pPr>
            <w:r>
              <w:rPr>
                <w:color w:val="000000"/>
                <w:sz w:val="22"/>
                <w:szCs w:val="22"/>
              </w:rPr>
              <w:t>13,1</w:t>
            </w:r>
          </w:p>
        </w:tc>
        <w:tc>
          <w:tcPr>
            <w:tcW w:w="1796" w:type="dxa"/>
            <w:shd w:val="clear" w:color="auto" w:fill="E0E0E0"/>
            <w:vAlign w:val="center"/>
          </w:tcPr>
          <w:p w:rsidR="00C20988" w:rsidRPr="00374E38" w:rsidRDefault="00C20988" w:rsidP="00384D3D">
            <w:pPr>
              <w:widowControl w:val="0"/>
              <w:ind w:right="435"/>
              <w:jc w:val="right"/>
              <w:rPr>
                <w:color w:val="000000"/>
                <w:sz w:val="22"/>
                <w:szCs w:val="22"/>
              </w:rPr>
            </w:pPr>
            <w:r>
              <w:rPr>
                <w:color w:val="000000"/>
                <w:sz w:val="22"/>
                <w:szCs w:val="22"/>
              </w:rPr>
              <w:t>1,8</w:t>
            </w:r>
          </w:p>
        </w:tc>
      </w:tr>
      <w:tr w:rsidR="00C20988" w:rsidRPr="00374E38" w:rsidTr="00384D3D">
        <w:trPr>
          <w:trHeight w:val="337"/>
        </w:trPr>
        <w:tc>
          <w:tcPr>
            <w:tcW w:w="4239" w:type="dxa"/>
            <w:shd w:val="clear" w:color="auto" w:fill="D9D9D9"/>
            <w:vAlign w:val="center"/>
          </w:tcPr>
          <w:p w:rsidR="00C20988" w:rsidRPr="00374E38" w:rsidRDefault="00C20988" w:rsidP="00384D3D">
            <w:pPr>
              <w:pStyle w:val="Header"/>
              <w:widowControl w:val="0"/>
              <w:ind w:firstLine="32"/>
              <w:rPr>
                <w:color w:val="000000"/>
                <w:sz w:val="22"/>
                <w:szCs w:val="22"/>
              </w:rPr>
            </w:pPr>
            <w:r w:rsidRPr="00374E38">
              <w:rPr>
                <w:color w:val="000000"/>
                <w:sz w:val="22"/>
                <w:szCs w:val="22"/>
              </w:rPr>
              <w:t>4. СТАТИСТИЧЕСКИЕ РАСХОЖДЕНИЯ</w:t>
            </w:r>
          </w:p>
        </w:tc>
        <w:tc>
          <w:tcPr>
            <w:tcW w:w="1795" w:type="dxa"/>
            <w:shd w:val="clear" w:color="auto" w:fill="D9D9D9"/>
            <w:vAlign w:val="center"/>
          </w:tcPr>
          <w:p w:rsidR="00C20988" w:rsidRPr="00374E38" w:rsidRDefault="00C20988" w:rsidP="00384D3D">
            <w:pPr>
              <w:widowControl w:val="0"/>
              <w:tabs>
                <w:tab w:val="left" w:pos="1992"/>
              </w:tabs>
              <w:ind w:right="447"/>
              <w:jc w:val="right"/>
              <w:rPr>
                <w:color w:val="000000"/>
                <w:sz w:val="22"/>
                <w:szCs w:val="22"/>
              </w:rPr>
            </w:pPr>
            <w:r>
              <w:rPr>
                <w:color w:val="000000"/>
                <w:sz w:val="22"/>
                <w:szCs w:val="22"/>
              </w:rPr>
              <w:t>-8,6</w:t>
            </w:r>
          </w:p>
        </w:tc>
        <w:tc>
          <w:tcPr>
            <w:tcW w:w="1795" w:type="dxa"/>
            <w:shd w:val="clear" w:color="auto" w:fill="D9D9D9"/>
            <w:vAlign w:val="center"/>
          </w:tcPr>
          <w:p w:rsidR="00C20988" w:rsidRPr="00374E38" w:rsidRDefault="00C20988" w:rsidP="00384D3D">
            <w:pPr>
              <w:widowControl w:val="0"/>
              <w:ind w:right="432"/>
              <w:jc w:val="right"/>
              <w:rPr>
                <w:color w:val="000000"/>
                <w:sz w:val="22"/>
                <w:szCs w:val="22"/>
              </w:rPr>
            </w:pPr>
            <w:r>
              <w:rPr>
                <w:color w:val="000000"/>
                <w:sz w:val="22"/>
                <w:szCs w:val="22"/>
              </w:rPr>
              <w:t>5,2</w:t>
            </w:r>
          </w:p>
        </w:tc>
        <w:tc>
          <w:tcPr>
            <w:tcW w:w="1796" w:type="dxa"/>
            <w:shd w:val="clear" w:color="auto" w:fill="D9D9D9"/>
            <w:vAlign w:val="center"/>
          </w:tcPr>
          <w:p w:rsidR="00C20988" w:rsidRPr="00374E38" w:rsidRDefault="00C20988" w:rsidP="00384D3D">
            <w:pPr>
              <w:widowControl w:val="0"/>
              <w:ind w:right="435"/>
              <w:jc w:val="right"/>
              <w:rPr>
                <w:color w:val="000000"/>
                <w:sz w:val="22"/>
                <w:szCs w:val="22"/>
              </w:rPr>
            </w:pPr>
            <w:r>
              <w:rPr>
                <w:color w:val="000000"/>
                <w:sz w:val="22"/>
                <w:szCs w:val="22"/>
              </w:rPr>
              <w:t>49,0</w:t>
            </w:r>
          </w:p>
        </w:tc>
      </w:tr>
    </w:tbl>
    <w:bookmarkEnd w:id="1"/>
    <w:bookmarkEnd w:id="2"/>
    <w:p w:rsidR="00C20988" w:rsidRPr="00374E38" w:rsidRDefault="00C20988" w:rsidP="00B1783D">
      <w:pPr>
        <w:pStyle w:val="BodyTextIndent"/>
        <w:spacing w:before="120" w:after="0"/>
        <w:ind w:left="0" w:firstLine="425"/>
        <w:jc w:val="both"/>
        <w:rPr>
          <w:sz w:val="24"/>
          <w:szCs w:val="24"/>
        </w:rPr>
      </w:pPr>
      <w:r w:rsidRPr="00374E38">
        <w:rPr>
          <w:sz w:val="24"/>
          <w:szCs w:val="24"/>
        </w:rPr>
        <w:t>Согласно методике платёжного баланса, внешнеторговый оборот республики</w:t>
      </w:r>
      <w:r w:rsidRPr="00374E38">
        <w:rPr>
          <w:sz w:val="24"/>
          <w:szCs w:val="24"/>
          <w:vertAlign w:val="superscript"/>
        </w:rPr>
        <w:footnoteReference w:id="11"/>
      </w:r>
      <w:r w:rsidRPr="00374E38">
        <w:rPr>
          <w:sz w:val="24"/>
          <w:szCs w:val="24"/>
        </w:rPr>
        <w:t xml:space="preserve">, зарегистрированный с </w:t>
      </w:r>
      <w:r>
        <w:rPr>
          <w:sz w:val="24"/>
          <w:szCs w:val="24"/>
        </w:rPr>
        <w:t>более чем 80</w:t>
      </w:r>
      <w:r w:rsidRPr="00374E38">
        <w:rPr>
          <w:sz w:val="24"/>
          <w:szCs w:val="24"/>
        </w:rPr>
        <w:t xml:space="preserve"> странами мира, за 2018 год возрос относительно базисной отметки </w:t>
      </w:r>
      <w:r>
        <w:rPr>
          <w:sz w:val="24"/>
          <w:szCs w:val="24"/>
        </w:rPr>
        <w:t xml:space="preserve">2017 года </w:t>
      </w:r>
      <w:r w:rsidRPr="00374E38">
        <w:rPr>
          <w:sz w:val="24"/>
          <w:szCs w:val="24"/>
        </w:rPr>
        <w:t xml:space="preserve">на </w:t>
      </w:r>
      <w:r>
        <w:rPr>
          <w:sz w:val="24"/>
          <w:szCs w:val="24"/>
        </w:rPr>
        <w:t>24,2</w:t>
      </w:r>
      <w:r w:rsidRPr="00374E38">
        <w:rPr>
          <w:sz w:val="24"/>
          <w:szCs w:val="24"/>
        </w:rPr>
        <w:t>%, до 1</w:t>
      </w:r>
      <w:r>
        <w:rPr>
          <w:sz w:val="24"/>
          <w:szCs w:val="24"/>
        </w:rPr>
        <w:t> 931,9</w:t>
      </w:r>
      <w:r w:rsidRPr="00374E38">
        <w:rPr>
          <w:sz w:val="24"/>
          <w:szCs w:val="24"/>
        </w:rPr>
        <w:t xml:space="preserve"> млн долл. Следует отметить, что интенсивное восстановление производственной деятельности, обусловившее рост экспорта и спрос на импортные сырьевые материалы в течение апреля 2017 г</w:t>
      </w:r>
      <w:r>
        <w:rPr>
          <w:sz w:val="24"/>
          <w:szCs w:val="24"/>
        </w:rPr>
        <w:t>.</w:t>
      </w:r>
      <w:r w:rsidRPr="00374E38">
        <w:rPr>
          <w:sz w:val="24"/>
          <w:szCs w:val="24"/>
        </w:rPr>
        <w:t xml:space="preserve"> – мая 2018 г., в последующем сменилось постепенным ослаблением повышательной динамики на фоне санкцонных и протекционистских мер в международной торговле. Долевое представление экспорта сократилось на </w:t>
      </w:r>
      <w:r>
        <w:rPr>
          <w:sz w:val="24"/>
          <w:szCs w:val="24"/>
        </w:rPr>
        <w:t>1,0</w:t>
      </w:r>
      <w:r w:rsidRPr="00374E38">
        <w:rPr>
          <w:sz w:val="24"/>
          <w:szCs w:val="24"/>
        </w:rPr>
        <w:t xml:space="preserve"> п.п., до 3</w:t>
      </w:r>
      <w:r>
        <w:rPr>
          <w:sz w:val="24"/>
          <w:szCs w:val="24"/>
        </w:rPr>
        <w:t>6</w:t>
      </w:r>
      <w:r w:rsidRPr="00374E38">
        <w:rPr>
          <w:sz w:val="24"/>
          <w:szCs w:val="24"/>
        </w:rPr>
        <w:t>,5%, коэффициент покрытия импорта экспортом уменьшился на 2,</w:t>
      </w:r>
      <w:r>
        <w:rPr>
          <w:sz w:val="24"/>
          <w:szCs w:val="24"/>
        </w:rPr>
        <w:t>6</w:t>
      </w:r>
      <w:r w:rsidRPr="00374E38">
        <w:rPr>
          <w:sz w:val="24"/>
          <w:szCs w:val="24"/>
        </w:rPr>
        <w:t xml:space="preserve"> п.п., до </w:t>
      </w:r>
      <w:r>
        <w:rPr>
          <w:sz w:val="24"/>
          <w:szCs w:val="24"/>
        </w:rPr>
        <w:t>57,5</w:t>
      </w:r>
      <w:r w:rsidRPr="00374E38">
        <w:rPr>
          <w:sz w:val="24"/>
          <w:szCs w:val="24"/>
        </w:rPr>
        <w:t>%.</w:t>
      </w:r>
    </w:p>
    <w:p w:rsidR="00C20988" w:rsidRPr="00374E38" w:rsidRDefault="00C20988" w:rsidP="00B1783D">
      <w:pPr>
        <w:pStyle w:val="BodyTextIndent"/>
        <w:spacing w:after="0"/>
        <w:ind w:left="0" w:firstLine="425"/>
        <w:jc w:val="both"/>
        <w:rPr>
          <w:sz w:val="24"/>
          <w:szCs w:val="24"/>
        </w:rPr>
      </w:pPr>
      <w:r w:rsidRPr="00374E38">
        <w:rPr>
          <w:sz w:val="24"/>
          <w:szCs w:val="24"/>
        </w:rPr>
        <w:t>Итогом внешнеторговых операций резидентов, согласно методике платёжного баланса, стало отрицательное саль</w:t>
      </w:r>
      <w:r>
        <w:rPr>
          <w:sz w:val="24"/>
          <w:szCs w:val="24"/>
        </w:rPr>
        <w:t xml:space="preserve">до торгового баланса в размере </w:t>
      </w:r>
      <w:r w:rsidRPr="00374E38">
        <w:rPr>
          <w:sz w:val="24"/>
          <w:szCs w:val="24"/>
        </w:rPr>
        <w:t>-</w:t>
      </w:r>
      <w:r>
        <w:rPr>
          <w:sz w:val="24"/>
          <w:szCs w:val="24"/>
        </w:rPr>
        <w:t>521,5</w:t>
      </w:r>
      <w:r w:rsidRPr="00374E38">
        <w:rPr>
          <w:sz w:val="24"/>
          <w:szCs w:val="24"/>
        </w:rPr>
        <w:t xml:space="preserve"> млн долл. (+</w:t>
      </w:r>
      <w:r>
        <w:rPr>
          <w:sz w:val="24"/>
          <w:szCs w:val="24"/>
        </w:rPr>
        <w:t>34,5</w:t>
      </w:r>
      <w:r w:rsidRPr="00374E38">
        <w:rPr>
          <w:sz w:val="24"/>
          <w:szCs w:val="24"/>
        </w:rPr>
        <w:t>%). Объём приднестровского экспорта</w:t>
      </w:r>
      <w:r w:rsidRPr="00374E38">
        <w:rPr>
          <w:sz w:val="24"/>
          <w:szCs w:val="24"/>
          <w:vertAlign w:val="superscript"/>
        </w:rPr>
        <w:footnoteReference w:id="12"/>
      </w:r>
      <w:r w:rsidRPr="00374E38">
        <w:rPr>
          <w:sz w:val="24"/>
          <w:szCs w:val="24"/>
        </w:rPr>
        <w:t xml:space="preserve"> </w:t>
      </w:r>
      <w:r>
        <w:rPr>
          <w:sz w:val="24"/>
          <w:szCs w:val="24"/>
        </w:rPr>
        <w:t xml:space="preserve">товаров </w:t>
      </w:r>
      <w:r w:rsidRPr="00374E38">
        <w:rPr>
          <w:sz w:val="24"/>
          <w:szCs w:val="24"/>
        </w:rPr>
        <w:t xml:space="preserve">составил </w:t>
      </w:r>
      <w:r>
        <w:rPr>
          <w:sz w:val="24"/>
          <w:szCs w:val="24"/>
        </w:rPr>
        <w:t xml:space="preserve">705,2 </w:t>
      </w:r>
      <w:r w:rsidRPr="00374E38">
        <w:rPr>
          <w:sz w:val="24"/>
          <w:szCs w:val="24"/>
        </w:rPr>
        <w:t xml:space="preserve">млн долл., превысив на </w:t>
      </w:r>
      <w:r>
        <w:rPr>
          <w:sz w:val="24"/>
          <w:szCs w:val="24"/>
        </w:rPr>
        <w:t>20,8</w:t>
      </w:r>
      <w:r w:rsidRPr="00374E38">
        <w:rPr>
          <w:sz w:val="24"/>
          <w:szCs w:val="24"/>
        </w:rPr>
        <w:t>% уровень 2017 года. Статистическая стоимость продукции</w:t>
      </w:r>
      <w:r>
        <w:rPr>
          <w:sz w:val="24"/>
          <w:szCs w:val="24"/>
        </w:rPr>
        <w:t>,</w:t>
      </w:r>
      <w:r w:rsidRPr="00374E38">
        <w:rPr>
          <w:sz w:val="24"/>
          <w:szCs w:val="24"/>
        </w:rPr>
        <w:t xml:space="preserve"> проданной в страны Содружества Независимых Государств</w:t>
      </w:r>
      <w:r>
        <w:rPr>
          <w:sz w:val="24"/>
          <w:szCs w:val="24"/>
        </w:rPr>
        <w:t>,</w:t>
      </w:r>
      <w:r w:rsidRPr="00374E38">
        <w:rPr>
          <w:sz w:val="24"/>
          <w:szCs w:val="24"/>
        </w:rPr>
        <w:t xml:space="preserve"> повысилась на </w:t>
      </w:r>
      <w:r>
        <w:rPr>
          <w:sz w:val="24"/>
          <w:szCs w:val="24"/>
        </w:rPr>
        <w:t>15,1</w:t>
      </w:r>
      <w:r w:rsidRPr="00374E38">
        <w:rPr>
          <w:sz w:val="24"/>
          <w:szCs w:val="24"/>
        </w:rPr>
        <w:t xml:space="preserve">%, до </w:t>
      </w:r>
      <w:r>
        <w:rPr>
          <w:sz w:val="24"/>
          <w:szCs w:val="24"/>
        </w:rPr>
        <w:t>437,8</w:t>
      </w:r>
      <w:r w:rsidRPr="00374E38">
        <w:rPr>
          <w:sz w:val="24"/>
          <w:szCs w:val="24"/>
        </w:rPr>
        <w:t xml:space="preserve"> млн долл., </w:t>
      </w:r>
      <w:r>
        <w:rPr>
          <w:sz w:val="24"/>
          <w:szCs w:val="24"/>
        </w:rPr>
        <w:t>обеспечив</w:t>
      </w:r>
      <w:r w:rsidRPr="00374E38">
        <w:rPr>
          <w:sz w:val="24"/>
          <w:szCs w:val="24"/>
        </w:rPr>
        <w:t xml:space="preserve"> </w:t>
      </w:r>
      <w:r>
        <w:rPr>
          <w:sz w:val="24"/>
          <w:szCs w:val="24"/>
        </w:rPr>
        <w:t>62,1</w:t>
      </w:r>
      <w:r w:rsidRPr="00374E38">
        <w:rPr>
          <w:sz w:val="24"/>
          <w:szCs w:val="24"/>
        </w:rPr>
        <w:t xml:space="preserve">% </w:t>
      </w:r>
      <w:r>
        <w:rPr>
          <w:sz w:val="24"/>
          <w:szCs w:val="24"/>
        </w:rPr>
        <w:br/>
      </w:r>
      <w:r w:rsidRPr="00374E38">
        <w:rPr>
          <w:sz w:val="24"/>
          <w:szCs w:val="24"/>
        </w:rPr>
        <w:t>(-</w:t>
      </w:r>
      <w:r>
        <w:rPr>
          <w:sz w:val="24"/>
          <w:szCs w:val="24"/>
        </w:rPr>
        <w:t>3,1</w:t>
      </w:r>
      <w:r w:rsidRPr="00374E38">
        <w:rPr>
          <w:sz w:val="24"/>
          <w:szCs w:val="24"/>
        </w:rPr>
        <w:t xml:space="preserve"> п.п.) совокупного показателя. Реализация товаров контрагентам из стран дальнего зарубежья расширилась на </w:t>
      </w:r>
      <w:r>
        <w:rPr>
          <w:sz w:val="24"/>
          <w:szCs w:val="24"/>
        </w:rPr>
        <w:t>31,7</w:t>
      </w:r>
      <w:r w:rsidRPr="00374E38">
        <w:rPr>
          <w:sz w:val="24"/>
          <w:szCs w:val="24"/>
        </w:rPr>
        <w:t xml:space="preserve">%, до </w:t>
      </w:r>
      <w:r>
        <w:rPr>
          <w:sz w:val="24"/>
          <w:szCs w:val="24"/>
        </w:rPr>
        <w:t xml:space="preserve">267,5 </w:t>
      </w:r>
      <w:r w:rsidRPr="00374E38">
        <w:rPr>
          <w:sz w:val="24"/>
          <w:szCs w:val="24"/>
        </w:rPr>
        <w:t xml:space="preserve">млн долл., </w:t>
      </w:r>
      <w:r>
        <w:rPr>
          <w:sz w:val="24"/>
          <w:szCs w:val="24"/>
        </w:rPr>
        <w:t>составив</w:t>
      </w:r>
      <w:r w:rsidRPr="00374E38">
        <w:rPr>
          <w:sz w:val="24"/>
          <w:szCs w:val="24"/>
        </w:rPr>
        <w:t xml:space="preserve"> 37,</w:t>
      </w:r>
      <w:r>
        <w:rPr>
          <w:sz w:val="24"/>
          <w:szCs w:val="24"/>
        </w:rPr>
        <w:t>9</w:t>
      </w:r>
      <w:r w:rsidRPr="00374E38">
        <w:rPr>
          <w:sz w:val="24"/>
          <w:szCs w:val="24"/>
        </w:rPr>
        <w:t xml:space="preserve">% </w:t>
      </w:r>
      <w:r>
        <w:rPr>
          <w:sz w:val="24"/>
          <w:szCs w:val="24"/>
        </w:rPr>
        <w:t>экспорта</w:t>
      </w:r>
      <w:r w:rsidRPr="00374E38">
        <w:rPr>
          <w:sz w:val="24"/>
          <w:szCs w:val="24"/>
        </w:rPr>
        <w:t xml:space="preserve">. </w:t>
      </w:r>
    </w:p>
    <w:p w:rsidR="00C20988" w:rsidRPr="00374E38" w:rsidRDefault="00C20988" w:rsidP="00B1783D">
      <w:pPr>
        <w:widowControl w:val="0"/>
        <w:ind w:firstLine="425"/>
        <w:jc w:val="both"/>
        <w:rPr>
          <w:sz w:val="24"/>
          <w:szCs w:val="24"/>
        </w:rPr>
      </w:pPr>
      <w:r w:rsidRPr="00374E38">
        <w:rPr>
          <w:sz w:val="24"/>
          <w:szCs w:val="24"/>
        </w:rPr>
        <w:t>Импорт</w:t>
      </w:r>
      <w:r w:rsidRPr="00BB5EA2">
        <w:rPr>
          <w:sz w:val="24"/>
          <w:szCs w:val="24"/>
          <w:vertAlign w:val="superscript"/>
        </w:rPr>
        <w:footnoteReference w:id="13"/>
      </w:r>
      <w:r>
        <w:rPr>
          <w:sz w:val="24"/>
          <w:szCs w:val="24"/>
        </w:rPr>
        <w:t>,</w:t>
      </w:r>
      <w:r w:rsidRPr="00374E38">
        <w:rPr>
          <w:sz w:val="24"/>
          <w:szCs w:val="24"/>
        </w:rPr>
        <w:t xml:space="preserve"> согласно методике платёжного баланса, за 2018 год возрос на </w:t>
      </w:r>
      <w:r>
        <w:rPr>
          <w:sz w:val="24"/>
          <w:szCs w:val="24"/>
        </w:rPr>
        <w:t>26,3</w:t>
      </w:r>
      <w:r w:rsidRPr="00374E38">
        <w:rPr>
          <w:sz w:val="24"/>
          <w:szCs w:val="24"/>
        </w:rPr>
        <w:t>%</w:t>
      </w:r>
      <w:r>
        <w:rPr>
          <w:sz w:val="24"/>
          <w:szCs w:val="24"/>
        </w:rPr>
        <w:t>, до</w:t>
      </w:r>
      <w:r w:rsidRPr="00374E38">
        <w:rPr>
          <w:sz w:val="24"/>
          <w:szCs w:val="24"/>
        </w:rPr>
        <w:t xml:space="preserve"> </w:t>
      </w:r>
      <w:r>
        <w:rPr>
          <w:sz w:val="24"/>
          <w:szCs w:val="24"/>
        </w:rPr>
        <w:t xml:space="preserve">1 226,7 </w:t>
      </w:r>
      <w:r w:rsidRPr="00374E38">
        <w:rPr>
          <w:sz w:val="24"/>
          <w:szCs w:val="24"/>
        </w:rPr>
        <w:t>млн долл</w:t>
      </w:r>
      <w:r>
        <w:rPr>
          <w:sz w:val="24"/>
          <w:szCs w:val="24"/>
        </w:rPr>
        <w:t xml:space="preserve">. </w:t>
      </w:r>
      <w:r w:rsidRPr="00374E38">
        <w:rPr>
          <w:sz w:val="24"/>
          <w:szCs w:val="24"/>
        </w:rPr>
        <w:t>(табл. 1.</w:t>
      </w:r>
      <w:r>
        <w:rPr>
          <w:sz w:val="24"/>
          <w:szCs w:val="24"/>
        </w:rPr>
        <w:t>5</w:t>
      </w:r>
      <w:r w:rsidRPr="00374E38">
        <w:rPr>
          <w:sz w:val="24"/>
          <w:szCs w:val="24"/>
        </w:rPr>
        <w:t xml:space="preserve">). Ввоз товаров из стран СНГ увеличился на </w:t>
      </w:r>
      <w:r>
        <w:rPr>
          <w:sz w:val="24"/>
          <w:szCs w:val="24"/>
        </w:rPr>
        <w:t>27,1</w:t>
      </w:r>
      <w:r w:rsidRPr="00374E38">
        <w:rPr>
          <w:sz w:val="24"/>
          <w:szCs w:val="24"/>
        </w:rPr>
        <w:t xml:space="preserve">%, до </w:t>
      </w:r>
      <w:r>
        <w:rPr>
          <w:sz w:val="24"/>
          <w:szCs w:val="24"/>
        </w:rPr>
        <w:br/>
        <w:t>974,4</w:t>
      </w:r>
      <w:r w:rsidRPr="00374E38">
        <w:rPr>
          <w:sz w:val="24"/>
          <w:szCs w:val="24"/>
        </w:rPr>
        <w:t xml:space="preserve"> млн долл. (79,</w:t>
      </w:r>
      <w:r>
        <w:rPr>
          <w:sz w:val="24"/>
          <w:szCs w:val="24"/>
        </w:rPr>
        <w:t>4</w:t>
      </w:r>
      <w:r w:rsidRPr="00374E38">
        <w:rPr>
          <w:sz w:val="24"/>
          <w:szCs w:val="24"/>
        </w:rPr>
        <w:t>% совокупного показателя)</w:t>
      </w:r>
      <w:r>
        <w:rPr>
          <w:sz w:val="24"/>
          <w:szCs w:val="24"/>
        </w:rPr>
        <w:t xml:space="preserve">, </w:t>
      </w:r>
      <w:r w:rsidRPr="00374E38">
        <w:rPr>
          <w:sz w:val="24"/>
          <w:szCs w:val="24"/>
        </w:rPr>
        <w:t xml:space="preserve">из государств дальнего зарубежья </w:t>
      </w:r>
      <w:r>
        <w:rPr>
          <w:sz w:val="24"/>
          <w:szCs w:val="24"/>
        </w:rPr>
        <w:t>– на 23,4%, до</w:t>
      </w:r>
      <w:r w:rsidRPr="00374E38">
        <w:rPr>
          <w:sz w:val="24"/>
          <w:szCs w:val="24"/>
        </w:rPr>
        <w:t xml:space="preserve"> </w:t>
      </w:r>
      <w:r>
        <w:rPr>
          <w:sz w:val="24"/>
          <w:szCs w:val="24"/>
        </w:rPr>
        <w:t>252,3 млн долл.</w:t>
      </w:r>
    </w:p>
    <w:p w:rsidR="00C20988" w:rsidRPr="00374E38" w:rsidRDefault="00C20988" w:rsidP="00B1783D">
      <w:pPr>
        <w:widowControl w:val="0"/>
        <w:autoSpaceDE w:val="0"/>
        <w:autoSpaceDN w:val="0"/>
        <w:adjustRightInd w:val="0"/>
        <w:ind w:firstLine="425"/>
        <w:jc w:val="both"/>
        <w:rPr>
          <w:sz w:val="24"/>
          <w:szCs w:val="24"/>
        </w:rPr>
      </w:pPr>
      <w:r w:rsidRPr="00374E38">
        <w:rPr>
          <w:sz w:val="24"/>
          <w:szCs w:val="24"/>
        </w:rPr>
        <w:t>Отрицательное сальдо баланса услуг сложилось на отметке -</w:t>
      </w:r>
      <w:r>
        <w:rPr>
          <w:sz w:val="24"/>
          <w:szCs w:val="24"/>
        </w:rPr>
        <w:t>19,0</w:t>
      </w:r>
      <w:r w:rsidRPr="00374E38">
        <w:rPr>
          <w:sz w:val="24"/>
          <w:szCs w:val="24"/>
        </w:rPr>
        <w:t xml:space="preserve"> млн долл. против </w:t>
      </w:r>
      <w:r>
        <w:rPr>
          <w:sz w:val="24"/>
          <w:szCs w:val="24"/>
        </w:rPr>
        <w:br/>
        <w:t>-0,3</w:t>
      </w:r>
      <w:r w:rsidRPr="00374E38">
        <w:rPr>
          <w:sz w:val="24"/>
          <w:szCs w:val="24"/>
        </w:rPr>
        <w:t xml:space="preserve"> млн долл. годом ранее. </w:t>
      </w:r>
      <w:r>
        <w:rPr>
          <w:sz w:val="24"/>
          <w:szCs w:val="24"/>
        </w:rPr>
        <w:t>Его динамику определило уменьшение</w:t>
      </w:r>
      <w:r w:rsidRPr="00374E38">
        <w:rPr>
          <w:sz w:val="24"/>
          <w:szCs w:val="24"/>
        </w:rPr>
        <w:t xml:space="preserve"> </w:t>
      </w:r>
      <w:r>
        <w:rPr>
          <w:sz w:val="24"/>
          <w:szCs w:val="24"/>
        </w:rPr>
        <w:t>профицита</w:t>
      </w:r>
      <w:r w:rsidRPr="00374E38">
        <w:rPr>
          <w:sz w:val="24"/>
          <w:szCs w:val="24"/>
        </w:rPr>
        <w:t xml:space="preserve"> в части операций с резидентами СНГ (с +</w:t>
      </w:r>
      <w:r>
        <w:rPr>
          <w:sz w:val="24"/>
          <w:szCs w:val="24"/>
        </w:rPr>
        <w:t>17,2</w:t>
      </w:r>
      <w:r w:rsidRPr="00374E38">
        <w:rPr>
          <w:sz w:val="24"/>
          <w:szCs w:val="24"/>
        </w:rPr>
        <w:t xml:space="preserve"> млн долл. до </w:t>
      </w:r>
      <w:r>
        <w:rPr>
          <w:sz w:val="24"/>
          <w:szCs w:val="24"/>
        </w:rPr>
        <w:t>+0,2</w:t>
      </w:r>
      <w:r w:rsidRPr="00374E38">
        <w:rPr>
          <w:sz w:val="24"/>
          <w:szCs w:val="24"/>
        </w:rPr>
        <w:t xml:space="preserve"> млн долл.). Наряду с этим пассивное сальдо по сделкам с контрагентами из дальнего зарубежья увеличилось на </w:t>
      </w:r>
      <w:r>
        <w:rPr>
          <w:sz w:val="24"/>
          <w:szCs w:val="24"/>
        </w:rPr>
        <w:t>9,7</w:t>
      </w:r>
      <w:r w:rsidRPr="00374E38">
        <w:rPr>
          <w:sz w:val="24"/>
          <w:szCs w:val="24"/>
        </w:rPr>
        <w:t xml:space="preserve">%, до </w:t>
      </w:r>
      <w:r>
        <w:rPr>
          <w:sz w:val="24"/>
          <w:szCs w:val="24"/>
        </w:rPr>
        <w:br/>
      </w:r>
      <w:r w:rsidRPr="00374E38">
        <w:rPr>
          <w:sz w:val="24"/>
          <w:szCs w:val="24"/>
        </w:rPr>
        <w:t>-</w:t>
      </w:r>
      <w:r>
        <w:rPr>
          <w:sz w:val="24"/>
          <w:szCs w:val="24"/>
        </w:rPr>
        <w:t>19,2</w:t>
      </w:r>
      <w:r w:rsidRPr="00374E38">
        <w:rPr>
          <w:sz w:val="24"/>
          <w:szCs w:val="24"/>
        </w:rPr>
        <w:t xml:space="preserve"> млн долл. </w:t>
      </w:r>
      <w:r>
        <w:rPr>
          <w:sz w:val="24"/>
          <w:szCs w:val="24"/>
        </w:rPr>
        <w:t>И</w:t>
      </w:r>
      <w:r w:rsidRPr="00374E38">
        <w:rPr>
          <w:sz w:val="24"/>
          <w:szCs w:val="24"/>
        </w:rPr>
        <w:t xml:space="preserve">мпорт услуг </w:t>
      </w:r>
      <w:r>
        <w:rPr>
          <w:sz w:val="24"/>
          <w:szCs w:val="24"/>
        </w:rPr>
        <w:t>возрос на 42,7</w:t>
      </w:r>
      <w:r w:rsidRPr="00374E38">
        <w:rPr>
          <w:sz w:val="24"/>
          <w:szCs w:val="24"/>
        </w:rPr>
        <w:t>%</w:t>
      </w:r>
      <w:r>
        <w:rPr>
          <w:sz w:val="24"/>
          <w:szCs w:val="24"/>
        </w:rPr>
        <w:t xml:space="preserve"> (в основном в результате роста спроса на транспортные услуги)</w:t>
      </w:r>
      <w:r w:rsidRPr="00374E38">
        <w:rPr>
          <w:sz w:val="24"/>
          <w:szCs w:val="24"/>
        </w:rPr>
        <w:t xml:space="preserve">, до </w:t>
      </w:r>
      <w:r>
        <w:rPr>
          <w:sz w:val="24"/>
          <w:szCs w:val="24"/>
        </w:rPr>
        <w:t>91,6</w:t>
      </w:r>
      <w:r w:rsidRPr="00374E38">
        <w:rPr>
          <w:sz w:val="24"/>
          <w:szCs w:val="24"/>
        </w:rPr>
        <w:t xml:space="preserve"> млн долл.</w:t>
      </w:r>
      <w:r>
        <w:rPr>
          <w:sz w:val="24"/>
          <w:szCs w:val="24"/>
        </w:rPr>
        <w:t>, экспорт</w:t>
      </w:r>
      <w:r w:rsidRPr="00374E38">
        <w:rPr>
          <w:sz w:val="24"/>
          <w:szCs w:val="24"/>
        </w:rPr>
        <w:t xml:space="preserve"> </w:t>
      </w:r>
      <w:r>
        <w:rPr>
          <w:sz w:val="24"/>
          <w:szCs w:val="24"/>
        </w:rPr>
        <w:t>– на 13,6%, до 72,6 млн долл.</w:t>
      </w:r>
      <w:r w:rsidRPr="00374E38">
        <w:rPr>
          <w:sz w:val="24"/>
          <w:szCs w:val="24"/>
        </w:rPr>
        <w:t xml:space="preserve"> </w:t>
      </w:r>
    </w:p>
    <w:p w:rsidR="00C20988" w:rsidRPr="00374E38" w:rsidRDefault="00C20988" w:rsidP="00715F41">
      <w:pPr>
        <w:widowControl w:val="0"/>
        <w:ind w:firstLine="425"/>
        <w:jc w:val="both"/>
        <w:rPr>
          <w:sz w:val="24"/>
          <w:szCs w:val="24"/>
        </w:rPr>
      </w:pPr>
      <w:r w:rsidRPr="00374E38">
        <w:rPr>
          <w:sz w:val="24"/>
          <w:szCs w:val="24"/>
        </w:rPr>
        <w:t xml:space="preserve">Дефицит баланса первичных доходов </w:t>
      </w:r>
      <w:r>
        <w:rPr>
          <w:sz w:val="24"/>
          <w:szCs w:val="24"/>
        </w:rPr>
        <w:t>составил -32,2</w:t>
      </w:r>
      <w:r w:rsidRPr="00374E38">
        <w:rPr>
          <w:sz w:val="24"/>
          <w:szCs w:val="24"/>
        </w:rPr>
        <w:t xml:space="preserve"> млн долл. </w:t>
      </w:r>
      <w:r>
        <w:rPr>
          <w:sz w:val="24"/>
          <w:szCs w:val="24"/>
        </w:rPr>
        <w:t>(+18,0%). В его составе зафиксированы рост выплат</w:t>
      </w:r>
      <w:r w:rsidRPr="00374E38">
        <w:rPr>
          <w:sz w:val="24"/>
          <w:szCs w:val="24"/>
        </w:rPr>
        <w:t xml:space="preserve"> нерезидентам от прямых, портфельных и других инвестиций</w:t>
      </w:r>
      <w:r>
        <w:rPr>
          <w:sz w:val="24"/>
          <w:szCs w:val="24"/>
        </w:rPr>
        <w:t>, а также в виде оплаты труда (+12,1</w:t>
      </w:r>
      <w:r w:rsidRPr="00374E38">
        <w:rPr>
          <w:sz w:val="24"/>
          <w:szCs w:val="24"/>
        </w:rPr>
        <w:t xml:space="preserve">%, до </w:t>
      </w:r>
      <w:r>
        <w:rPr>
          <w:sz w:val="24"/>
          <w:szCs w:val="24"/>
        </w:rPr>
        <w:t>42,5 млн долл.)</w:t>
      </w:r>
      <w:r w:rsidRPr="00374E38">
        <w:rPr>
          <w:sz w:val="24"/>
          <w:szCs w:val="24"/>
        </w:rPr>
        <w:t xml:space="preserve"> </w:t>
      </w:r>
      <w:r>
        <w:rPr>
          <w:sz w:val="24"/>
          <w:szCs w:val="24"/>
        </w:rPr>
        <w:t xml:space="preserve">и сокращение объёма </w:t>
      </w:r>
      <w:r w:rsidRPr="00374E38">
        <w:rPr>
          <w:sz w:val="24"/>
          <w:szCs w:val="24"/>
        </w:rPr>
        <w:t xml:space="preserve">аналогичных </w:t>
      </w:r>
      <w:r>
        <w:rPr>
          <w:sz w:val="24"/>
          <w:szCs w:val="24"/>
        </w:rPr>
        <w:t>поступлений в адрес резидентов (-2,8</w:t>
      </w:r>
      <w:r w:rsidRPr="00374E38">
        <w:rPr>
          <w:sz w:val="24"/>
          <w:szCs w:val="24"/>
        </w:rPr>
        <w:t xml:space="preserve">%, до </w:t>
      </w:r>
      <w:r>
        <w:rPr>
          <w:sz w:val="24"/>
          <w:szCs w:val="24"/>
        </w:rPr>
        <w:t>10,3</w:t>
      </w:r>
      <w:r w:rsidRPr="00374E38">
        <w:rPr>
          <w:sz w:val="24"/>
          <w:szCs w:val="24"/>
        </w:rPr>
        <w:t xml:space="preserve"> млн долл.).</w:t>
      </w:r>
    </w:p>
    <w:p w:rsidR="00C20988" w:rsidRPr="00374E38" w:rsidRDefault="00C20988" w:rsidP="00715F41">
      <w:pPr>
        <w:autoSpaceDE w:val="0"/>
        <w:autoSpaceDN w:val="0"/>
        <w:adjustRightInd w:val="0"/>
        <w:ind w:firstLine="425"/>
        <w:jc w:val="both"/>
        <w:rPr>
          <w:sz w:val="24"/>
          <w:szCs w:val="24"/>
        </w:rPr>
      </w:pPr>
      <w:r w:rsidRPr="00374E38">
        <w:rPr>
          <w:sz w:val="24"/>
          <w:szCs w:val="24"/>
        </w:rPr>
        <w:t xml:space="preserve">Профицит баланса трансфертов </w:t>
      </w:r>
      <w:r>
        <w:rPr>
          <w:sz w:val="24"/>
          <w:szCs w:val="24"/>
        </w:rPr>
        <w:t>сложился</w:t>
      </w:r>
      <w:r w:rsidRPr="00374E38">
        <w:rPr>
          <w:sz w:val="24"/>
          <w:szCs w:val="24"/>
        </w:rPr>
        <w:t xml:space="preserve"> на отметке </w:t>
      </w:r>
      <w:r>
        <w:rPr>
          <w:sz w:val="24"/>
          <w:szCs w:val="24"/>
        </w:rPr>
        <w:t>+173,2</w:t>
      </w:r>
      <w:r w:rsidRPr="00374E38">
        <w:rPr>
          <w:sz w:val="24"/>
          <w:szCs w:val="24"/>
        </w:rPr>
        <w:t xml:space="preserve"> млн долл. (+</w:t>
      </w:r>
      <w:r>
        <w:rPr>
          <w:sz w:val="24"/>
          <w:szCs w:val="24"/>
        </w:rPr>
        <w:t>29,3</w:t>
      </w:r>
      <w:r w:rsidRPr="00374E38">
        <w:rPr>
          <w:sz w:val="24"/>
          <w:szCs w:val="24"/>
        </w:rPr>
        <w:t xml:space="preserve">% к показателю за </w:t>
      </w:r>
      <w:r>
        <w:rPr>
          <w:sz w:val="24"/>
          <w:szCs w:val="24"/>
        </w:rPr>
        <w:t>2017 год</w:t>
      </w:r>
      <w:r w:rsidRPr="00374E38">
        <w:rPr>
          <w:sz w:val="24"/>
          <w:szCs w:val="24"/>
        </w:rPr>
        <w:t>), что является максимальным значением в ряду сопоставимых периодов с 201</w:t>
      </w:r>
      <w:r>
        <w:rPr>
          <w:sz w:val="24"/>
          <w:szCs w:val="24"/>
        </w:rPr>
        <w:t>4</w:t>
      </w:r>
      <w:r w:rsidRPr="00374E38">
        <w:rPr>
          <w:sz w:val="24"/>
          <w:szCs w:val="24"/>
        </w:rPr>
        <w:t xml:space="preserve"> года. Совокупный объём средств, поступивших в республику в рамках данного раздела платёжного баланса, достиг </w:t>
      </w:r>
      <w:r>
        <w:rPr>
          <w:sz w:val="24"/>
          <w:szCs w:val="24"/>
        </w:rPr>
        <w:t>213,9</w:t>
      </w:r>
      <w:r w:rsidRPr="00374E38">
        <w:rPr>
          <w:sz w:val="24"/>
          <w:szCs w:val="24"/>
        </w:rPr>
        <w:t xml:space="preserve"> млн долл. (+</w:t>
      </w:r>
      <w:r>
        <w:rPr>
          <w:sz w:val="24"/>
          <w:szCs w:val="24"/>
        </w:rPr>
        <w:t>20,0</w:t>
      </w:r>
      <w:r w:rsidRPr="00374E38">
        <w:rPr>
          <w:sz w:val="24"/>
          <w:szCs w:val="24"/>
        </w:rPr>
        <w:t xml:space="preserve">%). </w:t>
      </w:r>
      <w:r>
        <w:rPr>
          <w:sz w:val="24"/>
          <w:szCs w:val="24"/>
        </w:rPr>
        <w:t xml:space="preserve">Из них </w:t>
      </w:r>
      <w:r w:rsidRPr="004474CE">
        <w:rPr>
          <w:sz w:val="24"/>
          <w:szCs w:val="24"/>
        </w:rPr>
        <w:t>денежные переводы,</w:t>
      </w:r>
      <w:r w:rsidRPr="00374E38">
        <w:rPr>
          <w:sz w:val="24"/>
          <w:szCs w:val="24"/>
        </w:rPr>
        <w:t xml:space="preserve"> полученные физическими лицами-резидентами из-за рубежа, увеличились на </w:t>
      </w:r>
      <w:r>
        <w:rPr>
          <w:sz w:val="24"/>
          <w:szCs w:val="24"/>
        </w:rPr>
        <w:t>17,5</w:t>
      </w:r>
      <w:r w:rsidRPr="00374E38">
        <w:rPr>
          <w:sz w:val="24"/>
          <w:szCs w:val="24"/>
        </w:rPr>
        <w:t xml:space="preserve">%, до </w:t>
      </w:r>
      <w:r>
        <w:rPr>
          <w:sz w:val="24"/>
          <w:szCs w:val="24"/>
        </w:rPr>
        <w:t xml:space="preserve">90,7 млн </w:t>
      </w:r>
      <w:r w:rsidRPr="004474CE">
        <w:rPr>
          <w:sz w:val="24"/>
          <w:szCs w:val="24"/>
        </w:rPr>
        <w:t>долл., из которых</w:t>
      </w:r>
      <w:r>
        <w:rPr>
          <w:sz w:val="24"/>
          <w:szCs w:val="24"/>
        </w:rPr>
        <w:t xml:space="preserve"> порядка 71</w:t>
      </w:r>
      <w:r w:rsidRPr="00374E38">
        <w:rPr>
          <w:sz w:val="24"/>
          <w:szCs w:val="24"/>
        </w:rPr>
        <w:t xml:space="preserve">% было направлено из стран Содружества. Объём трансфертов, перечисленных нерезидентам, составил </w:t>
      </w:r>
      <w:r>
        <w:rPr>
          <w:sz w:val="24"/>
          <w:szCs w:val="24"/>
        </w:rPr>
        <w:t>40,7</w:t>
      </w:r>
      <w:r w:rsidRPr="00374E38">
        <w:rPr>
          <w:sz w:val="24"/>
          <w:szCs w:val="24"/>
        </w:rPr>
        <w:t xml:space="preserve"> млн долл. (-</w:t>
      </w:r>
      <w:r>
        <w:rPr>
          <w:sz w:val="24"/>
          <w:szCs w:val="24"/>
        </w:rPr>
        <w:t>7,9</w:t>
      </w:r>
      <w:r w:rsidRPr="00374E38">
        <w:rPr>
          <w:sz w:val="24"/>
          <w:szCs w:val="24"/>
        </w:rPr>
        <w:t xml:space="preserve">%). Из них физическими лицами было переведено за рубеж </w:t>
      </w:r>
      <w:r>
        <w:rPr>
          <w:sz w:val="24"/>
          <w:szCs w:val="24"/>
        </w:rPr>
        <w:t>27,3</w:t>
      </w:r>
      <w:r w:rsidRPr="00374E38">
        <w:rPr>
          <w:sz w:val="24"/>
          <w:szCs w:val="24"/>
        </w:rPr>
        <w:t xml:space="preserve"> млн долл., в том чи</w:t>
      </w:r>
      <w:r>
        <w:rPr>
          <w:sz w:val="24"/>
          <w:szCs w:val="24"/>
        </w:rPr>
        <w:t xml:space="preserve">сле в страны СНГ – 84,6% </w:t>
      </w:r>
      <w:r w:rsidRPr="00374E38">
        <w:rPr>
          <w:sz w:val="24"/>
          <w:szCs w:val="24"/>
        </w:rPr>
        <w:t>(</w:t>
      </w:r>
      <w:r>
        <w:rPr>
          <w:sz w:val="24"/>
          <w:szCs w:val="24"/>
        </w:rPr>
        <w:t>23,1</w:t>
      </w:r>
      <w:r w:rsidRPr="00374E38">
        <w:rPr>
          <w:sz w:val="24"/>
          <w:szCs w:val="24"/>
        </w:rPr>
        <w:t xml:space="preserve"> млн долл.).</w:t>
      </w:r>
    </w:p>
    <w:p w:rsidR="00C20988" w:rsidRDefault="00C20988" w:rsidP="00A03642">
      <w:pPr>
        <w:widowControl w:val="0"/>
        <w:ind w:firstLine="425"/>
        <w:jc w:val="both"/>
        <w:rPr>
          <w:sz w:val="24"/>
          <w:szCs w:val="24"/>
        </w:rPr>
      </w:pPr>
      <w:r w:rsidRPr="00374E38">
        <w:rPr>
          <w:sz w:val="24"/>
          <w:szCs w:val="24"/>
        </w:rPr>
        <w:t xml:space="preserve">Сальдо финансового счёта платёжного баланса за </w:t>
      </w:r>
      <w:r>
        <w:rPr>
          <w:sz w:val="24"/>
          <w:szCs w:val="24"/>
        </w:rPr>
        <w:t>2018 год</w:t>
      </w:r>
      <w:r w:rsidRPr="00374E38">
        <w:rPr>
          <w:sz w:val="24"/>
          <w:szCs w:val="24"/>
        </w:rPr>
        <w:t xml:space="preserve"> сформировалось отрицательным в размере </w:t>
      </w:r>
      <w:r>
        <w:rPr>
          <w:sz w:val="24"/>
          <w:szCs w:val="24"/>
        </w:rPr>
        <w:t>-350,4</w:t>
      </w:r>
      <w:r w:rsidRPr="00374E38">
        <w:rPr>
          <w:sz w:val="24"/>
          <w:szCs w:val="24"/>
        </w:rPr>
        <w:t xml:space="preserve"> млн долл. (в 2017 год</w:t>
      </w:r>
      <w:r>
        <w:rPr>
          <w:sz w:val="24"/>
          <w:szCs w:val="24"/>
        </w:rPr>
        <w:t>у</w:t>
      </w:r>
      <w:r w:rsidRPr="00374E38">
        <w:rPr>
          <w:sz w:val="24"/>
          <w:szCs w:val="24"/>
        </w:rPr>
        <w:t xml:space="preserve"> – </w:t>
      </w:r>
      <w:r>
        <w:rPr>
          <w:sz w:val="24"/>
          <w:szCs w:val="24"/>
        </w:rPr>
        <w:t>-276,2</w:t>
      </w:r>
      <w:r w:rsidRPr="00374E38">
        <w:rPr>
          <w:sz w:val="24"/>
          <w:szCs w:val="24"/>
        </w:rPr>
        <w:t xml:space="preserve"> млн долл.), что стало результатом более </w:t>
      </w:r>
      <w:r w:rsidRPr="00E169C5">
        <w:rPr>
          <w:sz w:val="24"/>
          <w:szCs w:val="24"/>
        </w:rPr>
        <w:t>значительного роста внешних</w:t>
      </w:r>
      <w:r w:rsidRPr="00374E38">
        <w:rPr>
          <w:sz w:val="24"/>
          <w:szCs w:val="24"/>
        </w:rPr>
        <w:t xml:space="preserve"> обязательств резидентов Приднестровской Молдавской Республики перед нерезидентами (на </w:t>
      </w:r>
      <w:r>
        <w:rPr>
          <w:sz w:val="24"/>
          <w:szCs w:val="24"/>
        </w:rPr>
        <w:t>406,7</w:t>
      </w:r>
      <w:r w:rsidRPr="00374E38">
        <w:rPr>
          <w:sz w:val="24"/>
          <w:szCs w:val="24"/>
        </w:rPr>
        <w:t xml:space="preserve"> млн долл.) по сравнению с </w:t>
      </w:r>
      <w:r>
        <w:rPr>
          <w:sz w:val="24"/>
          <w:szCs w:val="24"/>
        </w:rPr>
        <w:t>увеличением</w:t>
      </w:r>
      <w:r w:rsidRPr="00374E38">
        <w:rPr>
          <w:sz w:val="24"/>
          <w:szCs w:val="24"/>
        </w:rPr>
        <w:t xml:space="preserve"> их иностранных активов (на </w:t>
      </w:r>
      <w:r>
        <w:rPr>
          <w:sz w:val="24"/>
          <w:szCs w:val="24"/>
        </w:rPr>
        <w:t>56,3</w:t>
      </w:r>
      <w:r w:rsidRPr="00374E38">
        <w:rPr>
          <w:sz w:val="24"/>
          <w:szCs w:val="24"/>
        </w:rPr>
        <w:t xml:space="preserve"> млн долл.). Таким образом, по итогам </w:t>
      </w:r>
      <w:r>
        <w:rPr>
          <w:sz w:val="24"/>
          <w:szCs w:val="24"/>
        </w:rPr>
        <w:t>отчётного</w:t>
      </w:r>
      <w:r w:rsidRPr="00374E38">
        <w:rPr>
          <w:sz w:val="24"/>
          <w:szCs w:val="24"/>
        </w:rPr>
        <w:t xml:space="preserve"> года экономика республики явилась «чистым заёмщиком» финансовых средств у резидентов остального мира. При этом</w:t>
      </w:r>
      <w:r>
        <w:rPr>
          <w:sz w:val="24"/>
          <w:szCs w:val="24"/>
        </w:rPr>
        <w:t xml:space="preserve"> основными</w:t>
      </w:r>
      <w:r w:rsidRPr="00374E38">
        <w:rPr>
          <w:sz w:val="24"/>
          <w:szCs w:val="24"/>
        </w:rPr>
        <w:t xml:space="preserve"> кредиторами приднестровской экономики выступали контрагенты из стран СНГ, предоставившие на чистой основе </w:t>
      </w:r>
      <w:r>
        <w:rPr>
          <w:sz w:val="24"/>
          <w:szCs w:val="24"/>
        </w:rPr>
        <w:t xml:space="preserve">326,9 млн долл. </w:t>
      </w:r>
    </w:p>
    <w:p w:rsidR="00C20988" w:rsidRPr="00374E38" w:rsidRDefault="00C20988" w:rsidP="00A03642">
      <w:pPr>
        <w:widowControl w:val="0"/>
        <w:ind w:firstLine="425"/>
        <w:jc w:val="both"/>
        <w:rPr>
          <w:sz w:val="24"/>
          <w:szCs w:val="24"/>
        </w:rPr>
      </w:pPr>
      <w:r w:rsidRPr="00D23FEE">
        <w:rPr>
          <w:sz w:val="24"/>
          <w:szCs w:val="24"/>
        </w:rPr>
        <w:t xml:space="preserve">Сальдо по операциям с прямыми инвестициями сложилось положительным в размере </w:t>
      </w:r>
      <w:r w:rsidRPr="00D23FEE">
        <w:rPr>
          <w:sz w:val="24"/>
          <w:szCs w:val="24"/>
        </w:rPr>
        <w:br/>
        <w:t xml:space="preserve">+1,6 млн долл. против +14,4 млн долл. годом ранее. </w:t>
      </w:r>
      <w:r w:rsidRPr="00374E38">
        <w:rPr>
          <w:sz w:val="24"/>
          <w:szCs w:val="24"/>
        </w:rPr>
        <w:t>Внешнеэкономические операции с портфельными инвестициями в 2018 год</w:t>
      </w:r>
      <w:r>
        <w:rPr>
          <w:sz w:val="24"/>
          <w:szCs w:val="24"/>
        </w:rPr>
        <w:t>у</w:t>
      </w:r>
      <w:r w:rsidRPr="00374E38">
        <w:rPr>
          <w:sz w:val="24"/>
          <w:szCs w:val="24"/>
        </w:rPr>
        <w:t xml:space="preserve"> не осуществлялись.</w:t>
      </w:r>
    </w:p>
    <w:p w:rsidR="00C20988" w:rsidRPr="00374E38" w:rsidRDefault="00C20988" w:rsidP="00715F41">
      <w:pPr>
        <w:widowControl w:val="0"/>
        <w:ind w:firstLine="425"/>
        <w:jc w:val="both"/>
        <w:rPr>
          <w:sz w:val="24"/>
          <w:szCs w:val="24"/>
        </w:rPr>
      </w:pPr>
      <w:r w:rsidRPr="00374E38">
        <w:rPr>
          <w:sz w:val="24"/>
          <w:szCs w:val="24"/>
        </w:rPr>
        <w:t xml:space="preserve">Сделки, проведённые </w:t>
      </w:r>
      <w:r>
        <w:rPr>
          <w:sz w:val="24"/>
          <w:szCs w:val="24"/>
        </w:rPr>
        <w:t xml:space="preserve">экономическими агентами Приднестровья </w:t>
      </w:r>
      <w:r w:rsidRPr="00374E38">
        <w:rPr>
          <w:sz w:val="24"/>
          <w:szCs w:val="24"/>
        </w:rPr>
        <w:t>с наличной валютой, депозитами, кредитами и займами, торговыми кредитами и авансами</w:t>
      </w:r>
      <w:r>
        <w:rPr>
          <w:sz w:val="24"/>
          <w:szCs w:val="24"/>
        </w:rPr>
        <w:t>,</w:t>
      </w:r>
      <w:r w:rsidRPr="00374E38">
        <w:rPr>
          <w:sz w:val="24"/>
          <w:szCs w:val="24"/>
        </w:rPr>
        <w:t xml:space="preserve"> обусловили чистое заимствование средств у остального мира в объёме </w:t>
      </w:r>
      <w:r>
        <w:rPr>
          <w:sz w:val="24"/>
          <w:szCs w:val="24"/>
        </w:rPr>
        <w:t>353,8</w:t>
      </w:r>
      <w:r w:rsidRPr="00374E38">
        <w:rPr>
          <w:sz w:val="24"/>
          <w:szCs w:val="24"/>
        </w:rPr>
        <w:t xml:space="preserve"> млн долл., что </w:t>
      </w:r>
      <w:r>
        <w:rPr>
          <w:sz w:val="24"/>
          <w:szCs w:val="24"/>
        </w:rPr>
        <w:t>на 16,5</w:t>
      </w:r>
      <w:r w:rsidRPr="00374E38">
        <w:rPr>
          <w:sz w:val="24"/>
          <w:szCs w:val="24"/>
        </w:rPr>
        <w:t xml:space="preserve">% превышает показатель предыдущего года. Иностранные обязательства резидентов возросли на </w:t>
      </w:r>
      <w:r>
        <w:rPr>
          <w:sz w:val="24"/>
          <w:szCs w:val="24"/>
        </w:rPr>
        <w:br/>
        <w:t>405,8</w:t>
      </w:r>
      <w:r w:rsidRPr="00374E38">
        <w:rPr>
          <w:sz w:val="24"/>
          <w:szCs w:val="24"/>
        </w:rPr>
        <w:t xml:space="preserve"> млн долл., финансовые активы – на </w:t>
      </w:r>
      <w:r>
        <w:rPr>
          <w:sz w:val="24"/>
          <w:szCs w:val="24"/>
        </w:rPr>
        <w:t>52,0</w:t>
      </w:r>
      <w:r w:rsidRPr="00374E38">
        <w:rPr>
          <w:sz w:val="24"/>
          <w:szCs w:val="24"/>
        </w:rPr>
        <w:t xml:space="preserve"> млн долл. </w:t>
      </w:r>
    </w:p>
    <w:p w:rsidR="00C20988" w:rsidRPr="00374E38" w:rsidRDefault="00C20988" w:rsidP="00715F41">
      <w:pPr>
        <w:autoSpaceDE w:val="0"/>
        <w:autoSpaceDN w:val="0"/>
        <w:adjustRightInd w:val="0"/>
        <w:ind w:firstLine="425"/>
        <w:jc w:val="both"/>
        <w:rPr>
          <w:sz w:val="24"/>
          <w:szCs w:val="24"/>
        </w:rPr>
      </w:pPr>
      <w:r>
        <w:rPr>
          <w:sz w:val="24"/>
          <w:szCs w:val="24"/>
        </w:rPr>
        <w:t>Валютные активы</w:t>
      </w:r>
      <w:r w:rsidRPr="00374E38">
        <w:rPr>
          <w:sz w:val="24"/>
          <w:szCs w:val="24"/>
        </w:rPr>
        <w:t xml:space="preserve"> </w:t>
      </w:r>
      <w:r>
        <w:rPr>
          <w:sz w:val="24"/>
          <w:szCs w:val="24"/>
        </w:rPr>
        <w:t xml:space="preserve">центрального банка </w:t>
      </w:r>
      <w:r w:rsidRPr="00374E38">
        <w:rPr>
          <w:sz w:val="24"/>
          <w:szCs w:val="24"/>
        </w:rPr>
        <w:t xml:space="preserve">за 2018 год </w:t>
      </w:r>
      <w:r>
        <w:rPr>
          <w:sz w:val="24"/>
          <w:szCs w:val="24"/>
        </w:rPr>
        <w:t>увеличились</w:t>
      </w:r>
      <w:r w:rsidRPr="00374E38">
        <w:rPr>
          <w:sz w:val="24"/>
          <w:szCs w:val="24"/>
        </w:rPr>
        <w:t xml:space="preserve"> на </w:t>
      </w:r>
      <w:r>
        <w:rPr>
          <w:sz w:val="24"/>
          <w:szCs w:val="24"/>
        </w:rPr>
        <w:t>1,8</w:t>
      </w:r>
      <w:r w:rsidRPr="00374E38">
        <w:rPr>
          <w:sz w:val="24"/>
          <w:szCs w:val="24"/>
        </w:rPr>
        <w:t xml:space="preserve"> млн долл. (годом ранее </w:t>
      </w:r>
      <w:r>
        <w:rPr>
          <w:sz w:val="24"/>
          <w:szCs w:val="24"/>
        </w:rPr>
        <w:t xml:space="preserve">– </w:t>
      </w:r>
      <w:r w:rsidRPr="00374E38">
        <w:rPr>
          <w:sz w:val="24"/>
          <w:szCs w:val="24"/>
        </w:rPr>
        <w:t>на</w:t>
      </w:r>
      <w:r>
        <w:rPr>
          <w:sz w:val="24"/>
          <w:szCs w:val="24"/>
        </w:rPr>
        <w:t xml:space="preserve"> 13,1</w:t>
      </w:r>
      <w:r w:rsidRPr="00374E38">
        <w:rPr>
          <w:sz w:val="24"/>
          <w:szCs w:val="24"/>
        </w:rPr>
        <w:t xml:space="preserve"> млн долл.). </w:t>
      </w:r>
    </w:p>
    <w:p w:rsidR="00C20988" w:rsidRDefault="00C20988" w:rsidP="00715F41">
      <w:pPr>
        <w:pStyle w:val="Default"/>
        <w:ind w:firstLine="425"/>
        <w:jc w:val="both"/>
        <w:rPr>
          <w:color w:val="auto"/>
        </w:rPr>
      </w:pPr>
      <w:r w:rsidRPr="00374E38">
        <w:rPr>
          <w:color w:val="auto"/>
        </w:rPr>
        <w:t xml:space="preserve">Положительная величина статистических расхождений между счётом текущих операций и финансовым счётом платёжного баланса, сложившаяся на уровне </w:t>
      </w:r>
      <w:r>
        <w:rPr>
          <w:color w:val="auto"/>
        </w:rPr>
        <w:t>49,0</w:t>
      </w:r>
      <w:r w:rsidRPr="00374E38">
        <w:rPr>
          <w:color w:val="auto"/>
        </w:rPr>
        <w:t xml:space="preserve"> млн долл.</w:t>
      </w:r>
      <w:r>
        <w:rPr>
          <w:color w:val="auto"/>
        </w:rPr>
        <w:t>,</w:t>
      </w:r>
      <w:r w:rsidRPr="00D23FEE">
        <w:rPr>
          <w:color w:val="auto"/>
        </w:rPr>
        <w:t xml:space="preserve"> может свидетельствовать о наличии неохваченн</w:t>
      </w:r>
      <w:r>
        <w:rPr>
          <w:color w:val="auto"/>
        </w:rPr>
        <w:t>ого</w:t>
      </w:r>
      <w:r w:rsidRPr="00D23FEE">
        <w:rPr>
          <w:color w:val="auto"/>
        </w:rPr>
        <w:t xml:space="preserve"> статистикой </w:t>
      </w:r>
      <w:r>
        <w:rPr>
          <w:color w:val="auto"/>
        </w:rPr>
        <w:t>экспорта</w:t>
      </w:r>
      <w:r w:rsidRPr="00D23FEE">
        <w:rPr>
          <w:color w:val="auto"/>
        </w:rPr>
        <w:t xml:space="preserve"> по счёту текущих операций, а также о неучтённом притоке капитала по финансовому счёту.</w:t>
      </w:r>
    </w:p>
    <w:p w:rsidR="00C20988" w:rsidRPr="00D23FEE" w:rsidRDefault="00C20988" w:rsidP="00715F41">
      <w:pPr>
        <w:pStyle w:val="Default"/>
        <w:ind w:firstLine="425"/>
        <w:jc w:val="both"/>
        <w:rPr>
          <w:color w:val="auto"/>
        </w:rPr>
      </w:pPr>
    </w:p>
    <w:p w:rsidR="00C20988" w:rsidRPr="00210B2B" w:rsidRDefault="00C20988" w:rsidP="00715F41">
      <w:pPr>
        <w:widowControl w:val="0"/>
        <w:numPr>
          <w:ilvl w:val="1"/>
          <w:numId w:val="1"/>
        </w:numPr>
        <w:jc w:val="both"/>
        <w:rPr>
          <w:b/>
          <w:bCs/>
          <w:noProof/>
          <w:sz w:val="24"/>
          <w:szCs w:val="24"/>
        </w:rPr>
      </w:pPr>
      <w:r w:rsidRPr="00210B2B">
        <w:rPr>
          <w:b/>
          <w:bCs/>
          <w:noProof/>
          <w:sz w:val="24"/>
          <w:szCs w:val="24"/>
        </w:rPr>
        <w:t xml:space="preserve">ГОСУДАРСТВЕННЫЕ ФИНАНСЫ </w:t>
      </w:r>
    </w:p>
    <w:p w:rsidR="00C20988" w:rsidRDefault="00C20988" w:rsidP="00650E2D">
      <w:pPr>
        <w:tabs>
          <w:tab w:val="left" w:pos="3544"/>
        </w:tabs>
        <w:spacing w:before="120"/>
        <w:ind w:firstLine="425"/>
        <w:jc w:val="both"/>
        <w:rPr>
          <w:sz w:val="24"/>
          <w:szCs w:val="24"/>
        </w:rPr>
      </w:pPr>
      <w:r>
        <w:rPr>
          <w:sz w:val="24"/>
          <w:szCs w:val="24"/>
        </w:rPr>
        <w:t>В отчётном периоде ситуация в сфере государственных финансов характеризовалась ростом доходов консолидированного бюджета, что позволило своевременно и в полном объёме исполнять социальные обязательства государства, с одной стороны, а также сократить дефицит бюджета – с другой.</w:t>
      </w:r>
    </w:p>
    <w:p w:rsidR="00C20988" w:rsidRPr="00497D52" w:rsidRDefault="00C20988" w:rsidP="00650E2D">
      <w:pPr>
        <w:tabs>
          <w:tab w:val="left" w:pos="3544"/>
        </w:tabs>
        <w:ind w:firstLine="425"/>
        <w:jc w:val="both"/>
        <w:rPr>
          <w:sz w:val="24"/>
          <w:szCs w:val="24"/>
        </w:rPr>
      </w:pPr>
      <w:r w:rsidRPr="00497D52">
        <w:rPr>
          <w:sz w:val="24"/>
          <w:szCs w:val="24"/>
        </w:rPr>
        <w:t>По информации Министерства финансов ПМР, доходы консолидированного бюджета за 2018 год составили 2 981,6 млн руб., а по сопоставимым с предыдущим годом статьям</w:t>
      </w:r>
      <w:r w:rsidRPr="00497D52">
        <w:rPr>
          <w:rStyle w:val="FootnoteReference"/>
          <w:sz w:val="24"/>
          <w:szCs w:val="24"/>
        </w:rPr>
        <w:footnoteReference w:id="14"/>
      </w:r>
      <w:r w:rsidRPr="00497D52">
        <w:rPr>
          <w:sz w:val="24"/>
          <w:szCs w:val="24"/>
        </w:rPr>
        <w:t xml:space="preserve"> фактическое поступление платежей составило 2 766,5 млн руб., что на 15,5% больше, чем за 2017 год. Сложившаяся динамика была обусловлена активизацией деятельности хозяйствующих субъектов, вызвавшей рост прямых налогов с доходов на 12,7% и повышение уплаты косвенных налогов (акцизов и таможенных пошлин) в целом на 27,5%. Существенно возросли </w:t>
      </w:r>
      <w:r>
        <w:rPr>
          <w:sz w:val="24"/>
          <w:szCs w:val="24"/>
        </w:rPr>
        <w:t xml:space="preserve">и </w:t>
      </w:r>
      <w:r w:rsidRPr="00497D52">
        <w:rPr>
          <w:sz w:val="24"/>
          <w:szCs w:val="24"/>
        </w:rPr>
        <w:t>доходы целевых бюджетных фондов (в 2,5 раза, до 380,9 млн руб.).</w:t>
      </w:r>
    </w:p>
    <w:p w:rsidR="00C20988" w:rsidRPr="00FA29D5" w:rsidRDefault="00C20988" w:rsidP="00650E2D">
      <w:pPr>
        <w:tabs>
          <w:tab w:val="left" w:pos="3544"/>
        </w:tabs>
        <w:ind w:firstLine="425"/>
        <w:jc w:val="both"/>
        <w:rPr>
          <w:sz w:val="24"/>
          <w:szCs w:val="24"/>
        </w:rPr>
      </w:pPr>
      <w:r w:rsidRPr="00497D52">
        <w:rPr>
          <w:sz w:val="24"/>
          <w:szCs w:val="24"/>
        </w:rPr>
        <w:t>Поступления в республиканский бюджет составили 1 997,2 млн руб., а в сопоставимой оценке</w:t>
      </w:r>
      <w:r w:rsidRPr="00497D52">
        <w:rPr>
          <w:sz w:val="24"/>
          <w:szCs w:val="24"/>
          <w:vertAlign w:val="superscript"/>
        </w:rPr>
        <w:t>14</w:t>
      </w:r>
      <w:r w:rsidRPr="00497D52">
        <w:rPr>
          <w:sz w:val="24"/>
          <w:szCs w:val="24"/>
        </w:rPr>
        <w:t xml:space="preserve"> – 1 782,1 млн руб., что на 239,1 млн руб. (+15,5%) больше уровня 2017 года. Основными статьями, определившими динамику и величину данных зачислений, стали налог</w:t>
      </w:r>
      <w:r>
        <w:rPr>
          <w:sz w:val="24"/>
          <w:szCs w:val="24"/>
        </w:rPr>
        <w:t xml:space="preserve"> на доходы организаций, акцизы и таможенные пошлины, в сумме </w:t>
      </w:r>
      <w:r w:rsidRPr="00014034">
        <w:rPr>
          <w:sz w:val="24"/>
          <w:szCs w:val="24"/>
          <w:shd w:val="clear" w:color="auto" w:fill="F0F0F0"/>
        </w:rPr>
        <w:t xml:space="preserve">составившие </w:t>
      </w:r>
      <w:r>
        <w:rPr>
          <w:sz w:val="24"/>
          <w:szCs w:val="24"/>
          <w:shd w:val="clear" w:color="auto" w:fill="F0F0F0"/>
        </w:rPr>
        <w:t>более 65</w:t>
      </w:r>
      <w:r w:rsidRPr="00014034">
        <w:rPr>
          <w:sz w:val="24"/>
          <w:szCs w:val="24"/>
          <w:shd w:val="clear" w:color="auto" w:fill="F0F0F0"/>
        </w:rPr>
        <w:t>% совокупного</w:t>
      </w:r>
      <w:r>
        <w:rPr>
          <w:sz w:val="24"/>
          <w:szCs w:val="24"/>
        </w:rPr>
        <w:t xml:space="preserve"> показателя. В территориальных бюджетах было аккумулировано 984,4 млн руб</w:t>
      </w:r>
      <w:r w:rsidRPr="00AC50E2">
        <w:rPr>
          <w:sz w:val="24"/>
          <w:szCs w:val="24"/>
          <w:shd w:val="clear" w:color="auto" w:fill="F0F0F0"/>
        </w:rPr>
        <w:t>. (+15,6%).</w:t>
      </w:r>
      <w:r>
        <w:rPr>
          <w:sz w:val="24"/>
          <w:szCs w:val="24"/>
        </w:rPr>
        <w:t xml:space="preserve"> </w:t>
      </w:r>
      <w:r w:rsidRPr="00FA29D5">
        <w:rPr>
          <w:sz w:val="24"/>
          <w:szCs w:val="24"/>
        </w:rPr>
        <w:t>Около трети совокупных поступлений в местные бюджеты обеспечивались перечислениями налога на доходы организаций, 39,0% –</w:t>
      </w:r>
      <w:r>
        <w:rPr>
          <w:sz w:val="24"/>
          <w:szCs w:val="24"/>
        </w:rPr>
        <w:t xml:space="preserve"> </w:t>
      </w:r>
      <w:r w:rsidRPr="00FA29D5">
        <w:rPr>
          <w:sz w:val="24"/>
          <w:szCs w:val="24"/>
        </w:rPr>
        <w:t>подоходного налога.</w:t>
      </w:r>
    </w:p>
    <w:p w:rsidR="00C20988" w:rsidRDefault="00C20988" w:rsidP="00947822">
      <w:pPr>
        <w:ind w:firstLine="425"/>
        <w:jc w:val="both"/>
        <w:rPr>
          <w:sz w:val="24"/>
          <w:szCs w:val="24"/>
        </w:rPr>
      </w:pPr>
      <w:r>
        <w:rPr>
          <w:sz w:val="24"/>
          <w:szCs w:val="24"/>
        </w:rPr>
        <w:t xml:space="preserve">На фоне увеличения объёмов производства и реализации продукции (работ, услуг) совокупная сумма уплаченного организациями налога на доходы стала максимальной в ряду сопоставимых значений – 801,9 млн руб. (+9,4% к уровню предыдущего года). </w:t>
      </w:r>
    </w:p>
    <w:p w:rsidR="00C20988" w:rsidRDefault="00C20988" w:rsidP="006515BD">
      <w:pPr>
        <w:autoSpaceDE w:val="0"/>
        <w:autoSpaceDN w:val="0"/>
        <w:adjustRightInd w:val="0"/>
        <w:ind w:firstLine="397"/>
        <w:jc w:val="both"/>
        <w:rPr>
          <w:sz w:val="24"/>
          <w:szCs w:val="24"/>
        </w:rPr>
      </w:pPr>
      <w:r w:rsidRPr="006515BD">
        <w:rPr>
          <w:sz w:val="24"/>
          <w:szCs w:val="24"/>
        </w:rPr>
        <w:t xml:space="preserve">Вследствие существенного роста (в 1,8 раза, до 239,1 млн руб.) акциза на импортируемые товары совокупная величина акцизных поступлений в бюджет увеличилась на 58,1%, до </w:t>
      </w:r>
      <w:r w:rsidRPr="006515BD">
        <w:rPr>
          <w:sz w:val="24"/>
          <w:szCs w:val="24"/>
        </w:rPr>
        <w:br/>
        <w:t>301,4 млн руб.</w:t>
      </w:r>
      <w:r>
        <w:rPr>
          <w:sz w:val="24"/>
          <w:szCs w:val="24"/>
        </w:rPr>
        <w:t>,</w:t>
      </w:r>
      <w:r w:rsidRPr="006515BD">
        <w:rPr>
          <w:sz w:val="24"/>
          <w:szCs w:val="24"/>
        </w:rPr>
        <w:t xml:space="preserve"> </w:t>
      </w:r>
      <w:r>
        <w:rPr>
          <w:sz w:val="24"/>
          <w:szCs w:val="24"/>
        </w:rPr>
        <w:t xml:space="preserve">что является максимальной величиной в сравнении со значениями предыдущих лет. </w:t>
      </w:r>
      <w:r w:rsidRPr="006515BD">
        <w:rPr>
          <w:sz w:val="24"/>
          <w:szCs w:val="24"/>
        </w:rPr>
        <w:t>Динамика поступлений акцизов на производимую и реализуемую на внутреннем рынке продукцию также была повышательной – на 9,4%, до 56,3 млн руб. Налог, взимаемый при реализации на территории республики отдельных видов подакцизной продукции (газ, реализуемый в качестве автомобильного топлива), превзошёл базисную отметку на 26,6%, составив 6,1 млн руб.</w:t>
      </w:r>
    </w:p>
    <w:p w:rsidR="00C20988" w:rsidRDefault="00C20988" w:rsidP="006515BD">
      <w:pPr>
        <w:ind w:firstLine="425"/>
        <w:jc w:val="both"/>
        <w:rPr>
          <w:sz w:val="24"/>
          <w:szCs w:val="24"/>
        </w:rPr>
      </w:pPr>
      <w:r w:rsidRPr="006515BD">
        <w:rPr>
          <w:sz w:val="24"/>
          <w:szCs w:val="24"/>
        </w:rPr>
        <w:t xml:space="preserve">По статье «налоги на внешнюю торговлю и внешние операции» было зачислено средств в сумме 207,0 млн руб., что на 39,3% ниже базисного значения. На динамике </w:t>
      </w:r>
      <w:r>
        <w:rPr>
          <w:sz w:val="24"/>
          <w:szCs w:val="24"/>
        </w:rPr>
        <w:t xml:space="preserve">показателя </w:t>
      </w:r>
      <w:r w:rsidRPr="006515BD">
        <w:rPr>
          <w:sz w:val="24"/>
          <w:szCs w:val="24"/>
        </w:rPr>
        <w:t xml:space="preserve">отразились изменения, связанные с перечислением части таможенных пошлин в созданный в 2018 году Фонд капитальных вложений. С учётом этих сумм ввозные таможенные пошлины поступили в бюджет в объёме 349,1 млн руб., что на 3,9%, или на 13,1 млн руб., больше, чем годом ранее. Экспортные таможенные пошлины были перечислены в размере 7,9 млн руб. (рост в 1,6 раза, или на 2,9 млн руб.). </w:t>
      </w:r>
    </w:p>
    <w:p w:rsidR="00C20988" w:rsidRDefault="00C20988" w:rsidP="00947822">
      <w:pPr>
        <w:ind w:firstLine="425"/>
        <w:jc w:val="both"/>
        <w:rPr>
          <w:sz w:val="24"/>
          <w:szCs w:val="24"/>
        </w:rPr>
      </w:pPr>
      <w:r>
        <w:rPr>
          <w:sz w:val="24"/>
          <w:szCs w:val="24"/>
        </w:rPr>
        <w:t xml:space="preserve">Зачисления местных налогов и сборов возросли на 15,2%, до 54,6 млн руб. </w:t>
      </w:r>
    </w:p>
    <w:p w:rsidR="00C20988" w:rsidRPr="00662C95" w:rsidRDefault="00C20988" w:rsidP="003C03C9">
      <w:pPr>
        <w:ind w:firstLine="425"/>
        <w:jc w:val="both"/>
        <w:rPr>
          <w:sz w:val="24"/>
          <w:szCs w:val="24"/>
        </w:rPr>
      </w:pPr>
      <w:r w:rsidRPr="00662C95">
        <w:rPr>
          <w:sz w:val="24"/>
          <w:szCs w:val="24"/>
        </w:rPr>
        <w:t xml:space="preserve">Неналоговые поступления составили 109,7 млн руб., при этом по сопоставимым с предыдущим годом структурным позициям они сложились на уровне 84,7 млн руб., что на 4,8% больше, чем в 2017 году. По данной статье отмечалось превышение базисных показателей по платежам государственных и муниципальных организаций в 1,8 раза, до </w:t>
      </w:r>
      <w:r w:rsidRPr="00662C95">
        <w:rPr>
          <w:sz w:val="24"/>
          <w:szCs w:val="24"/>
        </w:rPr>
        <w:br/>
        <w:t xml:space="preserve">14,9 млн руб., по поступлениям, связанным с погашением налоговых и иных видов кредитов – в 1,7 раза, до 8,6 млн руб., а также от приватизации объектов – в 2,5 раза, до 4,5 млн руб. По доходам от сдачи в аренду государственного и муниципального имущества, административным сборам, штрафным и финансовым санкциям наблюдалась понижательная динамика на 27,4% в совокупности. </w:t>
      </w:r>
    </w:p>
    <w:p w:rsidR="00C20988" w:rsidRPr="00662C95" w:rsidRDefault="00C20988" w:rsidP="003C03C9">
      <w:pPr>
        <w:ind w:firstLine="425"/>
        <w:jc w:val="both"/>
        <w:rPr>
          <w:sz w:val="24"/>
          <w:szCs w:val="24"/>
        </w:rPr>
      </w:pPr>
      <w:r w:rsidRPr="00662C95">
        <w:rPr>
          <w:sz w:val="24"/>
          <w:szCs w:val="24"/>
        </w:rPr>
        <w:t xml:space="preserve">Доходы целевых бюджетных фондов за счёт создания в 2018 году Фонда капитальных вложений выросли в 2,0 раза, до 526,6 млн руб. Ресурсная база Фонда капитальных вложений, источниками формирования которого стали отчисления от ввозной таможенной пошлины и </w:t>
      </w:r>
      <w:r w:rsidRPr="00662C95">
        <w:rPr>
          <w:sz w:val="24"/>
          <w:szCs w:val="24"/>
        </w:rPr>
        <w:softHyphen/>
      </w:r>
      <w:r w:rsidRPr="00662C95">
        <w:rPr>
          <w:sz w:val="24"/>
          <w:szCs w:val="24"/>
        </w:rPr>
        <w:softHyphen/>
        <w:t xml:space="preserve">единого социального налога, составила 197,3 млн руб. В Дорожном фонде было аккумулировано 188,8 млн руб. (+32,3% к базисному значению). Доходы Экологического фонда составили 20,1 млн руб., что выше базисного значения на 22,1%. Платежи в Государственный целевой фонд таможенных органов ПМР поступили в размере </w:t>
      </w:r>
      <w:r w:rsidRPr="00662C95">
        <w:rPr>
          <w:sz w:val="24"/>
          <w:szCs w:val="24"/>
        </w:rPr>
        <w:br/>
        <w:t xml:space="preserve">69,9 млн руб. (+31,5%). В фонд по обеспечению государственных гарантий по расчётам с гражданами, имеющими право на земельную долю (пай), аграриями было уплачено </w:t>
      </w:r>
      <w:r w:rsidRPr="00662C95">
        <w:rPr>
          <w:sz w:val="24"/>
          <w:szCs w:val="24"/>
        </w:rPr>
        <w:br/>
        <w:t>46,6 млн руб. (+2,1%).</w:t>
      </w:r>
    </w:p>
    <w:p w:rsidR="00C20988" w:rsidRPr="00662C95" w:rsidRDefault="00C20988" w:rsidP="003C03C9">
      <w:pPr>
        <w:ind w:firstLine="425"/>
        <w:jc w:val="both"/>
        <w:rPr>
          <w:sz w:val="24"/>
          <w:szCs w:val="24"/>
        </w:rPr>
      </w:pPr>
      <w:r w:rsidRPr="00662C95">
        <w:rPr>
          <w:sz w:val="24"/>
          <w:szCs w:val="24"/>
        </w:rPr>
        <w:t xml:space="preserve">Поступления от оказания платных услуг и иной приносящей доход деятельности, зачисляемые на специальные бюджетные счета, возросли на 5,8%, сложившись в сумме </w:t>
      </w:r>
      <w:r w:rsidRPr="00662C95">
        <w:rPr>
          <w:sz w:val="24"/>
          <w:szCs w:val="24"/>
        </w:rPr>
        <w:br/>
        <w:t xml:space="preserve">219,1 млн руб. </w:t>
      </w:r>
    </w:p>
    <w:p w:rsidR="00C20988" w:rsidRPr="000467E0" w:rsidRDefault="00C20988" w:rsidP="000467E0">
      <w:pPr>
        <w:pStyle w:val="BodyText"/>
        <w:spacing w:before="0" w:after="0"/>
        <w:ind w:firstLine="425"/>
        <w:rPr>
          <w:rFonts w:ascii="Times New Roman" w:hAnsi="Times New Roman" w:cs="Times New Roman"/>
          <w:sz w:val="24"/>
          <w:szCs w:val="24"/>
        </w:rPr>
      </w:pPr>
      <w:r w:rsidRPr="00662C95">
        <w:rPr>
          <w:rFonts w:ascii="Times New Roman" w:hAnsi="Times New Roman" w:cs="Times New Roman"/>
          <w:sz w:val="24"/>
          <w:szCs w:val="24"/>
        </w:rPr>
        <w:t xml:space="preserve">Безвозмездные перечисления пополнили республиканский бюджет на сумму </w:t>
      </w:r>
      <w:r w:rsidRPr="00662C95">
        <w:rPr>
          <w:rFonts w:ascii="Times New Roman" w:hAnsi="Times New Roman" w:cs="Times New Roman"/>
          <w:sz w:val="24"/>
          <w:szCs w:val="24"/>
        </w:rPr>
        <w:br/>
        <w:t>66,2 млн руб. (29,3 млн руб. в 2017 году).</w:t>
      </w:r>
    </w:p>
    <w:p w:rsidR="00C20988" w:rsidRPr="000214CD" w:rsidRDefault="00C20988" w:rsidP="000467E0">
      <w:pPr>
        <w:pStyle w:val="BodyText"/>
        <w:spacing w:before="0" w:after="0"/>
        <w:ind w:firstLine="425"/>
        <w:rPr>
          <w:rFonts w:ascii="Times New Roman" w:hAnsi="Times New Roman" w:cs="Times New Roman"/>
          <w:sz w:val="24"/>
          <w:szCs w:val="24"/>
        </w:rPr>
      </w:pPr>
      <w:r>
        <w:rPr>
          <w:rFonts w:ascii="Times New Roman" w:hAnsi="Times New Roman" w:cs="Times New Roman"/>
          <w:sz w:val="24"/>
          <w:szCs w:val="24"/>
        </w:rPr>
        <w:t>Р</w:t>
      </w:r>
      <w:r w:rsidRPr="00242451">
        <w:rPr>
          <w:rFonts w:ascii="Times New Roman" w:hAnsi="Times New Roman" w:cs="Times New Roman"/>
          <w:sz w:val="24"/>
          <w:szCs w:val="24"/>
        </w:rPr>
        <w:t>асход</w:t>
      </w:r>
      <w:r>
        <w:rPr>
          <w:rFonts w:ascii="Times New Roman" w:hAnsi="Times New Roman" w:cs="Times New Roman"/>
          <w:sz w:val="24"/>
          <w:szCs w:val="24"/>
        </w:rPr>
        <w:t>ы</w:t>
      </w:r>
      <w:r w:rsidRPr="00751E90">
        <w:rPr>
          <w:rFonts w:ascii="Times New Roman" w:hAnsi="Times New Roman" w:cs="Times New Roman"/>
          <w:sz w:val="24"/>
          <w:szCs w:val="24"/>
        </w:rPr>
        <w:t xml:space="preserve"> </w:t>
      </w:r>
      <w:r w:rsidRPr="00242451">
        <w:rPr>
          <w:rFonts w:ascii="Times New Roman" w:hAnsi="Times New Roman" w:cs="Times New Roman"/>
          <w:sz w:val="24"/>
          <w:szCs w:val="24"/>
        </w:rPr>
        <w:t>консолидированно</w:t>
      </w:r>
      <w:r>
        <w:rPr>
          <w:rFonts w:ascii="Times New Roman" w:hAnsi="Times New Roman" w:cs="Times New Roman"/>
          <w:sz w:val="24"/>
          <w:szCs w:val="24"/>
        </w:rPr>
        <w:t>го</w:t>
      </w:r>
      <w:r w:rsidRPr="00242451">
        <w:rPr>
          <w:rFonts w:ascii="Times New Roman" w:hAnsi="Times New Roman" w:cs="Times New Roman"/>
          <w:sz w:val="24"/>
          <w:szCs w:val="24"/>
        </w:rPr>
        <w:t xml:space="preserve"> бюджет</w:t>
      </w:r>
      <w:r>
        <w:rPr>
          <w:rFonts w:ascii="Times New Roman" w:hAnsi="Times New Roman" w:cs="Times New Roman"/>
          <w:sz w:val="24"/>
          <w:szCs w:val="24"/>
        </w:rPr>
        <w:t>а</w:t>
      </w:r>
      <w:r w:rsidRPr="00242451">
        <w:rPr>
          <w:rFonts w:ascii="Times New Roman" w:hAnsi="Times New Roman" w:cs="Times New Roman"/>
          <w:sz w:val="24"/>
          <w:szCs w:val="24"/>
        </w:rPr>
        <w:t xml:space="preserve"> </w:t>
      </w:r>
      <w:r>
        <w:rPr>
          <w:rFonts w:ascii="Times New Roman" w:hAnsi="Times New Roman" w:cs="Times New Roman"/>
          <w:sz w:val="24"/>
          <w:szCs w:val="24"/>
        </w:rPr>
        <w:t>за 2018 год</w:t>
      </w:r>
      <w:r w:rsidRPr="00242451">
        <w:rPr>
          <w:rFonts w:ascii="Times New Roman" w:hAnsi="Times New Roman" w:cs="Times New Roman"/>
          <w:sz w:val="24"/>
          <w:szCs w:val="24"/>
        </w:rPr>
        <w:t xml:space="preserve"> </w:t>
      </w:r>
      <w:r w:rsidRPr="009632F7">
        <w:rPr>
          <w:rFonts w:ascii="Times New Roman" w:hAnsi="Times New Roman" w:cs="Times New Roman"/>
          <w:sz w:val="24"/>
          <w:szCs w:val="24"/>
        </w:rPr>
        <w:t>сократились на 3,4%, до</w:t>
      </w:r>
      <w:r w:rsidRPr="00242451">
        <w:rPr>
          <w:rFonts w:ascii="Times New Roman" w:hAnsi="Times New Roman" w:cs="Times New Roman"/>
          <w:sz w:val="24"/>
          <w:szCs w:val="24"/>
        </w:rPr>
        <w:t xml:space="preserve"> </w:t>
      </w:r>
      <w:r>
        <w:rPr>
          <w:rFonts w:ascii="Times New Roman" w:hAnsi="Times New Roman" w:cs="Times New Roman"/>
          <w:sz w:val="24"/>
          <w:szCs w:val="24"/>
        </w:rPr>
        <w:br/>
      </w:r>
      <w:r w:rsidRPr="00497D52">
        <w:rPr>
          <w:rFonts w:ascii="Times New Roman" w:hAnsi="Times New Roman" w:cs="Times New Roman"/>
          <w:sz w:val="24"/>
          <w:szCs w:val="24"/>
        </w:rPr>
        <w:t>4 185,5 млн руб. При этом за счёт средств республиканского бюджета профинансированы расходы в сумме 2 923,9 млн руб., что на 6,7% меньше показателя 2017 года. В то же время по сопоставимым показателям</w:t>
      </w:r>
      <w:r w:rsidRPr="00497D52">
        <w:rPr>
          <w:rFonts w:ascii="Times New Roman" w:hAnsi="Times New Roman" w:cs="Times New Roman"/>
          <w:sz w:val="24"/>
          <w:szCs w:val="24"/>
          <w:vertAlign w:val="superscript"/>
        </w:rPr>
        <w:t>14</w:t>
      </w:r>
      <w:r w:rsidRPr="00497D52">
        <w:rPr>
          <w:rFonts w:ascii="Times New Roman" w:hAnsi="Times New Roman" w:cs="Times New Roman"/>
          <w:sz w:val="24"/>
          <w:szCs w:val="24"/>
        </w:rPr>
        <w:t xml:space="preserve"> прирост расходной части республиканского бюджета в отчётном году сложился на уровне 15,6%. Финансирование потребностей городов и районов расширилось на 5,4%, до 1 261,6 млн руб.</w:t>
      </w:r>
    </w:p>
    <w:p w:rsidR="00C20988" w:rsidRPr="000214CD" w:rsidRDefault="00C20988" w:rsidP="000214CD">
      <w:pPr>
        <w:ind w:firstLine="425"/>
        <w:jc w:val="both"/>
        <w:rPr>
          <w:sz w:val="24"/>
          <w:szCs w:val="24"/>
        </w:rPr>
      </w:pPr>
      <w:r w:rsidRPr="000214CD">
        <w:rPr>
          <w:sz w:val="24"/>
          <w:szCs w:val="24"/>
        </w:rPr>
        <w:t>При реализации бюджетной политики сохранялся приоритет исполнения социально</w:t>
      </w:r>
      <w:r>
        <w:rPr>
          <w:sz w:val="24"/>
          <w:szCs w:val="24"/>
        </w:rPr>
        <w:t xml:space="preserve"> </w:t>
      </w:r>
      <w:r w:rsidRPr="000214CD">
        <w:rPr>
          <w:sz w:val="24"/>
          <w:szCs w:val="24"/>
        </w:rPr>
        <w:t>защищённых статей – в целом из средств бюджета на зарплаты, пенсии, пособия и иные выплаты было направлено 3 010,2 млн</w:t>
      </w:r>
      <w:r w:rsidRPr="000214CD">
        <w:rPr>
          <w:iCs/>
          <w:sz w:val="24"/>
          <w:szCs w:val="24"/>
        </w:rPr>
        <w:t xml:space="preserve"> руб.</w:t>
      </w:r>
      <w:r w:rsidRPr="000214CD">
        <w:rPr>
          <w:rStyle w:val="FootnoteReference"/>
          <w:sz w:val="24"/>
          <w:szCs w:val="24"/>
        </w:rPr>
        <w:footnoteReference w:id="15"/>
      </w:r>
      <w:r>
        <w:rPr>
          <w:sz w:val="24"/>
          <w:szCs w:val="24"/>
        </w:rPr>
        <w:t xml:space="preserve">, </w:t>
      </w:r>
      <w:r w:rsidRPr="000214CD">
        <w:rPr>
          <w:sz w:val="24"/>
          <w:szCs w:val="24"/>
        </w:rPr>
        <w:t>что практически соответствует базисн</w:t>
      </w:r>
      <w:r>
        <w:rPr>
          <w:sz w:val="24"/>
          <w:szCs w:val="24"/>
        </w:rPr>
        <w:t>о</w:t>
      </w:r>
      <w:r w:rsidRPr="000214CD">
        <w:rPr>
          <w:sz w:val="24"/>
          <w:szCs w:val="24"/>
        </w:rPr>
        <w:t>м</w:t>
      </w:r>
      <w:r>
        <w:rPr>
          <w:sz w:val="24"/>
          <w:szCs w:val="24"/>
        </w:rPr>
        <w:t>у</w:t>
      </w:r>
      <w:r w:rsidRPr="000214CD">
        <w:rPr>
          <w:sz w:val="24"/>
          <w:szCs w:val="24"/>
        </w:rPr>
        <w:t xml:space="preserve"> показател</w:t>
      </w:r>
      <w:r>
        <w:rPr>
          <w:sz w:val="24"/>
          <w:szCs w:val="24"/>
        </w:rPr>
        <w:t>ю</w:t>
      </w:r>
      <w:r w:rsidRPr="000214CD">
        <w:rPr>
          <w:sz w:val="24"/>
          <w:szCs w:val="24"/>
        </w:rPr>
        <w:t>.</w:t>
      </w:r>
    </w:p>
    <w:p w:rsidR="00C20988" w:rsidRPr="00242451" w:rsidRDefault="00C20988" w:rsidP="00E72185">
      <w:pPr>
        <w:widowControl w:val="0"/>
        <w:ind w:firstLine="425"/>
        <w:jc w:val="both"/>
        <w:rPr>
          <w:sz w:val="24"/>
          <w:szCs w:val="24"/>
        </w:rPr>
      </w:pPr>
      <w:r w:rsidRPr="00242451">
        <w:rPr>
          <w:sz w:val="24"/>
          <w:szCs w:val="24"/>
        </w:rPr>
        <w:t xml:space="preserve">Финансирование затрат по группе «воспроизводство человеческого капитала» составило 1 984,4 млн руб. (+6,8% к значению 2017 года). Из них на содержание образовательных учреждений выделено 48,5% средств, или 961,8 млн руб. (+5,4% к базисному значению), на здравоохранение – 25,9%, или 514,2 млн руб. (+11,4%), на социальное обеспечение – 21,5%, или 426,5 млн руб. (+4,9%). </w:t>
      </w:r>
    </w:p>
    <w:p w:rsidR="00C20988" w:rsidRPr="00242451" w:rsidRDefault="00C20988" w:rsidP="00E72185">
      <w:pPr>
        <w:widowControl w:val="0"/>
        <w:ind w:firstLine="425"/>
        <w:jc w:val="both"/>
        <w:rPr>
          <w:sz w:val="24"/>
          <w:szCs w:val="24"/>
        </w:rPr>
      </w:pPr>
      <w:r w:rsidRPr="00242451">
        <w:rPr>
          <w:sz w:val="24"/>
          <w:szCs w:val="24"/>
        </w:rPr>
        <w:t xml:space="preserve">Расходы на осуществление правоохранительной деятельности и обеспечение безопасности, увеличившись на 10,6%, составили 462,5 млн руб. На государственное и местное управление, судебную власть и международную деятельность было выделено </w:t>
      </w:r>
      <w:r w:rsidRPr="00242451">
        <w:rPr>
          <w:sz w:val="24"/>
          <w:szCs w:val="24"/>
        </w:rPr>
        <w:br/>
        <w:t>261,2 млн руб., что на 4,3% выше базисного показателя.</w:t>
      </w:r>
    </w:p>
    <w:p w:rsidR="00C20988" w:rsidRDefault="00C20988" w:rsidP="00AB102B">
      <w:pPr>
        <w:autoSpaceDE w:val="0"/>
        <w:autoSpaceDN w:val="0"/>
        <w:adjustRightInd w:val="0"/>
        <w:ind w:firstLine="425"/>
        <w:jc w:val="both"/>
        <w:rPr>
          <w:sz w:val="24"/>
          <w:szCs w:val="24"/>
        </w:rPr>
      </w:pPr>
      <w:r w:rsidRPr="00C04B7A">
        <w:rPr>
          <w:sz w:val="24"/>
          <w:szCs w:val="24"/>
        </w:rPr>
        <w:t xml:space="preserve">При оказании платных </w:t>
      </w:r>
      <w:r w:rsidRPr="00F64BAC">
        <w:rPr>
          <w:sz w:val="24"/>
          <w:szCs w:val="24"/>
        </w:rPr>
        <w:t>услуг и иной деятельности государственными учреждениями было израсходовано 159,6 млн руб. (151,7 млн руб. в 2017 году).</w:t>
      </w:r>
    </w:p>
    <w:p w:rsidR="00C20988" w:rsidRPr="00F64BAC" w:rsidRDefault="00C20988" w:rsidP="00AB102B">
      <w:pPr>
        <w:autoSpaceDE w:val="0"/>
        <w:autoSpaceDN w:val="0"/>
        <w:adjustRightInd w:val="0"/>
        <w:ind w:firstLine="425"/>
        <w:jc w:val="both"/>
        <w:rPr>
          <w:sz w:val="24"/>
          <w:szCs w:val="24"/>
        </w:rPr>
      </w:pPr>
      <w:r w:rsidRPr="00F64BAC">
        <w:rPr>
          <w:sz w:val="24"/>
          <w:szCs w:val="24"/>
        </w:rPr>
        <w:t xml:space="preserve">Средства, направляемые на поддержку отдельных отраслей экономики (связи, информатики, транспорта, дорожного, сельского, лесного и водного хозяйств, гидрометеорологии, ЖКХ), расширились за период на 1,0%, до 122,3 млн руб. </w:t>
      </w:r>
    </w:p>
    <w:p w:rsidR="00C20988" w:rsidRPr="00242451" w:rsidRDefault="00C20988" w:rsidP="00A7737B">
      <w:pPr>
        <w:autoSpaceDE w:val="0"/>
        <w:autoSpaceDN w:val="0"/>
        <w:adjustRightInd w:val="0"/>
        <w:ind w:firstLine="425"/>
        <w:jc w:val="both"/>
        <w:rPr>
          <w:sz w:val="24"/>
          <w:szCs w:val="24"/>
        </w:rPr>
      </w:pPr>
      <w:r w:rsidRPr="00F64BAC">
        <w:rPr>
          <w:sz w:val="24"/>
          <w:szCs w:val="24"/>
        </w:rPr>
        <w:t>Расходы целевых бюджетных фондов (за исключением Дорожного</w:t>
      </w:r>
      <w:r w:rsidRPr="005C041F">
        <w:rPr>
          <w:sz w:val="24"/>
          <w:szCs w:val="24"/>
        </w:rPr>
        <w:t xml:space="preserve"> фонда) вследствие создания в 2018 году Фон</w:t>
      </w:r>
      <w:r>
        <w:rPr>
          <w:sz w:val="24"/>
          <w:szCs w:val="24"/>
        </w:rPr>
        <w:t>д</w:t>
      </w:r>
      <w:r w:rsidRPr="005C041F">
        <w:rPr>
          <w:sz w:val="24"/>
          <w:szCs w:val="24"/>
        </w:rPr>
        <w:t xml:space="preserve">а капитальных вложений возросли в 2,7 раза, сложившись в сумме 292,0 млн руб. </w:t>
      </w:r>
      <w:r w:rsidRPr="00242451">
        <w:rPr>
          <w:sz w:val="24"/>
          <w:szCs w:val="24"/>
        </w:rPr>
        <w:t>В рамках программ капитальных вложений, капитального ремонта и развития материально-технической базы из Фонда капитальных вложений</w:t>
      </w:r>
      <w:r>
        <w:rPr>
          <w:sz w:val="24"/>
          <w:szCs w:val="24"/>
        </w:rPr>
        <w:t xml:space="preserve"> </w:t>
      </w:r>
      <w:r w:rsidRPr="00242451">
        <w:rPr>
          <w:sz w:val="24"/>
          <w:szCs w:val="24"/>
        </w:rPr>
        <w:t xml:space="preserve">было профинансировано 170,2 млн руб. Ресурсы Государственного целевого фонда таможенных органов ПМР расходовались в пределах полученных доходов – 69,9 млн руб. (+31,5% к значению 2017 года). </w:t>
      </w:r>
      <w:r>
        <w:rPr>
          <w:sz w:val="24"/>
          <w:szCs w:val="24"/>
        </w:rPr>
        <w:t xml:space="preserve">Из </w:t>
      </w:r>
      <w:r w:rsidRPr="001A6EF5">
        <w:rPr>
          <w:sz w:val="24"/>
          <w:szCs w:val="24"/>
        </w:rPr>
        <w:t>Фонда по обеспечению государственных гарантий по расч</w:t>
      </w:r>
      <w:r>
        <w:rPr>
          <w:sz w:val="24"/>
          <w:szCs w:val="24"/>
        </w:rPr>
        <w:t>ё</w:t>
      </w:r>
      <w:r w:rsidRPr="001A6EF5">
        <w:rPr>
          <w:sz w:val="24"/>
          <w:szCs w:val="24"/>
        </w:rPr>
        <w:t xml:space="preserve">там с гражданами, имеющими право на земельную долю (пай), и иными работниками сельскохозяйственных предприятий для осуществления выплат получателям средств Фонда было профинансировано 37,0 млн руб. (+2,4%). Расходы республиканского и территориальных экологических фондов сложились в сумме 14,9 млн руб., что на 16,7% меньше уровня </w:t>
      </w:r>
      <w:r>
        <w:rPr>
          <w:sz w:val="24"/>
          <w:szCs w:val="24"/>
        </w:rPr>
        <w:br/>
      </w:r>
      <w:r w:rsidRPr="001A6EF5">
        <w:rPr>
          <w:sz w:val="24"/>
          <w:szCs w:val="24"/>
        </w:rPr>
        <w:t xml:space="preserve">2017 года. </w:t>
      </w:r>
    </w:p>
    <w:p w:rsidR="00C20988" w:rsidRDefault="00C20988" w:rsidP="00E72185">
      <w:pPr>
        <w:autoSpaceDE w:val="0"/>
        <w:autoSpaceDN w:val="0"/>
        <w:adjustRightInd w:val="0"/>
        <w:ind w:firstLine="425"/>
        <w:jc w:val="both"/>
      </w:pPr>
      <w:r w:rsidRPr="00210B2B">
        <w:rPr>
          <w:sz w:val="24"/>
          <w:szCs w:val="24"/>
        </w:rPr>
        <w:t>На реализацию программ развития дорожной</w:t>
      </w:r>
      <w:r>
        <w:rPr>
          <w:sz w:val="24"/>
          <w:szCs w:val="24"/>
        </w:rPr>
        <w:t xml:space="preserve"> </w:t>
      </w:r>
      <w:r w:rsidRPr="00210B2B">
        <w:rPr>
          <w:sz w:val="24"/>
          <w:szCs w:val="24"/>
        </w:rPr>
        <w:t xml:space="preserve">отрасли </w:t>
      </w:r>
      <w:r>
        <w:rPr>
          <w:sz w:val="24"/>
          <w:szCs w:val="24"/>
        </w:rPr>
        <w:t xml:space="preserve">из Дорожного фонда было </w:t>
      </w:r>
      <w:r w:rsidRPr="00210B2B">
        <w:rPr>
          <w:sz w:val="24"/>
          <w:szCs w:val="24"/>
        </w:rPr>
        <w:t>израсходовано</w:t>
      </w:r>
      <w:r>
        <w:rPr>
          <w:sz w:val="24"/>
          <w:szCs w:val="24"/>
        </w:rPr>
        <w:t xml:space="preserve"> 111,3</w:t>
      </w:r>
      <w:r w:rsidRPr="00210B2B">
        <w:rPr>
          <w:sz w:val="24"/>
          <w:szCs w:val="24"/>
        </w:rPr>
        <w:t xml:space="preserve"> млн руб.</w:t>
      </w:r>
      <w:r>
        <w:rPr>
          <w:sz w:val="24"/>
          <w:szCs w:val="24"/>
        </w:rPr>
        <w:t xml:space="preserve"> (+6,4%)</w:t>
      </w:r>
    </w:p>
    <w:p w:rsidR="00C20988" w:rsidRDefault="00C20988" w:rsidP="00DD2097">
      <w:pPr>
        <w:autoSpaceDE w:val="0"/>
        <w:autoSpaceDN w:val="0"/>
        <w:adjustRightInd w:val="0"/>
        <w:ind w:firstLine="425"/>
        <w:jc w:val="both"/>
        <w:rPr>
          <w:sz w:val="24"/>
          <w:szCs w:val="24"/>
        </w:rPr>
      </w:pPr>
      <w:r>
        <w:rPr>
          <w:sz w:val="24"/>
          <w:szCs w:val="24"/>
        </w:rPr>
        <w:t>П</w:t>
      </w:r>
      <w:r w:rsidRPr="00210B2B">
        <w:rPr>
          <w:sz w:val="24"/>
          <w:szCs w:val="24"/>
        </w:rPr>
        <w:t>ри исполнении целевых программ</w:t>
      </w:r>
      <w:r>
        <w:rPr>
          <w:sz w:val="24"/>
          <w:szCs w:val="24"/>
        </w:rPr>
        <w:t xml:space="preserve"> отмечен рост</w:t>
      </w:r>
      <w:r w:rsidRPr="00210B2B">
        <w:rPr>
          <w:sz w:val="24"/>
          <w:szCs w:val="24"/>
        </w:rPr>
        <w:t xml:space="preserve"> общих рас</w:t>
      </w:r>
      <w:r>
        <w:rPr>
          <w:sz w:val="24"/>
          <w:szCs w:val="24"/>
        </w:rPr>
        <w:t xml:space="preserve">ходов на 48,1%, до </w:t>
      </w:r>
      <w:r>
        <w:rPr>
          <w:sz w:val="24"/>
          <w:szCs w:val="24"/>
        </w:rPr>
        <w:br/>
        <w:t xml:space="preserve">17,1 млн руб. </w:t>
      </w:r>
    </w:p>
    <w:p w:rsidR="00C20988" w:rsidRPr="00210B2B" w:rsidRDefault="00C20988" w:rsidP="0076432C">
      <w:pPr>
        <w:widowControl w:val="0"/>
        <w:numPr>
          <w:ilvl w:val="1"/>
          <w:numId w:val="1"/>
        </w:numPr>
        <w:spacing w:before="240"/>
        <w:jc w:val="both"/>
        <w:rPr>
          <w:b/>
          <w:bCs/>
          <w:noProof/>
          <w:sz w:val="24"/>
          <w:szCs w:val="24"/>
        </w:rPr>
      </w:pPr>
      <w:r w:rsidRPr="00210B2B">
        <w:rPr>
          <w:b/>
          <w:bCs/>
          <w:noProof/>
          <w:sz w:val="24"/>
          <w:szCs w:val="24"/>
        </w:rPr>
        <w:t>ФИНАНСОВЫЙ СЕКТОР</w:t>
      </w:r>
    </w:p>
    <w:p w:rsidR="00C20988" w:rsidRPr="00210B2B" w:rsidRDefault="00C20988" w:rsidP="00E053D8">
      <w:pPr>
        <w:widowControl w:val="0"/>
        <w:spacing w:before="120" w:after="120"/>
        <w:ind w:firstLine="425"/>
        <w:jc w:val="both"/>
        <w:rPr>
          <w:i/>
          <w:iCs/>
          <w:sz w:val="24"/>
          <w:szCs w:val="24"/>
        </w:rPr>
      </w:pPr>
      <w:r w:rsidRPr="00210B2B">
        <w:rPr>
          <w:i/>
          <w:iCs/>
          <w:sz w:val="24"/>
          <w:szCs w:val="24"/>
        </w:rPr>
        <w:t>Денежный рынок</w:t>
      </w:r>
    </w:p>
    <w:p w:rsidR="00C20988" w:rsidRPr="00210B2B" w:rsidRDefault="00C20988" w:rsidP="00E053D8">
      <w:pPr>
        <w:widowControl w:val="0"/>
        <w:ind w:firstLine="425"/>
        <w:jc w:val="both"/>
        <w:rPr>
          <w:sz w:val="24"/>
          <w:szCs w:val="24"/>
        </w:rPr>
      </w:pPr>
      <w:r>
        <w:rPr>
          <w:sz w:val="24"/>
          <w:szCs w:val="24"/>
        </w:rPr>
        <w:t>Текущая динамика экономической активности в республике обеспечила рост об</w:t>
      </w:r>
      <w:r w:rsidRPr="00210B2B">
        <w:rPr>
          <w:sz w:val="24"/>
          <w:szCs w:val="24"/>
        </w:rPr>
        <w:t>ъём</w:t>
      </w:r>
      <w:r>
        <w:rPr>
          <w:sz w:val="24"/>
          <w:szCs w:val="24"/>
        </w:rPr>
        <w:t>а</w:t>
      </w:r>
      <w:r w:rsidRPr="00210B2B">
        <w:rPr>
          <w:sz w:val="24"/>
          <w:szCs w:val="24"/>
        </w:rPr>
        <w:t xml:space="preserve"> национальной денежной массы </w:t>
      </w:r>
      <w:r>
        <w:rPr>
          <w:sz w:val="24"/>
          <w:szCs w:val="24"/>
        </w:rPr>
        <w:t xml:space="preserve">до </w:t>
      </w:r>
      <w:r w:rsidRPr="00210B2B">
        <w:rPr>
          <w:sz w:val="24"/>
          <w:szCs w:val="24"/>
        </w:rPr>
        <w:t>2 758,0 млн руб.</w:t>
      </w:r>
      <w:r w:rsidRPr="00992421">
        <w:rPr>
          <w:sz w:val="24"/>
          <w:szCs w:val="24"/>
        </w:rPr>
        <w:t xml:space="preserve"> </w:t>
      </w:r>
      <w:r w:rsidRPr="00210B2B">
        <w:rPr>
          <w:sz w:val="24"/>
          <w:szCs w:val="24"/>
        </w:rPr>
        <w:t>на 1 января 2019 года</w:t>
      </w:r>
      <w:r>
        <w:rPr>
          <w:sz w:val="24"/>
          <w:szCs w:val="24"/>
        </w:rPr>
        <w:t xml:space="preserve"> (табл. 1.6)</w:t>
      </w:r>
      <w:r w:rsidRPr="00210B2B">
        <w:rPr>
          <w:sz w:val="24"/>
          <w:szCs w:val="24"/>
        </w:rPr>
        <w:t xml:space="preserve">, что выше значения на начало года на 18,2%, или на 423,9 млн руб. </w:t>
      </w:r>
    </w:p>
    <w:p w:rsidR="00C20988" w:rsidRPr="003248C9" w:rsidRDefault="00C20988" w:rsidP="00C91E38">
      <w:pPr>
        <w:spacing w:before="120" w:after="120"/>
        <w:ind w:firstLine="425"/>
        <w:jc w:val="right"/>
        <w:rPr>
          <w:b/>
          <w:i/>
          <w:color w:val="000000"/>
          <w:sz w:val="24"/>
          <w:szCs w:val="22"/>
        </w:rPr>
      </w:pPr>
      <w:r w:rsidRPr="00C91E38">
        <w:rPr>
          <w:b/>
          <w:i/>
          <w:color w:val="000000"/>
          <w:sz w:val="24"/>
          <w:szCs w:val="22"/>
        </w:rPr>
        <w:t>Таблица 1.</w:t>
      </w:r>
      <w:r>
        <w:rPr>
          <w:b/>
          <w:i/>
          <w:color w:val="000000"/>
          <w:sz w:val="24"/>
          <w:szCs w:val="22"/>
        </w:rPr>
        <w:t>6</w:t>
      </w:r>
    </w:p>
    <w:p w:rsidR="00C20988" w:rsidRPr="00C91E38" w:rsidRDefault="00C20988" w:rsidP="00C91E38">
      <w:pPr>
        <w:spacing w:after="120"/>
        <w:jc w:val="center"/>
        <w:rPr>
          <w:b/>
          <w:i/>
          <w:color w:val="000000"/>
          <w:sz w:val="24"/>
          <w:szCs w:val="22"/>
        </w:rPr>
      </w:pPr>
      <w:bookmarkStart w:id="3" w:name="OLE_LINK10"/>
      <w:r w:rsidRPr="00C91E38">
        <w:rPr>
          <w:b/>
          <w:i/>
          <w:color w:val="000000"/>
          <w:sz w:val="24"/>
          <w:szCs w:val="22"/>
        </w:rPr>
        <w:t xml:space="preserve">Структура и динамика денежного предложения </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7"/>
        <w:gridCol w:w="1197"/>
        <w:gridCol w:w="1054"/>
        <w:gridCol w:w="1199"/>
        <w:gridCol w:w="1053"/>
        <w:gridCol w:w="991"/>
      </w:tblGrid>
      <w:tr w:rsidR="00C20988" w:rsidRPr="00C91E38" w:rsidTr="00C91E38">
        <w:trPr>
          <w:cantSplit/>
          <w:trHeight w:val="75"/>
        </w:trPr>
        <w:tc>
          <w:tcPr>
            <w:tcW w:w="4137" w:type="dxa"/>
            <w:vMerge w:val="restart"/>
            <w:shd w:val="clear" w:color="auto" w:fill="C0C0C0"/>
          </w:tcPr>
          <w:p w:rsidR="00C20988" w:rsidRPr="00C91E38" w:rsidRDefault="00C20988" w:rsidP="00C91E38">
            <w:pPr>
              <w:ind w:right="-1"/>
              <w:jc w:val="both"/>
              <w:rPr>
                <w:color w:val="000000"/>
                <w:sz w:val="22"/>
                <w:szCs w:val="22"/>
              </w:rPr>
            </w:pPr>
          </w:p>
        </w:tc>
        <w:tc>
          <w:tcPr>
            <w:tcW w:w="2251" w:type="dxa"/>
            <w:gridSpan w:val="2"/>
            <w:shd w:val="clear" w:color="auto" w:fill="C0C0C0"/>
            <w:vAlign w:val="bottom"/>
          </w:tcPr>
          <w:p w:rsidR="00C20988" w:rsidRPr="00C91E38" w:rsidRDefault="00C20988" w:rsidP="00C91E38">
            <w:pPr>
              <w:ind w:left="-107" w:right="-111"/>
              <w:jc w:val="center"/>
              <w:rPr>
                <w:sz w:val="22"/>
                <w:szCs w:val="22"/>
              </w:rPr>
            </w:pPr>
            <w:r w:rsidRPr="00C91E38">
              <w:rPr>
                <w:sz w:val="22"/>
                <w:szCs w:val="22"/>
              </w:rPr>
              <w:t>на 01.01.2018</w:t>
            </w:r>
          </w:p>
        </w:tc>
        <w:tc>
          <w:tcPr>
            <w:tcW w:w="2252" w:type="dxa"/>
            <w:gridSpan w:val="2"/>
            <w:shd w:val="clear" w:color="auto" w:fill="C0C0C0"/>
            <w:vAlign w:val="bottom"/>
          </w:tcPr>
          <w:p w:rsidR="00C20988" w:rsidRPr="00C91E38" w:rsidRDefault="00C20988" w:rsidP="00C91E38">
            <w:pPr>
              <w:ind w:left="-107" w:right="-111"/>
              <w:jc w:val="center"/>
              <w:rPr>
                <w:sz w:val="22"/>
                <w:szCs w:val="22"/>
              </w:rPr>
            </w:pPr>
            <w:r w:rsidRPr="00C91E38">
              <w:rPr>
                <w:sz w:val="22"/>
                <w:szCs w:val="22"/>
              </w:rPr>
              <w:t>на 01.01.2019</w:t>
            </w:r>
          </w:p>
        </w:tc>
        <w:tc>
          <w:tcPr>
            <w:tcW w:w="991" w:type="dxa"/>
            <w:vMerge w:val="restart"/>
            <w:shd w:val="clear" w:color="auto" w:fill="C0C0C0"/>
          </w:tcPr>
          <w:p w:rsidR="00C20988" w:rsidRPr="00C91E38" w:rsidRDefault="00C20988" w:rsidP="00C91E38">
            <w:pPr>
              <w:ind w:left="-108" w:right="-108"/>
              <w:jc w:val="center"/>
              <w:rPr>
                <w:color w:val="000000"/>
                <w:sz w:val="22"/>
                <w:szCs w:val="22"/>
              </w:rPr>
            </w:pPr>
            <w:r w:rsidRPr="00C91E38">
              <w:rPr>
                <w:color w:val="000000"/>
                <w:sz w:val="22"/>
                <w:szCs w:val="22"/>
              </w:rPr>
              <w:t>темп</w:t>
            </w:r>
          </w:p>
          <w:p w:rsidR="00C20988" w:rsidRPr="00C91E38" w:rsidRDefault="00C20988" w:rsidP="00C91E38">
            <w:pPr>
              <w:ind w:left="-108" w:right="-108"/>
              <w:jc w:val="center"/>
              <w:rPr>
                <w:color w:val="000000"/>
                <w:sz w:val="22"/>
                <w:szCs w:val="22"/>
              </w:rPr>
            </w:pPr>
            <w:r w:rsidRPr="00C91E38">
              <w:rPr>
                <w:color w:val="000000"/>
                <w:sz w:val="22"/>
                <w:szCs w:val="22"/>
              </w:rPr>
              <w:t>роста, %</w:t>
            </w:r>
          </w:p>
        </w:tc>
      </w:tr>
      <w:tr w:rsidR="00C20988" w:rsidRPr="00C91E38" w:rsidTr="00C91E38">
        <w:trPr>
          <w:cantSplit/>
          <w:trHeight w:val="70"/>
        </w:trPr>
        <w:tc>
          <w:tcPr>
            <w:tcW w:w="4137" w:type="dxa"/>
            <w:vMerge/>
          </w:tcPr>
          <w:p w:rsidR="00C20988" w:rsidRPr="00C91E38" w:rsidRDefault="00C20988" w:rsidP="00C91E38">
            <w:pPr>
              <w:ind w:right="-1"/>
              <w:jc w:val="both"/>
              <w:rPr>
                <w:color w:val="000000"/>
                <w:sz w:val="22"/>
                <w:szCs w:val="22"/>
              </w:rPr>
            </w:pPr>
          </w:p>
        </w:tc>
        <w:tc>
          <w:tcPr>
            <w:tcW w:w="1197" w:type="dxa"/>
            <w:shd w:val="clear" w:color="auto" w:fill="C0C0C0"/>
          </w:tcPr>
          <w:p w:rsidR="00C20988" w:rsidRPr="00C91E38" w:rsidRDefault="00C20988" w:rsidP="00C91E38">
            <w:pPr>
              <w:ind w:left="-134" w:right="-94"/>
              <w:jc w:val="center"/>
              <w:rPr>
                <w:color w:val="000000"/>
                <w:sz w:val="22"/>
                <w:szCs w:val="22"/>
              </w:rPr>
            </w:pPr>
            <w:r w:rsidRPr="00C91E38">
              <w:rPr>
                <w:color w:val="000000"/>
                <w:sz w:val="22"/>
                <w:szCs w:val="22"/>
              </w:rPr>
              <w:t>млн руб.</w:t>
            </w:r>
          </w:p>
        </w:tc>
        <w:tc>
          <w:tcPr>
            <w:tcW w:w="1054" w:type="dxa"/>
            <w:shd w:val="clear" w:color="auto" w:fill="C0C0C0"/>
          </w:tcPr>
          <w:p w:rsidR="00C20988" w:rsidRPr="00C91E38" w:rsidRDefault="00C20988" w:rsidP="00C91E38">
            <w:pPr>
              <w:pStyle w:val="Heading3"/>
              <w:ind w:left="-134" w:right="-94" w:firstLine="0"/>
              <w:jc w:val="center"/>
              <w:rPr>
                <w:rFonts w:ascii="Times New Roman" w:hAnsi="Times New Roman" w:cs="Times New Roman"/>
                <w:i w:val="0"/>
                <w:color w:val="000000"/>
                <w:sz w:val="22"/>
                <w:szCs w:val="22"/>
              </w:rPr>
            </w:pPr>
            <w:r w:rsidRPr="00C91E38">
              <w:rPr>
                <w:rFonts w:ascii="Times New Roman" w:hAnsi="Times New Roman" w:cs="Times New Roman"/>
                <w:i w:val="0"/>
                <w:color w:val="000000"/>
                <w:sz w:val="22"/>
                <w:szCs w:val="22"/>
              </w:rPr>
              <w:t>уд. вес, %</w:t>
            </w:r>
          </w:p>
        </w:tc>
        <w:tc>
          <w:tcPr>
            <w:tcW w:w="1199" w:type="dxa"/>
            <w:tcBorders>
              <w:bottom w:val="double" w:sz="4" w:space="0" w:color="auto"/>
            </w:tcBorders>
            <w:shd w:val="clear" w:color="auto" w:fill="C0C0C0"/>
          </w:tcPr>
          <w:p w:rsidR="00C20988" w:rsidRPr="00C91E38" w:rsidRDefault="00C20988" w:rsidP="00C91E38">
            <w:pPr>
              <w:ind w:left="-134" w:right="-94"/>
              <w:jc w:val="center"/>
              <w:rPr>
                <w:color w:val="000000"/>
                <w:sz w:val="22"/>
                <w:szCs w:val="22"/>
              </w:rPr>
            </w:pPr>
            <w:r w:rsidRPr="00C91E38">
              <w:rPr>
                <w:color w:val="000000"/>
                <w:sz w:val="22"/>
                <w:szCs w:val="22"/>
              </w:rPr>
              <w:t>млн руб.</w:t>
            </w:r>
          </w:p>
        </w:tc>
        <w:tc>
          <w:tcPr>
            <w:tcW w:w="1053" w:type="dxa"/>
            <w:shd w:val="clear" w:color="auto" w:fill="C0C0C0"/>
          </w:tcPr>
          <w:p w:rsidR="00C20988" w:rsidRPr="00C91E38" w:rsidRDefault="00C20988" w:rsidP="00C91E38">
            <w:pPr>
              <w:pStyle w:val="Heading3"/>
              <w:ind w:left="-134" w:right="-94" w:firstLine="0"/>
              <w:jc w:val="center"/>
              <w:rPr>
                <w:rFonts w:ascii="Times New Roman" w:hAnsi="Times New Roman" w:cs="Times New Roman"/>
                <w:i w:val="0"/>
                <w:color w:val="000000"/>
                <w:sz w:val="22"/>
                <w:szCs w:val="22"/>
              </w:rPr>
            </w:pPr>
            <w:r w:rsidRPr="00C91E38">
              <w:rPr>
                <w:rFonts w:ascii="Times New Roman" w:hAnsi="Times New Roman" w:cs="Times New Roman"/>
                <w:i w:val="0"/>
                <w:color w:val="000000"/>
                <w:sz w:val="22"/>
                <w:szCs w:val="22"/>
              </w:rPr>
              <w:t>уд. вес, %</w:t>
            </w:r>
          </w:p>
        </w:tc>
        <w:tc>
          <w:tcPr>
            <w:tcW w:w="991" w:type="dxa"/>
            <w:vMerge/>
            <w:shd w:val="clear" w:color="auto" w:fill="C0C0C0"/>
          </w:tcPr>
          <w:p w:rsidR="00C20988" w:rsidRPr="00C91E38" w:rsidRDefault="00C20988" w:rsidP="00C91E38">
            <w:pPr>
              <w:pStyle w:val="Heading3"/>
              <w:ind w:left="-91" w:right="-94"/>
              <w:rPr>
                <w:rFonts w:ascii="Times New Roman" w:hAnsi="Times New Roman" w:cs="Times New Roman"/>
                <w:i w:val="0"/>
                <w:color w:val="000000"/>
                <w:sz w:val="22"/>
                <w:szCs w:val="22"/>
              </w:rPr>
            </w:pPr>
          </w:p>
        </w:tc>
      </w:tr>
      <w:tr w:rsidR="00C20988" w:rsidRPr="00C91E38" w:rsidTr="00C91E38">
        <w:trPr>
          <w:cantSplit/>
          <w:trHeight w:val="50"/>
        </w:trPr>
        <w:tc>
          <w:tcPr>
            <w:tcW w:w="4137" w:type="dxa"/>
            <w:tcBorders>
              <w:top w:val="double" w:sz="4" w:space="0" w:color="auto"/>
            </w:tcBorders>
            <w:shd w:val="clear" w:color="auto" w:fill="E6E6E6"/>
          </w:tcPr>
          <w:p w:rsidR="00C20988" w:rsidRPr="00C91E38" w:rsidRDefault="00C20988" w:rsidP="00C91E38">
            <w:pPr>
              <w:pStyle w:val="Heading3"/>
              <w:ind w:right="-1" w:firstLine="0"/>
              <w:rPr>
                <w:rFonts w:ascii="Times New Roman" w:hAnsi="Times New Roman" w:cs="Times New Roman"/>
                <w:i w:val="0"/>
                <w:color w:val="000000"/>
                <w:sz w:val="22"/>
                <w:szCs w:val="22"/>
              </w:rPr>
            </w:pPr>
            <w:r w:rsidRPr="00C91E38">
              <w:rPr>
                <w:rFonts w:ascii="Times New Roman" w:hAnsi="Times New Roman" w:cs="Times New Roman"/>
                <w:i w:val="0"/>
                <w:color w:val="000000"/>
                <w:sz w:val="22"/>
                <w:szCs w:val="22"/>
              </w:rPr>
              <w:t>Полная денежная масса</w:t>
            </w:r>
          </w:p>
        </w:tc>
        <w:tc>
          <w:tcPr>
            <w:tcW w:w="1197" w:type="dxa"/>
            <w:tcBorders>
              <w:top w:val="double" w:sz="4" w:space="0" w:color="auto"/>
            </w:tcBorders>
            <w:shd w:val="clear" w:color="auto" w:fill="E6E6E6"/>
            <w:vAlign w:val="bottom"/>
          </w:tcPr>
          <w:p w:rsidR="00C20988" w:rsidRPr="00C91E38" w:rsidRDefault="00C20988" w:rsidP="00C91E38">
            <w:pPr>
              <w:ind w:right="170"/>
              <w:jc w:val="right"/>
              <w:rPr>
                <w:sz w:val="22"/>
                <w:szCs w:val="22"/>
              </w:rPr>
            </w:pPr>
            <w:r w:rsidRPr="00C91E38">
              <w:rPr>
                <w:sz w:val="22"/>
                <w:szCs w:val="22"/>
              </w:rPr>
              <w:t>7 433,9</w:t>
            </w:r>
          </w:p>
        </w:tc>
        <w:tc>
          <w:tcPr>
            <w:tcW w:w="1054" w:type="dxa"/>
            <w:tcBorders>
              <w:top w:val="double" w:sz="4" w:space="0" w:color="auto"/>
            </w:tcBorders>
            <w:shd w:val="clear" w:color="auto" w:fill="E6E6E6"/>
            <w:vAlign w:val="bottom"/>
          </w:tcPr>
          <w:p w:rsidR="00C20988" w:rsidRPr="00C91E38" w:rsidRDefault="00C20988" w:rsidP="00C91E38">
            <w:pPr>
              <w:ind w:right="170"/>
              <w:jc w:val="right"/>
              <w:rPr>
                <w:sz w:val="22"/>
                <w:szCs w:val="22"/>
              </w:rPr>
            </w:pPr>
            <w:r w:rsidRPr="00C91E38">
              <w:rPr>
                <w:sz w:val="22"/>
                <w:szCs w:val="22"/>
              </w:rPr>
              <w:t>100,0</w:t>
            </w:r>
          </w:p>
        </w:tc>
        <w:tc>
          <w:tcPr>
            <w:tcW w:w="1199" w:type="dxa"/>
            <w:tcBorders>
              <w:top w:val="double" w:sz="4" w:space="0" w:color="auto"/>
            </w:tcBorders>
            <w:shd w:val="clear" w:color="auto" w:fill="E6E6E6"/>
            <w:vAlign w:val="bottom"/>
          </w:tcPr>
          <w:p w:rsidR="00C20988" w:rsidRPr="00C91E38" w:rsidRDefault="00C20988" w:rsidP="00C91E38">
            <w:pPr>
              <w:ind w:right="170"/>
              <w:jc w:val="right"/>
              <w:rPr>
                <w:sz w:val="22"/>
                <w:szCs w:val="22"/>
              </w:rPr>
            </w:pPr>
            <w:r w:rsidRPr="00C91E38">
              <w:rPr>
                <w:sz w:val="22"/>
                <w:szCs w:val="22"/>
              </w:rPr>
              <w:t>8 130,0</w:t>
            </w:r>
          </w:p>
        </w:tc>
        <w:tc>
          <w:tcPr>
            <w:tcW w:w="1053" w:type="dxa"/>
            <w:tcBorders>
              <w:top w:val="double" w:sz="4" w:space="0" w:color="auto"/>
            </w:tcBorders>
            <w:shd w:val="clear" w:color="auto" w:fill="E6E6E6"/>
            <w:vAlign w:val="bottom"/>
          </w:tcPr>
          <w:p w:rsidR="00C20988" w:rsidRPr="00C91E38" w:rsidRDefault="00C20988" w:rsidP="00C91E38">
            <w:pPr>
              <w:ind w:right="170"/>
              <w:jc w:val="right"/>
              <w:rPr>
                <w:sz w:val="22"/>
                <w:szCs w:val="22"/>
              </w:rPr>
            </w:pPr>
            <w:r w:rsidRPr="00C91E38">
              <w:rPr>
                <w:sz w:val="22"/>
                <w:szCs w:val="22"/>
              </w:rPr>
              <w:t>100,0</w:t>
            </w:r>
          </w:p>
        </w:tc>
        <w:tc>
          <w:tcPr>
            <w:tcW w:w="991" w:type="dxa"/>
            <w:tcBorders>
              <w:top w:val="double" w:sz="4" w:space="0" w:color="auto"/>
            </w:tcBorders>
            <w:shd w:val="clear" w:color="auto" w:fill="E6E6E6"/>
            <w:vAlign w:val="bottom"/>
          </w:tcPr>
          <w:p w:rsidR="00C20988" w:rsidRPr="00C91E38" w:rsidRDefault="00C20988" w:rsidP="00C91E38">
            <w:pPr>
              <w:ind w:right="170"/>
              <w:jc w:val="right"/>
              <w:rPr>
                <w:sz w:val="22"/>
                <w:szCs w:val="22"/>
              </w:rPr>
            </w:pPr>
            <w:r w:rsidRPr="00C91E38">
              <w:rPr>
                <w:sz w:val="22"/>
                <w:szCs w:val="22"/>
              </w:rPr>
              <w:t>109,4</w:t>
            </w:r>
          </w:p>
        </w:tc>
      </w:tr>
      <w:tr w:rsidR="00C20988" w:rsidRPr="00C91E38" w:rsidTr="00C91E38">
        <w:trPr>
          <w:cantSplit/>
          <w:trHeight w:val="50"/>
        </w:trPr>
        <w:tc>
          <w:tcPr>
            <w:tcW w:w="4137" w:type="dxa"/>
            <w:tcBorders>
              <w:bottom w:val="nil"/>
            </w:tcBorders>
            <w:shd w:val="clear" w:color="auto" w:fill="E6E6E6"/>
          </w:tcPr>
          <w:p w:rsidR="00C20988" w:rsidRPr="00C91E38" w:rsidRDefault="00C20988" w:rsidP="00C91E38">
            <w:pPr>
              <w:pStyle w:val="Heading3"/>
              <w:ind w:left="176" w:right="-1" w:firstLine="0"/>
              <w:rPr>
                <w:rFonts w:ascii="Times New Roman" w:hAnsi="Times New Roman" w:cs="Times New Roman"/>
                <w:i w:val="0"/>
                <w:color w:val="000000"/>
                <w:sz w:val="22"/>
                <w:szCs w:val="22"/>
              </w:rPr>
            </w:pPr>
            <w:r w:rsidRPr="00C91E38">
              <w:rPr>
                <w:rFonts w:ascii="Times New Roman" w:hAnsi="Times New Roman" w:cs="Times New Roman"/>
                <w:i w:val="0"/>
                <w:color w:val="000000"/>
                <w:sz w:val="22"/>
                <w:szCs w:val="22"/>
              </w:rPr>
              <w:t>в том числе:</w:t>
            </w:r>
          </w:p>
        </w:tc>
        <w:tc>
          <w:tcPr>
            <w:tcW w:w="1197" w:type="dxa"/>
            <w:tcBorders>
              <w:bottom w:val="nil"/>
            </w:tcBorders>
            <w:shd w:val="clear" w:color="auto" w:fill="E6E6E6"/>
            <w:vAlign w:val="bottom"/>
          </w:tcPr>
          <w:p w:rsidR="00C20988" w:rsidRPr="00C91E38" w:rsidRDefault="00C20988" w:rsidP="00C91E38">
            <w:pPr>
              <w:ind w:right="170"/>
              <w:jc w:val="right"/>
              <w:rPr>
                <w:sz w:val="22"/>
                <w:szCs w:val="22"/>
              </w:rPr>
            </w:pPr>
            <w:r w:rsidRPr="00C91E38">
              <w:rPr>
                <w:sz w:val="22"/>
                <w:szCs w:val="22"/>
              </w:rPr>
              <w:t> </w:t>
            </w:r>
          </w:p>
        </w:tc>
        <w:tc>
          <w:tcPr>
            <w:tcW w:w="1054" w:type="dxa"/>
            <w:tcBorders>
              <w:bottom w:val="nil"/>
            </w:tcBorders>
            <w:shd w:val="clear" w:color="auto" w:fill="E6E6E6"/>
            <w:vAlign w:val="bottom"/>
          </w:tcPr>
          <w:p w:rsidR="00C20988" w:rsidRPr="00C91E38" w:rsidRDefault="00C20988" w:rsidP="00C91E38">
            <w:pPr>
              <w:ind w:right="170"/>
              <w:jc w:val="right"/>
              <w:rPr>
                <w:sz w:val="22"/>
                <w:szCs w:val="22"/>
              </w:rPr>
            </w:pPr>
            <w:r w:rsidRPr="00C91E38">
              <w:rPr>
                <w:sz w:val="22"/>
                <w:szCs w:val="22"/>
              </w:rPr>
              <w:t> </w:t>
            </w:r>
          </w:p>
        </w:tc>
        <w:tc>
          <w:tcPr>
            <w:tcW w:w="1199" w:type="dxa"/>
            <w:tcBorders>
              <w:bottom w:val="nil"/>
            </w:tcBorders>
            <w:shd w:val="clear" w:color="auto" w:fill="E6E6E6"/>
            <w:vAlign w:val="bottom"/>
          </w:tcPr>
          <w:p w:rsidR="00C20988" w:rsidRPr="00C91E38" w:rsidRDefault="00C20988" w:rsidP="00C91E38">
            <w:pPr>
              <w:ind w:right="170"/>
              <w:jc w:val="right"/>
              <w:rPr>
                <w:sz w:val="22"/>
                <w:szCs w:val="22"/>
              </w:rPr>
            </w:pPr>
            <w:r w:rsidRPr="00C91E38">
              <w:rPr>
                <w:sz w:val="22"/>
                <w:szCs w:val="22"/>
              </w:rPr>
              <w:t> </w:t>
            </w:r>
          </w:p>
        </w:tc>
        <w:tc>
          <w:tcPr>
            <w:tcW w:w="1053" w:type="dxa"/>
            <w:tcBorders>
              <w:bottom w:val="nil"/>
            </w:tcBorders>
            <w:shd w:val="clear" w:color="auto" w:fill="E6E6E6"/>
            <w:vAlign w:val="bottom"/>
          </w:tcPr>
          <w:p w:rsidR="00C20988" w:rsidRPr="00C91E38" w:rsidRDefault="00C20988" w:rsidP="00C91E38">
            <w:pPr>
              <w:ind w:right="170"/>
              <w:jc w:val="right"/>
              <w:rPr>
                <w:sz w:val="22"/>
                <w:szCs w:val="22"/>
              </w:rPr>
            </w:pPr>
            <w:r w:rsidRPr="00C91E38">
              <w:rPr>
                <w:sz w:val="22"/>
                <w:szCs w:val="22"/>
              </w:rPr>
              <w:t> </w:t>
            </w:r>
          </w:p>
        </w:tc>
        <w:tc>
          <w:tcPr>
            <w:tcW w:w="991" w:type="dxa"/>
            <w:tcBorders>
              <w:bottom w:val="nil"/>
            </w:tcBorders>
            <w:shd w:val="clear" w:color="auto" w:fill="E6E6E6"/>
            <w:vAlign w:val="bottom"/>
          </w:tcPr>
          <w:p w:rsidR="00C20988" w:rsidRPr="00C91E38" w:rsidRDefault="00C20988" w:rsidP="00C91E38">
            <w:pPr>
              <w:ind w:right="170"/>
              <w:jc w:val="right"/>
              <w:rPr>
                <w:sz w:val="22"/>
                <w:szCs w:val="22"/>
              </w:rPr>
            </w:pPr>
            <w:r w:rsidRPr="00C91E38">
              <w:rPr>
                <w:sz w:val="22"/>
                <w:szCs w:val="22"/>
              </w:rPr>
              <w:t> </w:t>
            </w:r>
          </w:p>
        </w:tc>
      </w:tr>
      <w:tr w:rsidR="00C20988" w:rsidRPr="00C91E38" w:rsidTr="00C91E38">
        <w:trPr>
          <w:cantSplit/>
          <w:trHeight w:val="77"/>
        </w:trPr>
        <w:tc>
          <w:tcPr>
            <w:tcW w:w="4137" w:type="dxa"/>
            <w:tcBorders>
              <w:top w:val="nil"/>
            </w:tcBorders>
            <w:shd w:val="clear" w:color="auto" w:fill="E6E6E6"/>
          </w:tcPr>
          <w:p w:rsidR="00C20988" w:rsidRPr="00C91E38" w:rsidRDefault="00C20988" w:rsidP="0054585E">
            <w:pPr>
              <w:pStyle w:val="Heading3"/>
              <w:ind w:left="176" w:right="-108" w:firstLine="0"/>
              <w:rPr>
                <w:rFonts w:ascii="Times New Roman" w:hAnsi="Times New Roman" w:cs="Times New Roman"/>
                <w:i w:val="0"/>
                <w:color w:val="000000"/>
                <w:sz w:val="22"/>
                <w:szCs w:val="22"/>
              </w:rPr>
            </w:pPr>
            <w:r>
              <w:rPr>
                <w:rFonts w:ascii="Times New Roman" w:hAnsi="Times New Roman" w:cs="Times New Roman"/>
                <w:i w:val="0"/>
                <w:color w:val="000000"/>
                <w:sz w:val="22"/>
                <w:szCs w:val="22"/>
              </w:rPr>
              <w:t xml:space="preserve">- </w:t>
            </w:r>
            <w:r w:rsidRPr="00C91E38">
              <w:rPr>
                <w:rFonts w:ascii="Times New Roman" w:hAnsi="Times New Roman" w:cs="Times New Roman"/>
                <w:i w:val="0"/>
                <w:color w:val="000000"/>
                <w:sz w:val="22"/>
                <w:szCs w:val="22"/>
              </w:rPr>
              <w:t xml:space="preserve">национальная денежная масса </w:t>
            </w:r>
          </w:p>
        </w:tc>
        <w:tc>
          <w:tcPr>
            <w:tcW w:w="1197" w:type="dxa"/>
            <w:tcBorders>
              <w:top w:val="nil"/>
            </w:tcBorders>
            <w:shd w:val="clear" w:color="auto" w:fill="E6E6E6"/>
            <w:vAlign w:val="bottom"/>
          </w:tcPr>
          <w:p w:rsidR="00C20988" w:rsidRPr="00C91E38" w:rsidRDefault="00C20988" w:rsidP="00C91E38">
            <w:pPr>
              <w:ind w:right="170"/>
              <w:jc w:val="right"/>
              <w:rPr>
                <w:sz w:val="22"/>
                <w:szCs w:val="22"/>
              </w:rPr>
            </w:pPr>
            <w:r w:rsidRPr="00C91E38">
              <w:rPr>
                <w:sz w:val="22"/>
                <w:szCs w:val="22"/>
              </w:rPr>
              <w:t>2 334,1</w:t>
            </w:r>
          </w:p>
        </w:tc>
        <w:tc>
          <w:tcPr>
            <w:tcW w:w="1054" w:type="dxa"/>
            <w:tcBorders>
              <w:top w:val="nil"/>
            </w:tcBorders>
            <w:shd w:val="clear" w:color="auto" w:fill="E6E6E6"/>
            <w:vAlign w:val="bottom"/>
          </w:tcPr>
          <w:p w:rsidR="00C20988" w:rsidRPr="00C91E38" w:rsidRDefault="00C20988" w:rsidP="00C91E38">
            <w:pPr>
              <w:ind w:right="170"/>
              <w:jc w:val="right"/>
              <w:rPr>
                <w:sz w:val="22"/>
                <w:szCs w:val="22"/>
              </w:rPr>
            </w:pPr>
            <w:r w:rsidRPr="00C91E38">
              <w:rPr>
                <w:sz w:val="22"/>
                <w:szCs w:val="22"/>
              </w:rPr>
              <w:t>31,4</w:t>
            </w:r>
          </w:p>
        </w:tc>
        <w:tc>
          <w:tcPr>
            <w:tcW w:w="1199" w:type="dxa"/>
            <w:tcBorders>
              <w:top w:val="nil"/>
            </w:tcBorders>
            <w:shd w:val="clear" w:color="auto" w:fill="E6E6E6"/>
            <w:vAlign w:val="bottom"/>
          </w:tcPr>
          <w:p w:rsidR="00C20988" w:rsidRPr="00C91E38" w:rsidRDefault="00C20988" w:rsidP="00C91E38">
            <w:pPr>
              <w:ind w:right="170"/>
              <w:jc w:val="right"/>
              <w:rPr>
                <w:sz w:val="22"/>
                <w:szCs w:val="22"/>
              </w:rPr>
            </w:pPr>
            <w:r w:rsidRPr="00C91E38">
              <w:rPr>
                <w:sz w:val="22"/>
                <w:szCs w:val="22"/>
              </w:rPr>
              <w:t>2 758,0</w:t>
            </w:r>
          </w:p>
        </w:tc>
        <w:tc>
          <w:tcPr>
            <w:tcW w:w="1053" w:type="dxa"/>
            <w:tcBorders>
              <w:top w:val="nil"/>
            </w:tcBorders>
            <w:shd w:val="clear" w:color="auto" w:fill="E6E6E6"/>
            <w:vAlign w:val="bottom"/>
          </w:tcPr>
          <w:p w:rsidR="00C20988" w:rsidRPr="00C91E38" w:rsidRDefault="00C20988" w:rsidP="00C91E38">
            <w:pPr>
              <w:ind w:right="170"/>
              <w:jc w:val="right"/>
              <w:rPr>
                <w:sz w:val="22"/>
                <w:szCs w:val="22"/>
              </w:rPr>
            </w:pPr>
            <w:r w:rsidRPr="00C91E38">
              <w:rPr>
                <w:sz w:val="22"/>
                <w:szCs w:val="22"/>
              </w:rPr>
              <w:t>33,9</w:t>
            </w:r>
          </w:p>
        </w:tc>
        <w:tc>
          <w:tcPr>
            <w:tcW w:w="991" w:type="dxa"/>
            <w:tcBorders>
              <w:top w:val="nil"/>
            </w:tcBorders>
            <w:shd w:val="clear" w:color="auto" w:fill="E6E6E6"/>
            <w:vAlign w:val="bottom"/>
          </w:tcPr>
          <w:p w:rsidR="00C20988" w:rsidRPr="00C91E38" w:rsidRDefault="00C20988" w:rsidP="00C91E38">
            <w:pPr>
              <w:ind w:right="170"/>
              <w:jc w:val="right"/>
              <w:rPr>
                <w:sz w:val="22"/>
                <w:szCs w:val="22"/>
              </w:rPr>
            </w:pPr>
            <w:r w:rsidRPr="00C91E38">
              <w:rPr>
                <w:sz w:val="22"/>
                <w:szCs w:val="22"/>
              </w:rPr>
              <w:t>118,2</w:t>
            </w:r>
          </w:p>
        </w:tc>
      </w:tr>
      <w:tr w:rsidR="00C20988" w:rsidRPr="00C91E38" w:rsidTr="00C91E38">
        <w:trPr>
          <w:cantSplit/>
          <w:trHeight w:val="218"/>
        </w:trPr>
        <w:tc>
          <w:tcPr>
            <w:tcW w:w="4137" w:type="dxa"/>
            <w:tcBorders>
              <w:bottom w:val="single" w:sz="4" w:space="0" w:color="FFFFFF"/>
            </w:tcBorders>
          </w:tcPr>
          <w:p w:rsidR="00C20988" w:rsidRPr="00C91E38" w:rsidRDefault="00C20988" w:rsidP="00C91E38">
            <w:pPr>
              <w:pStyle w:val="Heading3"/>
              <w:tabs>
                <w:tab w:val="left" w:pos="612"/>
              </w:tabs>
              <w:ind w:left="318" w:right="-108" w:firstLine="0"/>
              <w:rPr>
                <w:rFonts w:ascii="Times New Roman" w:hAnsi="Times New Roman" w:cs="Times New Roman"/>
                <w:i w:val="0"/>
                <w:color w:val="000000"/>
                <w:sz w:val="22"/>
                <w:szCs w:val="22"/>
              </w:rPr>
            </w:pPr>
            <w:r w:rsidRPr="00C91E38">
              <w:rPr>
                <w:rFonts w:ascii="Times New Roman" w:hAnsi="Times New Roman" w:cs="Times New Roman"/>
                <w:i w:val="0"/>
                <w:color w:val="000000"/>
                <w:sz w:val="22"/>
                <w:szCs w:val="22"/>
              </w:rPr>
              <w:t>в том числе</w:t>
            </w:r>
            <w:r w:rsidRPr="00C91E38">
              <w:rPr>
                <w:rFonts w:ascii="Times New Roman" w:hAnsi="Times New Roman" w:cs="Times New Roman"/>
                <w:i w:val="0"/>
                <w:color w:val="000000"/>
                <w:sz w:val="22"/>
                <w:szCs w:val="22"/>
                <w:lang w:val="en-US"/>
              </w:rPr>
              <w:t>:</w:t>
            </w:r>
          </w:p>
        </w:tc>
        <w:tc>
          <w:tcPr>
            <w:tcW w:w="1197" w:type="dxa"/>
            <w:tcBorders>
              <w:bottom w:val="single" w:sz="4" w:space="0" w:color="FFFFFF"/>
            </w:tcBorders>
            <w:vAlign w:val="bottom"/>
          </w:tcPr>
          <w:p w:rsidR="00C20988" w:rsidRPr="00C91E38" w:rsidRDefault="00C20988" w:rsidP="00C91E38">
            <w:pPr>
              <w:ind w:right="170"/>
              <w:jc w:val="right"/>
              <w:rPr>
                <w:sz w:val="22"/>
                <w:szCs w:val="22"/>
              </w:rPr>
            </w:pPr>
            <w:r w:rsidRPr="00C91E38">
              <w:rPr>
                <w:sz w:val="22"/>
                <w:szCs w:val="22"/>
              </w:rPr>
              <w:t> </w:t>
            </w:r>
          </w:p>
        </w:tc>
        <w:tc>
          <w:tcPr>
            <w:tcW w:w="1054" w:type="dxa"/>
            <w:tcBorders>
              <w:bottom w:val="single" w:sz="4" w:space="0" w:color="FFFFFF"/>
            </w:tcBorders>
            <w:vAlign w:val="bottom"/>
          </w:tcPr>
          <w:p w:rsidR="00C20988" w:rsidRPr="00C91E38" w:rsidRDefault="00C20988" w:rsidP="00C91E38">
            <w:pPr>
              <w:ind w:right="170"/>
              <w:jc w:val="right"/>
              <w:rPr>
                <w:sz w:val="22"/>
                <w:szCs w:val="22"/>
              </w:rPr>
            </w:pPr>
            <w:r w:rsidRPr="00C91E38">
              <w:rPr>
                <w:sz w:val="22"/>
                <w:szCs w:val="22"/>
              </w:rPr>
              <w:t> </w:t>
            </w:r>
          </w:p>
        </w:tc>
        <w:tc>
          <w:tcPr>
            <w:tcW w:w="1199" w:type="dxa"/>
            <w:tcBorders>
              <w:bottom w:val="single" w:sz="4" w:space="0" w:color="FFFFFF"/>
            </w:tcBorders>
            <w:vAlign w:val="bottom"/>
          </w:tcPr>
          <w:p w:rsidR="00C20988" w:rsidRPr="00C91E38" w:rsidRDefault="00C20988" w:rsidP="00C91E38">
            <w:pPr>
              <w:ind w:right="170"/>
              <w:jc w:val="right"/>
              <w:rPr>
                <w:sz w:val="22"/>
                <w:szCs w:val="22"/>
              </w:rPr>
            </w:pPr>
            <w:r w:rsidRPr="00C91E38">
              <w:rPr>
                <w:sz w:val="22"/>
                <w:szCs w:val="22"/>
              </w:rPr>
              <w:t> </w:t>
            </w:r>
          </w:p>
        </w:tc>
        <w:tc>
          <w:tcPr>
            <w:tcW w:w="1053" w:type="dxa"/>
            <w:tcBorders>
              <w:bottom w:val="single" w:sz="4" w:space="0" w:color="FFFFFF"/>
            </w:tcBorders>
            <w:vAlign w:val="bottom"/>
          </w:tcPr>
          <w:p w:rsidR="00C20988" w:rsidRPr="00C91E38" w:rsidRDefault="00C20988" w:rsidP="00C91E38">
            <w:pPr>
              <w:ind w:right="170"/>
              <w:jc w:val="right"/>
              <w:rPr>
                <w:sz w:val="22"/>
                <w:szCs w:val="22"/>
              </w:rPr>
            </w:pPr>
          </w:p>
        </w:tc>
        <w:tc>
          <w:tcPr>
            <w:tcW w:w="991" w:type="dxa"/>
            <w:tcBorders>
              <w:bottom w:val="single" w:sz="4" w:space="0" w:color="FFFFFF"/>
            </w:tcBorders>
            <w:vAlign w:val="bottom"/>
          </w:tcPr>
          <w:p w:rsidR="00C20988" w:rsidRPr="00C91E38" w:rsidRDefault="00C20988" w:rsidP="00C91E38">
            <w:pPr>
              <w:ind w:right="170"/>
              <w:jc w:val="right"/>
              <w:rPr>
                <w:sz w:val="22"/>
                <w:szCs w:val="22"/>
              </w:rPr>
            </w:pPr>
            <w:r w:rsidRPr="00C91E38">
              <w:rPr>
                <w:sz w:val="22"/>
                <w:szCs w:val="22"/>
              </w:rPr>
              <w:t> </w:t>
            </w:r>
          </w:p>
        </w:tc>
      </w:tr>
      <w:tr w:rsidR="00C20988" w:rsidRPr="00C91E38" w:rsidTr="00C91E38">
        <w:trPr>
          <w:cantSplit/>
          <w:trHeight w:val="193"/>
        </w:trPr>
        <w:tc>
          <w:tcPr>
            <w:tcW w:w="4137" w:type="dxa"/>
            <w:tcBorders>
              <w:top w:val="single" w:sz="4" w:space="0" w:color="FFFFFF"/>
            </w:tcBorders>
          </w:tcPr>
          <w:p w:rsidR="00C20988" w:rsidRPr="00C91E38" w:rsidRDefault="00C20988" w:rsidP="00C91E38">
            <w:pPr>
              <w:pStyle w:val="Heading3"/>
              <w:tabs>
                <w:tab w:val="left" w:pos="176"/>
                <w:tab w:val="left" w:pos="612"/>
              </w:tabs>
              <w:ind w:left="318" w:right="-108" w:firstLine="0"/>
              <w:rPr>
                <w:rFonts w:ascii="Times New Roman" w:hAnsi="Times New Roman" w:cs="Times New Roman"/>
                <w:i w:val="0"/>
                <w:color w:val="000000"/>
                <w:sz w:val="22"/>
                <w:szCs w:val="22"/>
              </w:rPr>
            </w:pPr>
            <w:r w:rsidRPr="00C91E38">
              <w:rPr>
                <w:rFonts w:ascii="Times New Roman" w:hAnsi="Times New Roman" w:cs="Times New Roman"/>
                <w:i w:val="0"/>
                <w:color w:val="000000"/>
                <w:sz w:val="22"/>
                <w:szCs w:val="22"/>
              </w:rPr>
              <w:t>- наличные деньги в обращении</w:t>
            </w:r>
          </w:p>
        </w:tc>
        <w:tc>
          <w:tcPr>
            <w:tcW w:w="1197" w:type="dxa"/>
            <w:tcBorders>
              <w:top w:val="single" w:sz="4" w:space="0" w:color="FFFFFF"/>
            </w:tcBorders>
            <w:vAlign w:val="bottom"/>
          </w:tcPr>
          <w:p w:rsidR="00C20988" w:rsidRPr="00C91E38" w:rsidRDefault="00C20988" w:rsidP="00C91E38">
            <w:pPr>
              <w:ind w:right="170"/>
              <w:jc w:val="right"/>
              <w:rPr>
                <w:sz w:val="22"/>
                <w:szCs w:val="22"/>
              </w:rPr>
            </w:pPr>
            <w:r w:rsidRPr="00C91E38">
              <w:rPr>
                <w:sz w:val="22"/>
                <w:szCs w:val="22"/>
              </w:rPr>
              <w:t>982,4</w:t>
            </w:r>
          </w:p>
        </w:tc>
        <w:tc>
          <w:tcPr>
            <w:tcW w:w="1054" w:type="dxa"/>
            <w:tcBorders>
              <w:top w:val="single" w:sz="4" w:space="0" w:color="FFFFFF"/>
            </w:tcBorders>
            <w:vAlign w:val="bottom"/>
          </w:tcPr>
          <w:p w:rsidR="00C20988" w:rsidRPr="00C91E38" w:rsidRDefault="00C20988" w:rsidP="00C91E38">
            <w:pPr>
              <w:ind w:right="170"/>
              <w:jc w:val="right"/>
              <w:rPr>
                <w:sz w:val="22"/>
                <w:szCs w:val="22"/>
              </w:rPr>
            </w:pPr>
            <w:r w:rsidRPr="00C91E38">
              <w:rPr>
                <w:sz w:val="22"/>
                <w:szCs w:val="22"/>
              </w:rPr>
              <w:t>13,2</w:t>
            </w:r>
          </w:p>
        </w:tc>
        <w:tc>
          <w:tcPr>
            <w:tcW w:w="1199" w:type="dxa"/>
            <w:tcBorders>
              <w:top w:val="single" w:sz="4" w:space="0" w:color="FFFFFF"/>
            </w:tcBorders>
            <w:vAlign w:val="bottom"/>
          </w:tcPr>
          <w:p w:rsidR="00C20988" w:rsidRPr="00C91E38" w:rsidRDefault="00C20988" w:rsidP="00C91E38">
            <w:pPr>
              <w:ind w:right="170"/>
              <w:jc w:val="right"/>
              <w:rPr>
                <w:sz w:val="22"/>
                <w:szCs w:val="22"/>
              </w:rPr>
            </w:pPr>
            <w:r w:rsidRPr="00C91E38">
              <w:rPr>
                <w:sz w:val="22"/>
                <w:szCs w:val="22"/>
              </w:rPr>
              <w:t>1 034,5</w:t>
            </w:r>
          </w:p>
        </w:tc>
        <w:tc>
          <w:tcPr>
            <w:tcW w:w="1053" w:type="dxa"/>
            <w:tcBorders>
              <w:top w:val="single" w:sz="4" w:space="0" w:color="FFFFFF"/>
            </w:tcBorders>
            <w:vAlign w:val="bottom"/>
          </w:tcPr>
          <w:p w:rsidR="00C20988" w:rsidRPr="00C91E38" w:rsidRDefault="00C20988" w:rsidP="00C91E38">
            <w:pPr>
              <w:ind w:right="170"/>
              <w:jc w:val="right"/>
              <w:rPr>
                <w:sz w:val="22"/>
                <w:szCs w:val="22"/>
              </w:rPr>
            </w:pPr>
            <w:r w:rsidRPr="00C91E38">
              <w:rPr>
                <w:sz w:val="22"/>
                <w:szCs w:val="22"/>
              </w:rPr>
              <w:t>12,7</w:t>
            </w:r>
          </w:p>
        </w:tc>
        <w:tc>
          <w:tcPr>
            <w:tcW w:w="991" w:type="dxa"/>
            <w:tcBorders>
              <w:top w:val="single" w:sz="4" w:space="0" w:color="FFFFFF"/>
            </w:tcBorders>
            <w:vAlign w:val="bottom"/>
          </w:tcPr>
          <w:p w:rsidR="00C20988" w:rsidRPr="00C91E38" w:rsidRDefault="00C20988" w:rsidP="00C91E38">
            <w:pPr>
              <w:ind w:right="170"/>
              <w:jc w:val="right"/>
              <w:rPr>
                <w:sz w:val="22"/>
                <w:szCs w:val="22"/>
              </w:rPr>
            </w:pPr>
            <w:r w:rsidRPr="00C91E38">
              <w:rPr>
                <w:sz w:val="22"/>
                <w:szCs w:val="22"/>
              </w:rPr>
              <w:t>105,3</w:t>
            </w:r>
          </w:p>
        </w:tc>
      </w:tr>
      <w:tr w:rsidR="00C20988" w:rsidRPr="00C91E38" w:rsidTr="00C91E38">
        <w:trPr>
          <w:cantSplit/>
          <w:trHeight w:val="193"/>
        </w:trPr>
        <w:tc>
          <w:tcPr>
            <w:tcW w:w="4137" w:type="dxa"/>
            <w:tcBorders>
              <w:top w:val="single" w:sz="4" w:space="0" w:color="FFFFFF"/>
            </w:tcBorders>
          </w:tcPr>
          <w:p w:rsidR="00C20988" w:rsidRPr="00C91E38" w:rsidRDefault="00C20988" w:rsidP="00C91E38">
            <w:pPr>
              <w:pStyle w:val="Heading3"/>
              <w:tabs>
                <w:tab w:val="left" w:pos="176"/>
                <w:tab w:val="left" w:pos="612"/>
              </w:tabs>
              <w:ind w:left="318" w:right="-108" w:firstLine="0"/>
              <w:rPr>
                <w:rFonts w:ascii="Times New Roman" w:hAnsi="Times New Roman" w:cs="Times New Roman"/>
                <w:i w:val="0"/>
                <w:color w:val="000000"/>
                <w:sz w:val="22"/>
                <w:szCs w:val="22"/>
              </w:rPr>
            </w:pPr>
            <w:r w:rsidRPr="00C91E38">
              <w:rPr>
                <w:rFonts w:ascii="Times New Roman" w:hAnsi="Times New Roman" w:cs="Times New Roman"/>
                <w:i w:val="0"/>
                <w:color w:val="000000"/>
                <w:sz w:val="22"/>
                <w:szCs w:val="22"/>
                <w:lang w:val="en-US"/>
              </w:rPr>
              <w:t>-</w:t>
            </w:r>
            <w:r w:rsidRPr="00C91E38">
              <w:rPr>
                <w:rFonts w:ascii="Times New Roman" w:hAnsi="Times New Roman" w:cs="Times New Roman"/>
                <w:i w:val="0"/>
                <w:color w:val="000000"/>
                <w:sz w:val="22"/>
                <w:szCs w:val="22"/>
              </w:rPr>
              <w:t xml:space="preserve"> безналичные денежные средства</w:t>
            </w:r>
          </w:p>
        </w:tc>
        <w:tc>
          <w:tcPr>
            <w:tcW w:w="1197" w:type="dxa"/>
            <w:tcBorders>
              <w:top w:val="single" w:sz="4" w:space="0" w:color="FFFFFF"/>
            </w:tcBorders>
            <w:vAlign w:val="bottom"/>
          </w:tcPr>
          <w:p w:rsidR="00C20988" w:rsidRPr="00C91E38" w:rsidRDefault="00C20988" w:rsidP="00C91E38">
            <w:pPr>
              <w:ind w:right="170"/>
              <w:jc w:val="right"/>
              <w:rPr>
                <w:sz w:val="22"/>
                <w:szCs w:val="22"/>
              </w:rPr>
            </w:pPr>
            <w:r w:rsidRPr="00C91E38">
              <w:rPr>
                <w:sz w:val="22"/>
                <w:szCs w:val="22"/>
              </w:rPr>
              <w:t>1 351,7</w:t>
            </w:r>
          </w:p>
        </w:tc>
        <w:tc>
          <w:tcPr>
            <w:tcW w:w="1054" w:type="dxa"/>
            <w:tcBorders>
              <w:top w:val="single" w:sz="4" w:space="0" w:color="FFFFFF"/>
            </w:tcBorders>
            <w:vAlign w:val="bottom"/>
          </w:tcPr>
          <w:p w:rsidR="00C20988" w:rsidRPr="00C91E38" w:rsidRDefault="00C20988" w:rsidP="00C91E38">
            <w:pPr>
              <w:ind w:right="170"/>
              <w:jc w:val="right"/>
              <w:rPr>
                <w:sz w:val="22"/>
                <w:szCs w:val="22"/>
              </w:rPr>
            </w:pPr>
            <w:r w:rsidRPr="00C91E38">
              <w:rPr>
                <w:sz w:val="22"/>
                <w:szCs w:val="22"/>
              </w:rPr>
              <w:t>18,2</w:t>
            </w:r>
          </w:p>
        </w:tc>
        <w:tc>
          <w:tcPr>
            <w:tcW w:w="1199" w:type="dxa"/>
            <w:tcBorders>
              <w:top w:val="single" w:sz="4" w:space="0" w:color="FFFFFF"/>
            </w:tcBorders>
            <w:vAlign w:val="bottom"/>
          </w:tcPr>
          <w:p w:rsidR="00C20988" w:rsidRPr="00C91E38" w:rsidRDefault="00C20988" w:rsidP="00C91E38">
            <w:pPr>
              <w:ind w:right="170"/>
              <w:jc w:val="right"/>
              <w:rPr>
                <w:sz w:val="22"/>
                <w:szCs w:val="22"/>
              </w:rPr>
            </w:pPr>
            <w:r w:rsidRPr="00C91E38">
              <w:rPr>
                <w:sz w:val="22"/>
                <w:szCs w:val="22"/>
              </w:rPr>
              <w:t>1 723,5</w:t>
            </w:r>
          </w:p>
        </w:tc>
        <w:tc>
          <w:tcPr>
            <w:tcW w:w="1053" w:type="dxa"/>
            <w:tcBorders>
              <w:top w:val="single" w:sz="4" w:space="0" w:color="FFFFFF"/>
            </w:tcBorders>
            <w:vAlign w:val="bottom"/>
          </w:tcPr>
          <w:p w:rsidR="00C20988" w:rsidRPr="00C91E38" w:rsidRDefault="00C20988" w:rsidP="00C91E38">
            <w:pPr>
              <w:ind w:right="170"/>
              <w:jc w:val="right"/>
              <w:rPr>
                <w:sz w:val="22"/>
                <w:szCs w:val="22"/>
              </w:rPr>
            </w:pPr>
            <w:r w:rsidRPr="00C91E38">
              <w:rPr>
                <w:sz w:val="22"/>
                <w:szCs w:val="22"/>
              </w:rPr>
              <w:t>21,2</w:t>
            </w:r>
          </w:p>
        </w:tc>
        <w:tc>
          <w:tcPr>
            <w:tcW w:w="991" w:type="dxa"/>
            <w:tcBorders>
              <w:top w:val="single" w:sz="4" w:space="0" w:color="FFFFFF"/>
            </w:tcBorders>
            <w:vAlign w:val="bottom"/>
          </w:tcPr>
          <w:p w:rsidR="00C20988" w:rsidRPr="00C91E38" w:rsidRDefault="00C20988" w:rsidP="00C91E38">
            <w:pPr>
              <w:ind w:right="170"/>
              <w:jc w:val="right"/>
              <w:rPr>
                <w:sz w:val="22"/>
                <w:szCs w:val="22"/>
              </w:rPr>
            </w:pPr>
            <w:r w:rsidRPr="00C91E38">
              <w:rPr>
                <w:sz w:val="22"/>
                <w:szCs w:val="22"/>
              </w:rPr>
              <w:t>127,5</w:t>
            </w:r>
          </w:p>
        </w:tc>
      </w:tr>
      <w:tr w:rsidR="00C20988" w:rsidRPr="00C91E38" w:rsidTr="00C91E38">
        <w:trPr>
          <w:trHeight w:val="170"/>
        </w:trPr>
        <w:tc>
          <w:tcPr>
            <w:tcW w:w="4137" w:type="dxa"/>
            <w:shd w:val="clear" w:color="auto" w:fill="E6E6E6"/>
          </w:tcPr>
          <w:p w:rsidR="00C20988" w:rsidRPr="00C91E38" w:rsidRDefault="00C20988" w:rsidP="00C91E38">
            <w:pPr>
              <w:tabs>
                <w:tab w:val="left" w:pos="0"/>
                <w:tab w:val="left" w:pos="612"/>
              </w:tabs>
              <w:ind w:left="176" w:right="-1"/>
              <w:rPr>
                <w:color w:val="000000"/>
                <w:sz w:val="22"/>
                <w:szCs w:val="22"/>
              </w:rPr>
            </w:pPr>
            <w:r>
              <w:rPr>
                <w:color w:val="000000"/>
                <w:sz w:val="22"/>
                <w:szCs w:val="22"/>
              </w:rPr>
              <w:t xml:space="preserve">- </w:t>
            </w:r>
            <w:r w:rsidRPr="00C91E38">
              <w:rPr>
                <w:color w:val="000000"/>
                <w:sz w:val="22"/>
                <w:szCs w:val="22"/>
              </w:rPr>
              <w:t>денежная масса в иностранной валюте</w:t>
            </w:r>
          </w:p>
        </w:tc>
        <w:tc>
          <w:tcPr>
            <w:tcW w:w="1197" w:type="dxa"/>
            <w:shd w:val="clear" w:color="auto" w:fill="E6E6E6"/>
            <w:vAlign w:val="bottom"/>
          </w:tcPr>
          <w:p w:rsidR="00C20988" w:rsidRPr="00C91E38" w:rsidRDefault="00C20988" w:rsidP="00C91E38">
            <w:pPr>
              <w:ind w:right="170"/>
              <w:jc w:val="right"/>
              <w:rPr>
                <w:sz w:val="22"/>
                <w:szCs w:val="22"/>
              </w:rPr>
            </w:pPr>
            <w:r w:rsidRPr="00C91E38">
              <w:rPr>
                <w:sz w:val="22"/>
                <w:szCs w:val="22"/>
              </w:rPr>
              <w:t>5 099,8</w:t>
            </w:r>
          </w:p>
        </w:tc>
        <w:tc>
          <w:tcPr>
            <w:tcW w:w="1054" w:type="dxa"/>
            <w:shd w:val="clear" w:color="auto" w:fill="E6E6E6"/>
            <w:vAlign w:val="bottom"/>
          </w:tcPr>
          <w:p w:rsidR="00C20988" w:rsidRPr="00C91E38" w:rsidRDefault="00C20988" w:rsidP="00C91E38">
            <w:pPr>
              <w:ind w:right="170"/>
              <w:jc w:val="right"/>
              <w:rPr>
                <w:sz w:val="22"/>
                <w:szCs w:val="22"/>
              </w:rPr>
            </w:pPr>
            <w:r w:rsidRPr="00C91E38">
              <w:rPr>
                <w:sz w:val="22"/>
                <w:szCs w:val="22"/>
              </w:rPr>
              <w:t>68,6</w:t>
            </w:r>
          </w:p>
        </w:tc>
        <w:tc>
          <w:tcPr>
            <w:tcW w:w="1199" w:type="dxa"/>
            <w:shd w:val="clear" w:color="auto" w:fill="E6E6E6"/>
            <w:vAlign w:val="bottom"/>
          </w:tcPr>
          <w:p w:rsidR="00C20988" w:rsidRPr="00C91E38" w:rsidRDefault="00C20988" w:rsidP="00C91E38">
            <w:pPr>
              <w:ind w:right="170"/>
              <w:jc w:val="right"/>
              <w:rPr>
                <w:sz w:val="22"/>
                <w:szCs w:val="22"/>
              </w:rPr>
            </w:pPr>
            <w:r w:rsidRPr="00C91E38">
              <w:rPr>
                <w:sz w:val="22"/>
                <w:szCs w:val="22"/>
              </w:rPr>
              <w:t>5 372,0</w:t>
            </w:r>
          </w:p>
        </w:tc>
        <w:tc>
          <w:tcPr>
            <w:tcW w:w="1053" w:type="dxa"/>
            <w:shd w:val="clear" w:color="auto" w:fill="E6E6E6"/>
            <w:vAlign w:val="bottom"/>
          </w:tcPr>
          <w:p w:rsidR="00C20988" w:rsidRPr="00C91E38" w:rsidRDefault="00C20988" w:rsidP="00C91E38">
            <w:pPr>
              <w:ind w:right="170"/>
              <w:jc w:val="right"/>
              <w:rPr>
                <w:sz w:val="22"/>
                <w:szCs w:val="22"/>
              </w:rPr>
            </w:pPr>
            <w:r w:rsidRPr="00C91E38">
              <w:rPr>
                <w:sz w:val="22"/>
                <w:szCs w:val="22"/>
              </w:rPr>
              <w:t>66,1</w:t>
            </w:r>
          </w:p>
        </w:tc>
        <w:tc>
          <w:tcPr>
            <w:tcW w:w="991" w:type="dxa"/>
            <w:shd w:val="clear" w:color="auto" w:fill="E6E6E6"/>
            <w:vAlign w:val="bottom"/>
          </w:tcPr>
          <w:p w:rsidR="00C20988" w:rsidRPr="00C91E38" w:rsidRDefault="00C20988" w:rsidP="00C91E38">
            <w:pPr>
              <w:ind w:right="170"/>
              <w:jc w:val="right"/>
              <w:rPr>
                <w:sz w:val="22"/>
                <w:szCs w:val="22"/>
              </w:rPr>
            </w:pPr>
            <w:r w:rsidRPr="00C91E38">
              <w:rPr>
                <w:sz w:val="22"/>
                <w:szCs w:val="22"/>
              </w:rPr>
              <w:t>105,3</w:t>
            </w:r>
          </w:p>
        </w:tc>
      </w:tr>
    </w:tbl>
    <w:bookmarkEnd w:id="3"/>
    <w:p w:rsidR="00C20988" w:rsidRPr="00210B2B" w:rsidRDefault="00C20988" w:rsidP="00C91E38">
      <w:pPr>
        <w:spacing w:before="120"/>
        <w:ind w:firstLine="425"/>
        <w:jc w:val="both"/>
        <w:rPr>
          <w:sz w:val="24"/>
          <w:szCs w:val="24"/>
        </w:rPr>
      </w:pPr>
      <w:r w:rsidRPr="00210B2B">
        <w:rPr>
          <w:sz w:val="24"/>
          <w:szCs w:val="24"/>
        </w:rPr>
        <w:t xml:space="preserve">Расширению </w:t>
      </w:r>
      <w:r>
        <w:rPr>
          <w:sz w:val="24"/>
          <w:szCs w:val="24"/>
        </w:rPr>
        <w:t>рублёвого денежного предложения</w:t>
      </w:r>
      <w:r w:rsidRPr="00210B2B">
        <w:rPr>
          <w:sz w:val="24"/>
          <w:szCs w:val="24"/>
        </w:rPr>
        <w:t xml:space="preserve"> в отчётном периоде способствовало в основном пополнение текущих счетов </w:t>
      </w:r>
      <w:r>
        <w:rPr>
          <w:sz w:val="24"/>
          <w:szCs w:val="24"/>
        </w:rPr>
        <w:t xml:space="preserve">юридических и физических лиц </w:t>
      </w:r>
      <w:r w:rsidRPr="00210B2B">
        <w:rPr>
          <w:sz w:val="24"/>
          <w:szCs w:val="24"/>
        </w:rPr>
        <w:t xml:space="preserve">на 26,8%, до </w:t>
      </w:r>
      <w:r>
        <w:rPr>
          <w:sz w:val="24"/>
          <w:szCs w:val="24"/>
        </w:rPr>
        <w:br/>
      </w:r>
      <w:r w:rsidRPr="00210B2B">
        <w:rPr>
          <w:sz w:val="24"/>
          <w:szCs w:val="24"/>
        </w:rPr>
        <w:t>1 572,0 млн руб.</w:t>
      </w:r>
      <w:r>
        <w:rPr>
          <w:sz w:val="24"/>
          <w:szCs w:val="24"/>
        </w:rPr>
        <w:t>,</w:t>
      </w:r>
      <w:r w:rsidRPr="00210B2B">
        <w:rPr>
          <w:sz w:val="24"/>
          <w:szCs w:val="24"/>
        </w:rPr>
        <w:t xml:space="preserve"> и срочных депози</w:t>
      </w:r>
      <w:r>
        <w:rPr>
          <w:sz w:val="24"/>
          <w:szCs w:val="24"/>
        </w:rPr>
        <w:t>тов на 34,1%, до 150,4 млн руб</w:t>
      </w:r>
      <w:r w:rsidRPr="00210B2B">
        <w:rPr>
          <w:sz w:val="24"/>
          <w:szCs w:val="24"/>
        </w:rPr>
        <w:t xml:space="preserve">. </w:t>
      </w:r>
      <w:r w:rsidRPr="00210B2B">
        <w:rPr>
          <w:sz w:val="24"/>
          <w:szCs w:val="22"/>
        </w:rPr>
        <w:t>Остаток средств, участвующих в операциях с ценными бумагами, увеличился с 0,2 млн р</w:t>
      </w:r>
      <w:r>
        <w:rPr>
          <w:sz w:val="24"/>
          <w:szCs w:val="22"/>
        </w:rPr>
        <w:t>уб. до 1,1</w:t>
      </w:r>
      <w:r w:rsidRPr="00210B2B">
        <w:rPr>
          <w:sz w:val="24"/>
          <w:szCs w:val="22"/>
        </w:rPr>
        <w:t xml:space="preserve"> млн руб. </w:t>
      </w:r>
      <w:r w:rsidRPr="00210B2B">
        <w:rPr>
          <w:sz w:val="24"/>
          <w:szCs w:val="24"/>
        </w:rPr>
        <w:t xml:space="preserve">Всего в безналичном сегменте на 1 января 2019 года сосредоточено 1 723,5 млн руб., или 62,5% национальной денежной массы (57,9% на начало </w:t>
      </w:r>
      <w:r>
        <w:rPr>
          <w:sz w:val="24"/>
          <w:szCs w:val="24"/>
        </w:rPr>
        <w:t xml:space="preserve">отчётного </w:t>
      </w:r>
      <w:r w:rsidRPr="00210B2B">
        <w:rPr>
          <w:sz w:val="24"/>
          <w:szCs w:val="24"/>
        </w:rPr>
        <w:t xml:space="preserve">года). </w:t>
      </w:r>
    </w:p>
    <w:p w:rsidR="00C20988" w:rsidRDefault="00C20988" w:rsidP="00E053D8">
      <w:pPr>
        <w:widowControl w:val="0"/>
        <w:ind w:firstLine="425"/>
        <w:jc w:val="both"/>
        <w:rPr>
          <w:sz w:val="24"/>
          <w:szCs w:val="24"/>
        </w:rPr>
      </w:pPr>
      <w:r w:rsidRPr="00210B2B">
        <w:rPr>
          <w:sz w:val="24"/>
          <w:szCs w:val="24"/>
        </w:rPr>
        <w:t xml:space="preserve">Объём наличных денежных средств, находящихся в обращении вне касс кредитных организаций, увеличился на 5,3% (+52,1 млн руб.), до 1 034,5 млн руб. Внутригодовая динамика </w:t>
      </w:r>
      <w:r>
        <w:rPr>
          <w:sz w:val="24"/>
          <w:szCs w:val="24"/>
        </w:rPr>
        <w:t>показателя</w:t>
      </w:r>
      <w:r w:rsidRPr="00210B2B">
        <w:rPr>
          <w:sz w:val="24"/>
          <w:szCs w:val="24"/>
        </w:rPr>
        <w:t xml:space="preserve"> характеризовалась умеренными колебаниями преимущественно в сторону сжатия и повышением в конце года по причине осуществления социальных выплат населению из средств поступивших из Российской Федерации трансфертов. </w:t>
      </w:r>
    </w:p>
    <w:p w:rsidR="00C20988" w:rsidRPr="00210B2B" w:rsidRDefault="00C20988" w:rsidP="00E053D8">
      <w:pPr>
        <w:widowControl w:val="0"/>
        <w:ind w:firstLine="425"/>
        <w:jc w:val="both"/>
        <w:rPr>
          <w:sz w:val="24"/>
          <w:szCs w:val="24"/>
        </w:rPr>
      </w:pPr>
      <w:r>
        <w:rPr>
          <w:sz w:val="24"/>
          <w:szCs w:val="24"/>
        </w:rPr>
        <w:t>В результате существенного роста величины безналичных средств к</w:t>
      </w:r>
      <w:r w:rsidRPr="00210B2B">
        <w:rPr>
          <w:sz w:val="24"/>
          <w:szCs w:val="24"/>
        </w:rPr>
        <w:t>оэффициент наличности национальной денежной массы на 1 января 2019 года снизился по отношению к началу года на 4,6 п.п., до 37,5% (42,1% на 01.01.2018). Таким образом, на один рубль, задействованный в наличном обороте, пришлось 1,67 безналичного рубля против 1,38 рубля на начало года, что свидетельствует об активном развитии сферы безналичных расчётов в республике.</w:t>
      </w:r>
    </w:p>
    <w:p w:rsidR="00C20988" w:rsidRDefault="00C20988" w:rsidP="00E053D8">
      <w:pPr>
        <w:widowControl w:val="0"/>
        <w:ind w:firstLine="425"/>
        <w:jc w:val="both"/>
        <w:rPr>
          <w:sz w:val="24"/>
          <w:szCs w:val="24"/>
        </w:rPr>
      </w:pPr>
      <w:r w:rsidRPr="00210B2B">
        <w:rPr>
          <w:sz w:val="24"/>
          <w:szCs w:val="24"/>
        </w:rPr>
        <w:t xml:space="preserve">Денежная масса в иностранной валюте возросла на 5,3%, или на 272,2 млн руб., сложившись на уровне 5 372,0 млн руб. </w:t>
      </w:r>
    </w:p>
    <w:p w:rsidR="00C20988" w:rsidRPr="00210B2B" w:rsidRDefault="00C20988" w:rsidP="00E053D8">
      <w:pPr>
        <w:widowControl w:val="0"/>
        <w:ind w:firstLine="425"/>
        <w:jc w:val="both"/>
        <w:rPr>
          <w:sz w:val="24"/>
          <w:szCs w:val="24"/>
        </w:rPr>
      </w:pPr>
      <w:r w:rsidRPr="00210B2B">
        <w:rPr>
          <w:sz w:val="24"/>
          <w:szCs w:val="24"/>
        </w:rPr>
        <w:t>Таким образом, объём совокупного денежного предложения</w:t>
      </w:r>
      <w:r>
        <w:rPr>
          <w:sz w:val="24"/>
          <w:szCs w:val="24"/>
        </w:rPr>
        <w:t xml:space="preserve"> </w:t>
      </w:r>
      <w:r w:rsidRPr="00210B2B">
        <w:rPr>
          <w:sz w:val="24"/>
          <w:szCs w:val="24"/>
        </w:rPr>
        <w:t xml:space="preserve">на </w:t>
      </w:r>
      <w:r>
        <w:rPr>
          <w:sz w:val="24"/>
          <w:szCs w:val="24"/>
        </w:rPr>
        <w:t>конец</w:t>
      </w:r>
      <w:r w:rsidRPr="00210B2B">
        <w:rPr>
          <w:sz w:val="24"/>
          <w:szCs w:val="24"/>
        </w:rPr>
        <w:t xml:space="preserve"> 201</w:t>
      </w:r>
      <w:r>
        <w:rPr>
          <w:sz w:val="24"/>
          <w:szCs w:val="24"/>
        </w:rPr>
        <w:t>8</w:t>
      </w:r>
      <w:r w:rsidRPr="00210B2B">
        <w:rPr>
          <w:sz w:val="24"/>
          <w:szCs w:val="24"/>
        </w:rPr>
        <w:t xml:space="preserve"> года </w:t>
      </w:r>
      <w:r>
        <w:rPr>
          <w:sz w:val="24"/>
          <w:szCs w:val="24"/>
        </w:rPr>
        <w:t xml:space="preserve">достиг </w:t>
      </w:r>
      <w:r w:rsidRPr="00210B2B">
        <w:rPr>
          <w:sz w:val="24"/>
          <w:szCs w:val="24"/>
        </w:rPr>
        <w:t xml:space="preserve">8 130,0 млн руб., превысив уровень начала </w:t>
      </w:r>
      <w:r>
        <w:rPr>
          <w:sz w:val="24"/>
          <w:szCs w:val="24"/>
        </w:rPr>
        <w:t xml:space="preserve">отчётного </w:t>
      </w:r>
      <w:r w:rsidRPr="00210B2B">
        <w:rPr>
          <w:sz w:val="24"/>
          <w:szCs w:val="24"/>
        </w:rPr>
        <w:t>года на 9,4%</w:t>
      </w:r>
      <w:r>
        <w:rPr>
          <w:sz w:val="24"/>
          <w:szCs w:val="24"/>
        </w:rPr>
        <w:t xml:space="preserve"> </w:t>
      </w:r>
      <w:r w:rsidRPr="00210B2B">
        <w:rPr>
          <w:sz w:val="24"/>
          <w:szCs w:val="24"/>
        </w:rPr>
        <w:t>(+696,1 млн руб.). Коэффициент валютизации сократился на 2,5 п.п. и составил 66,1%.</w:t>
      </w:r>
    </w:p>
    <w:p w:rsidR="00C20988" w:rsidRPr="00210B2B" w:rsidRDefault="00C20988" w:rsidP="0054585E">
      <w:pPr>
        <w:ind w:firstLine="425"/>
        <w:jc w:val="both"/>
        <w:rPr>
          <w:color w:val="000000"/>
          <w:sz w:val="24"/>
          <w:szCs w:val="24"/>
        </w:rPr>
      </w:pPr>
      <w:r w:rsidRPr="00210B2B">
        <w:rPr>
          <w:color w:val="000000"/>
          <w:sz w:val="24"/>
          <w:szCs w:val="24"/>
        </w:rPr>
        <w:t>По итогам 2018 год</w:t>
      </w:r>
      <w:r>
        <w:rPr>
          <w:color w:val="000000"/>
          <w:sz w:val="24"/>
          <w:szCs w:val="24"/>
        </w:rPr>
        <w:t>а</w:t>
      </w:r>
      <w:r w:rsidRPr="00210B2B">
        <w:rPr>
          <w:color w:val="000000"/>
          <w:sz w:val="24"/>
          <w:szCs w:val="24"/>
        </w:rPr>
        <w:t xml:space="preserve"> размер денежной базы увеличился на 22,7% (+397,6 млн руб.), составив 2 148,3 млн руб. </w:t>
      </w:r>
      <w:r>
        <w:rPr>
          <w:color w:val="000000"/>
          <w:sz w:val="24"/>
          <w:szCs w:val="24"/>
        </w:rPr>
        <w:t>(табл. 1.7). О</w:t>
      </w:r>
      <w:r w:rsidRPr="00210B2B">
        <w:rPr>
          <w:color w:val="000000"/>
          <w:sz w:val="24"/>
          <w:szCs w:val="24"/>
        </w:rPr>
        <w:t>сновным фактором данного изменения яв</w:t>
      </w:r>
      <w:r>
        <w:rPr>
          <w:color w:val="000000"/>
          <w:sz w:val="24"/>
          <w:szCs w:val="24"/>
        </w:rPr>
        <w:t>и</w:t>
      </w:r>
      <w:r w:rsidRPr="00210B2B">
        <w:rPr>
          <w:color w:val="000000"/>
          <w:sz w:val="24"/>
          <w:szCs w:val="24"/>
        </w:rPr>
        <w:t>л</w:t>
      </w:r>
      <w:r>
        <w:rPr>
          <w:color w:val="000000"/>
          <w:sz w:val="24"/>
          <w:szCs w:val="24"/>
        </w:rPr>
        <w:t>ось</w:t>
      </w:r>
      <w:r w:rsidRPr="00210B2B">
        <w:rPr>
          <w:color w:val="000000"/>
          <w:sz w:val="24"/>
          <w:szCs w:val="24"/>
        </w:rPr>
        <w:t xml:space="preserve"> повышение остатков средств, размещённых на корреспондентских счетах коммерческих банков в </w:t>
      </w:r>
      <w:r>
        <w:rPr>
          <w:color w:val="000000"/>
          <w:sz w:val="24"/>
          <w:szCs w:val="24"/>
        </w:rPr>
        <w:t>Приднестровском республиканском банке</w:t>
      </w:r>
      <w:r w:rsidRPr="00210B2B">
        <w:rPr>
          <w:color w:val="000000"/>
          <w:sz w:val="24"/>
          <w:szCs w:val="24"/>
        </w:rPr>
        <w:t xml:space="preserve">, на 44,9% (+274,3 млн руб.), до </w:t>
      </w:r>
      <w:r>
        <w:rPr>
          <w:color w:val="000000"/>
          <w:sz w:val="24"/>
          <w:szCs w:val="24"/>
        </w:rPr>
        <w:br/>
      </w:r>
      <w:r w:rsidRPr="00210B2B">
        <w:rPr>
          <w:color w:val="000000"/>
          <w:sz w:val="24"/>
          <w:szCs w:val="24"/>
        </w:rPr>
        <w:t xml:space="preserve">884,8 млн руб. </w:t>
      </w:r>
      <w:r w:rsidRPr="00210B2B">
        <w:rPr>
          <w:sz w:val="24"/>
          <w:szCs w:val="24"/>
        </w:rPr>
        <w:t>В их числе</w:t>
      </w:r>
      <w:r>
        <w:rPr>
          <w:sz w:val="24"/>
          <w:szCs w:val="24"/>
        </w:rPr>
        <w:t xml:space="preserve"> средства, депонированные в </w:t>
      </w:r>
      <w:r w:rsidRPr="00210B2B">
        <w:rPr>
          <w:sz w:val="24"/>
          <w:szCs w:val="24"/>
        </w:rPr>
        <w:t>фонды обязательного резервирования и страхования</w:t>
      </w:r>
      <w:r>
        <w:rPr>
          <w:sz w:val="24"/>
          <w:szCs w:val="24"/>
        </w:rPr>
        <w:t>,</w:t>
      </w:r>
      <w:r w:rsidRPr="00210B2B">
        <w:rPr>
          <w:sz w:val="24"/>
          <w:szCs w:val="24"/>
        </w:rPr>
        <w:t xml:space="preserve"> увеличились на 23,5% и составили 666,6 млн руб., что обусловлено ростом объёма привлечённых средств</w:t>
      </w:r>
      <w:r>
        <w:rPr>
          <w:sz w:val="24"/>
          <w:szCs w:val="24"/>
        </w:rPr>
        <w:t xml:space="preserve"> коммерческих банков</w:t>
      </w:r>
      <w:r w:rsidRPr="00210B2B">
        <w:rPr>
          <w:sz w:val="24"/>
          <w:szCs w:val="24"/>
        </w:rPr>
        <w:t xml:space="preserve">, являющихся расчётной базой. </w:t>
      </w:r>
      <w:r w:rsidRPr="00210B2B">
        <w:rPr>
          <w:color w:val="000000"/>
          <w:sz w:val="24"/>
          <w:szCs w:val="24"/>
        </w:rPr>
        <w:t>Величина обязательств центрального банка по выпущенным наличным денежным средствам увеличилась на 10,8% (+123,3 млн руб.), до 1 263,5 млн руб.,</w:t>
      </w:r>
      <w:r w:rsidRPr="00210B2B">
        <w:rPr>
          <w:color w:val="000000"/>
          <w:sz w:val="24"/>
          <w:szCs w:val="22"/>
        </w:rPr>
        <w:t xml:space="preserve"> из которых</w:t>
      </w:r>
      <w:r>
        <w:rPr>
          <w:color w:val="000000"/>
          <w:sz w:val="24"/>
          <w:szCs w:val="22"/>
        </w:rPr>
        <w:t xml:space="preserve"> </w:t>
      </w:r>
      <w:r w:rsidRPr="00210B2B">
        <w:rPr>
          <w:color w:val="000000"/>
          <w:sz w:val="24"/>
          <w:szCs w:val="24"/>
        </w:rPr>
        <w:t>229,0 млн руб. (+45,1%, или +71,2 млн руб.) находились в кассах кредитных организаций.</w:t>
      </w:r>
    </w:p>
    <w:p w:rsidR="00C20988" w:rsidRPr="003248C9" w:rsidRDefault="00C20988" w:rsidP="00C91E38">
      <w:pPr>
        <w:spacing w:before="120" w:after="120"/>
        <w:ind w:firstLine="425"/>
        <w:jc w:val="right"/>
        <w:rPr>
          <w:b/>
          <w:i/>
          <w:sz w:val="24"/>
          <w:szCs w:val="22"/>
        </w:rPr>
      </w:pPr>
      <w:r w:rsidRPr="00C91E38">
        <w:rPr>
          <w:b/>
          <w:i/>
          <w:sz w:val="24"/>
          <w:szCs w:val="22"/>
        </w:rPr>
        <w:t>Таблица 1.</w:t>
      </w:r>
      <w:r>
        <w:rPr>
          <w:b/>
          <w:i/>
          <w:sz w:val="24"/>
          <w:szCs w:val="22"/>
        </w:rPr>
        <w:t>7</w:t>
      </w:r>
    </w:p>
    <w:p w:rsidR="00C20988" w:rsidRPr="00C91E38" w:rsidRDefault="00C20988" w:rsidP="00C91E38">
      <w:pPr>
        <w:spacing w:after="120"/>
        <w:jc w:val="center"/>
        <w:rPr>
          <w:b/>
          <w:i/>
          <w:color w:val="000000"/>
          <w:sz w:val="24"/>
          <w:szCs w:val="22"/>
        </w:rPr>
      </w:pPr>
      <w:r w:rsidRPr="00C91E38">
        <w:rPr>
          <w:b/>
          <w:i/>
          <w:color w:val="000000"/>
          <w:sz w:val="24"/>
          <w:szCs w:val="22"/>
        </w:rPr>
        <w:t xml:space="preserve">Структура и динамика денежной базы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7"/>
        <w:gridCol w:w="1269"/>
        <w:gridCol w:w="1269"/>
        <w:gridCol w:w="1269"/>
        <w:gridCol w:w="1270"/>
        <w:gridCol w:w="1045"/>
      </w:tblGrid>
      <w:tr w:rsidR="00C20988" w:rsidRPr="00C91E38" w:rsidTr="00C91E38">
        <w:trPr>
          <w:cantSplit/>
          <w:trHeight w:val="151"/>
        </w:trPr>
        <w:tc>
          <w:tcPr>
            <w:tcW w:w="3517" w:type="dxa"/>
            <w:vMerge w:val="restart"/>
            <w:shd w:val="clear" w:color="auto" w:fill="CCCCCC"/>
          </w:tcPr>
          <w:p w:rsidR="00C20988" w:rsidRPr="00C91E38" w:rsidRDefault="00C20988" w:rsidP="00C91E38">
            <w:pPr>
              <w:ind w:left="-108"/>
              <w:jc w:val="both"/>
              <w:rPr>
                <w:color w:val="000000"/>
                <w:sz w:val="22"/>
                <w:szCs w:val="22"/>
              </w:rPr>
            </w:pPr>
          </w:p>
        </w:tc>
        <w:tc>
          <w:tcPr>
            <w:tcW w:w="2538" w:type="dxa"/>
            <w:gridSpan w:val="2"/>
            <w:shd w:val="clear" w:color="auto" w:fill="CCCCCC"/>
            <w:vAlign w:val="bottom"/>
          </w:tcPr>
          <w:p w:rsidR="00C20988" w:rsidRPr="00C91E38" w:rsidRDefault="00C20988" w:rsidP="00C91E38">
            <w:pPr>
              <w:ind w:left="-107" w:right="-111"/>
              <w:jc w:val="center"/>
              <w:rPr>
                <w:sz w:val="22"/>
              </w:rPr>
            </w:pPr>
            <w:r w:rsidRPr="00C91E38">
              <w:rPr>
                <w:sz w:val="22"/>
              </w:rPr>
              <w:t>на 01.01.2018</w:t>
            </w:r>
          </w:p>
        </w:tc>
        <w:tc>
          <w:tcPr>
            <w:tcW w:w="2539" w:type="dxa"/>
            <w:gridSpan w:val="2"/>
            <w:shd w:val="clear" w:color="auto" w:fill="CCCCCC"/>
            <w:vAlign w:val="bottom"/>
          </w:tcPr>
          <w:p w:rsidR="00C20988" w:rsidRPr="00C91E38" w:rsidRDefault="00C20988" w:rsidP="00C91E38">
            <w:pPr>
              <w:ind w:left="-107" w:right="-111"/>
              <w:jc w:val="center"/>
              <w:rPr>
                <w:sz w:val="22"/>
              </w:rPr>
            </w:pPr>
            <w:r w:rsidRPr="00C91E38">
              <w:rPr>
                <w:sz w:val="22"/>
              </w:rPr>
              <w:t>на 01.01.2019</w:t>
            </w:r>
          </w:p>
        </w:tc>
        <w:tc>
          <w:tcPr>
            <w:tcW w:w="1045" w:type="dxa"/>
            <w:vMerge w:val="restart"/>
            <w:shd w:val="clear" w:color="auto" w:fill="CCCCCC"/>
            <w:vAlign w:val="center"/>
          </w:tcPr>
          <w:p w:rsidR="00C20988" w:rsidRPr="00C91E38" w:rsidRDefault="00C20988" w:rsidP="00C91E38">
            <w:pPr>
              <w:jc w:val="center"/>
              <w:rPr>
                <w:color w:val="000000"/>
                <w:sz w:val="22"/>
              </w:rPr>
            </w:pPr>
            <w:r w:rsidRPr="00C91E38">
              <w:rPr>
                <w:color w:val="000000"/>
                <w:sz w:val="22"/>
              </w:rPr>
              <w:t>темп роста, %</w:t>
            </w:r>
          </w:p>
        </w:tc>
      </w:tr>
      <w:tr w:rsidR="00C20988" w:rsidRPr="00C91E38" w:rsidTr="00C91E38">
        <w:trPr>
          <w:cantSplit/>
          <w:trHeight w:val="117"/>
        </w:trPr>
        <w:tc>
          <w:tcPr>
            <w:tcW w:w="3517" w:type="dxa"/>
            <w:vMerge/>
            <w:tcBorders>
              <w:bottom w:val="double" w:sz="4" w:space="0" w:color="auto"/>
            </w:tcBorders>
          </w:tcPr>
          <w:p w:rsidR="00C20988" w:rsidRPr="00C91E38" w:rsidRDefault="00C20988" w:rsidP="00C91E38">
            <w:pPr>
              <w:ind w:left="-108"/>
              <w:jc w:val="both"/>
              <w:rPr>
                <w:color w:val="000000"/>
                <w:sz w:val="22"/>
                <w:szCs w:val="22"/>
              </w:rPr>
            </w:pPr>
          </w:p>
        </w:tc>
        <w:tc>
          <w:tcPr>
            <w:tcW w:w="1269" w:type="dxa"/>
            <w:tcBorders>
              <w:bottom w:val="double" w:sz="4" w:space="0" w:color="auto"/>
            </w:tcBorders>
            <w:shd w:val="clear" w:color="auto" w:fill="CCCCCC"/>
            <w:vAlign w:val="center"/>
          </w:tcPr>
          <w:p w:rsidR="00C20988" w:rsidRPr="00C91E38" w:rsidRDefault="00C20988" w:rsidP="00C91E38">
            <w:pPr>
              <w:jc w:val="center"/>
              <w:rPr>
                <w:color w:val="000000"/>
                <w:sz w:val="22"/>
              </w:rPr>
            </w:pPr>
            <w:r w:rsidRPr="00C91E38">
              <w:rPr>
                <w:color w:val="000000"/>
                <w:sz w:val="22"/>
              </w:rPr>
              <w:t>млн руб.</w:t>
            </w:r>
          </w:p>
        </w:tc>
        <w:tc>
          <w:tcPr>
            <w:tcW w:w="1269" w:type="dxa"/>
            <w:tcBorders>
              <w:bottom w:val="double" w:sz="4" w:space="0" w:color="auto"/>
            </w:tcBorders>
            <w:shd w:val="clear" w:color="auto" w:fill="CCCCCC"/>
            <w:vAlign w:val="center"/>
          </w:tcPr>
          <w:p w:rsidR="00C20988" w:rsidRPr="00C91E38" w:rsidRDefault="00C20988" w:rsidP="00C91E38">
            <w:pPr>
              <w:jc w:val="center"/>
              <w:rPr>
                <w:color w:val="000000"/>
                <w:sz w:val="22"/>
              </w:rPr>
            </w:pPr>
            <w:r w:rsidRPr="00C91E38">
              <w:rPr>
                <w:color w:val="000000"/>
                <w:sz w:val="22"/>
              </w:rPr>
              <w:t>уд. вес, %</w:t>
            </w:r>
          </w:p>
        </w:tc>
        <w:tc>
          <w:tcPr>
            <w:tcW w:w="1269" w:type="dxa"/>
            <w:tcBorders>
              <w:bottom w:val="double" w:sz="4" w:space="0" w:color="auto"/>
            </w:tcBorders>
            <w:shd w:val="clear" w:color="auto" w:fill="CCCCCC"/>
            <w:vAlign w:val="center"/>
          </w:tcPr>
          <w:p w:rsidR="00C20988" w:rsidRPr="00C91E38" w:rsidRDefault="00C20988" w:rsidP="00C91E38">
            <w:pPr>
              <w:jc w:val="center"/>
              <w:rPr>
                <w:color w:val="000000"/>
                <w:sz w:val="22"/>
              </w:rPr>
            </w:pPr>
            <w:r w:rsidRPr="00C91E38">
              <w:rPr>
                <w:color w:val="000000"/>
                <w:sz w:val="22"/>
              </w:rPr>
              <w:t>млн руб.</w:t>
            </w:r>
          </w:p>
        </w:tc>
        <w:tc>
          <w:tcPr>
            <w:tcW w:w="1270" w:type="dxa"/>
            <w:tcBorders>
              <w:bottom w:val="double" w:sz="4" w:space="0" w:color="auto"/>
            </w:tcBorders>
            <w:shd w:val="clear" w:color="auto" w:fill="CCCCCC"/>
            <w:vAlign w:val="center"/>
          </w:tcPr>
          <w:p w:rsidR="00C20988" w:rsidRPr="00C91E38" w:rsidRDefault="00C20988" w:rsidP="00C91E38">
            <w:pPr>
              <w:jc w:val="center"/>
              <w:rPr>
                <w:color w:val="000000"/>
                <w:sz w:val="22"/>
              </w:rPr>
            </w:pPr>
            <w:r w:rsidRPr="00C91E38">
              <w:rPr>
                <w:color w:val="000000"/>
                <w:sz w:val="22"/>
              </w:rPr>
              <w:t>уд. вес, %</w:t>
            </w:r>
          </w:p>
        </w:tc>
        <w:tc>
          <w:tcPr>
            <w:tcW w:w="1045" w:type="dxa"/>
            <w:vMerge/>
            <w:tcBorders>
              <w:bottom w:val="double" w:sz="4" w:space="0" w:color="auto"/>
            </w:tcBorders>
            <w:vAlign w:val="center"/>
          </w:tcPr>
          <w:p w:rsidR="00C20988" w:rsidRPr="00C91E38" w:rsidRDefault="00C20988" w:rsidP="00C91E38">
            <w:pPr>
              <w:jc w:val="both"/>
              <w:rPr>
                <w:color w:val="000000"/>
                <w:sz w:val="22"/>
              </w:rPr>
            </w:pPr>
          </w:p>
        </w:tc>
      </w:tr>
      <w:tr w:rsidR="00C20988" w:rsidRPr="00C91E38" w:rsidTr="00C91E38">
        <w:trPr>
          <w:trHeight w:val="221"/>
        </w:trPr>
        <w:tc>
          <w:tcPr>
            <w:tcW w:w="3517" w:type="dxa"/>
            <w:tcBorders>
              <w:top w:val="double" w:sz="4" w:space="0" w:color="auto"/>
            </w:tcBorders>
            <w:shd w:val="clear" w:color="auto" w:fill="E0E0E0"/>
            <w:vAlign w:val="center"/>
          </w:tcPr>
          <w:p w:rsidR="00C20988" w:rsidRPr="00C91E38" w:rsidRDefault="00C20988" w:rsidP="00C91E38">
            <w:pPr>
              <w:rPr>
                <w:color w:val="000000"/>
                <w:sz w:val="22"/>
                <w:szCs w:val="22"/>
              </w:rPr>
            </w:pPr>
            <w:r w:rsidRPr="00C91E38">
              <w:rPr>
                <w:color w:val="000000"/>
                <w:sz w:val="22"/>
                <w:szCs w:val="22"/>
              </w:rPr>
              <w:t>Денежная база</w:t>
            </w:r>
          </w:p>
        </w:tc>
        <w:tc>
          <w:tcPr>
            <w:tcW w:w="1269" w:type="dxa"/>
            <w:tcBorders>
              <w:top w:val="double" w:sz="4" w:space="0" w:color="auto"/>
            </w:tcBorders>
            <w:shd w:val="clear" w:color="auto" w:fill="E0E0E0"/>
            <w:vAlign w:val="bottom"/>
          </w:tcPr>
          <w:p w:rsidR="00C20988" w:rsidRPr="00C91E38" w:rsidRDefault="00C20988" w:rsidP="00C91E38">
            <w:pPr>
              <w:ind w:right="176"/>
              <w:jc w:val="right"/>
              <w:rPr>
                <w:color w:val="000000"/>
                <w:sz w:val="22"/>
              </w:rPr>
            </w:pPr>
            <w:r w:rsidRPr="00C91E38">
              <w:rPr>
                <w:color w:val="000000"/>
                <w:sz w:val="22"/>
              </w:rPr>
              <w:t xml:space="preserve">1 750,7 </w:t>
            </w:r>
          </w:p>
        </w:tc>
        <w:tc>
          <w:tcPr>
            <w:tcW w:w="1269" w:type="dxa"/>
            <w:tcBorders>
              <w:top w:val="double" w:sz="4" w:space="0" w:color="auto"/>
            </w:tcBorders>
            <w:shd w:val="clear" w:color="auto" w:fill="E0E0E0"/>
            <w:vAlign w:val="bottom"/>
          </w:tcPr>
          <w:p w:rsidR="00C20988" w:rsidRPr="00C91E38" w:rsidRDefault="00C20988" w:rsidP="00C91E38">
            <w:pPr>
              <w:ind w:right="176"/>
              <w:jc w:val="right"/>
              <w:rPr>
                <w:color w:val="000000"/>
                <w:sz w:val="22"/>
              </w:rPr>
            </w:pPr>
            <w:r w:rsidRPr="00C91E38">
              <w:rPr>
                <w:color w:val="000000"/>
                <w:sz w:val="22"/>
              </w:rPr>
              <w:t>100,0</w:t>
            </w:r>
          </w:p>
        </w:tc>
        <w:tc>
          <w:tcPr>
            <w:tcW w:w="1269" w:type="dxa"/>
            <w:tcBorders>
              <w:top w:val="double" w:sz="4" w:space="0" w:color="auto"/>
            </w:tcBorders>
            <w:shd w:val="clear" w:color="auto" w:fill="E0E0E0"/>
            <w:vAlign w:val="bottom"/>
          </w:tcPr>
          <w:p w:rsidR="00C20988" w:rsidRPr="00C91E38" w:rsidRDefault="00C20988" w:rsidP="00C91E38">
            <w:pPr>
              <w:ind w:right="176"/>
              <w:jc w:val="right"/>
              <w:rPr>
                <w:color w:val="000000"/>
                <w:sz w:val="22"/>
              </w:rPr>
            </w:pPr>
            <w:r w:rsidRPr="00C91E38">
              <w:rPr>
                <w:color w:val="000000"/>
                <w:sz w:val="22"/>
              </w:rPr>
              <w:t>2 148,3</w:t>
            </w:r>
          </w:p>
        </w:tc>
        <w:tc>
          <w:tcPr>
            <w:tcW w:w="1270" w:type="dxa"/>
            <w:tcBorders>
              <w:top w:val="double" w:sz="4" w:space="0" w:color="auto"/>
            </w:tcBorders>
            <w:shd w:val="clear" w:color="auto" w:fill="E0E0E0"/>
            <w:vAlign w:val="bottom"/>
          </w:tcPr>
          <w:p w:rsidR="00C20988" w:rsidRPr="00C91E38" w:rsidRDefault="00C20988" w:rsidP="00C91E38">
            <w:pPr>
              <w:ind w:right="176"/>
              <w:jc w:val="right"/>
              <w:rPr>
                <w:color w:val="000000"/>
                <w:sz w:val="22"/>
              </w:rPr>
            </w:pPr>
            <w:r w:rsidRPr="00C91E38">
              <w:rPr>
                <w:color w:val="000000"/>
                <w:sz w:val="22"/>
              </w:rPr>
              <w:t>100,0</w:t>
            </w:r>
          </w:p>
        </w:tc>
        <w:tc>
          <w:tcPr>
            <w:tcW w:w="1045" w:type="dxa"/>
            <w:tcBorders>
              <w:top w:val="double" w:sz="4" w:space="0" w:color="auto"/>
            </w:tcBorders>
            <w:shd w:val="clear" w:color="auto" w:fill="E0E0E0"/>
            <w:vAlign w:val="bottom"/>
          </w:tcPr>
          <w:p w:rsidR="00C20988" w:rsidRPr="00C91E38" w:rsidRDefault="00C20988" w:rsidP="00C91E38">
            <w:pPr>
              <w:ind w:right="176"/>
              <w:jc w:val="right"/>
              <w:rPr>
                <w:color w:val="000000"/>
                <w:sz w:val="22"/>
              </w:rPr>
            </w:pPr>
            <w:r w:rsidRPr="00C91E38">
              <w:rPr>
                <w:color w:val="000000"/>
                <w:sz w:val="22"/>
              </w:rPr>
              <w:t>122,7</w:t>
            </w:r>
          </w:p>
        </w:tc>
      </w:tr>
      <w:tr w:rsidR="00C20988" w:rsidRPr="00C91E38" w:rsidTr="0054585E">
        <w:trPr>
          <w:trHeight w:val="140"/>
        </w:trPr>
        <w:tc>
          <w:tcPr>
            <w:tcW w:w="3517" w:type="dxa"/>
            <w:vAlign w:val="center"/>
          </w:tcPr>
          <w:p w:rsidR="00C20988" w:rsidRPr="00C91E38" w:rsidRDefault="00C20988" w:rsidP="00C91E38">
            <w:pPr>
              <w:ind w:left="74" w:firstLine="102"/>
              <w:rPr>
                <w:color w:val="000000"/>
                <w:sz w:val="22"/>
                <w:szCs w:val="22"/>
              </w:rPr>
            </w:pPr>
            <w:r w:rsidRPr="00C91E38">
              <w:rPr>
                <w:color w:val="000000"/>
                <w:sz w:val="22"/>
                <w:szCs w:val="22"/>
              </w:rPr>
              <w:t>в том числе:</w:t>
            </w:r>
          </w:p>
        </w:tc>
        <w:tc>
          <w:tcPr>
            <w:tcW w:w="1269" w:type="dxa"/>
            <w:vAlign w:val="bottom"/>
          </w:tcPr>
          <w:p w:rsidR="00C20988" w:rsidRPr="00C91E38" w:rsidRDefault="00C20988" w:rsidP="00C91E38">
            <w:pPr>
              <w:ind w:right="176"/>
              <w:rPr>
                <w:sz w:val="22"/>
              </w:rPr>
            </w:pPr>
            <w:r w:rsidRPr="00C91E38">
              <w:rPr>
                <w:sz w:val="22"/>
              </w:rPr>
              <w:t> </w:t>
            </w:r>
          </w:p>
        </w:tc>
        <w:tc>
          <w:tcPr>
            <w:tcW w:w="1269" w:type="dxa"/>
            <w:vAlign w:val="bottom"/>
          </w:tcPr>
          <w:p w:rsidR="00C20988" w:rsidRPr="00C91E38" w:rsidRDefault="00C20988" w:rsidP="00C91E38">
            <w:pPr>
              <w:ind w:right="176"/>
              <w:jc w:val="right"/>
              <w:rPr>
                <w:color w:val="000000"/>
                <w:sz w:val="22"/>
              </w:rPr>
            </w:pPr>
            <w:r w:rsidRPr="00C91E38">
              <w:rPr>
                <w:color w:val="000000"/>
                <w:sz w:val="22"/>
              </w:rPr>
              <w:t> </w:t>
            </w:r>
          </w:p>
        </w:tc>
        <w:tc>
          <w:tcPr>
            <w:tcW w:w="1269" w:type="dxa"/>
            <w:vAlign w:val="bottom"/>
          </w:tcPr>
          <w:p w:rsidR="00C20988" w:rsidRPr="00C91E38" w:rsidRDefault="00C20988" w:rsidP="00C91E38">
            <w:pPr>
              <w:ind w:right="176"/>
              <w:rPr>
                <w:sz w:val="22"/>
              </w:rPr>
            </w:pPr>
            <w:r w:rsidRPr="00C91E38">
              <w:rPr>
                <w:sz w:val="22"/>
              </w:rPr>
              <w:t> </w:t>
            </w:r>
          </w:p>
        </w:tc>
        <w:tc>
          <w:tcPr>
            <w:tcW w:w="1270" w:type="dxa"/>
            <w:vAlign w:val="bottom"/>
          </w:tcPr>
          <w:p w:rsidR="00C20988" w:rsidRPr="00C91E38" w:rsidRDefault="00C20988" w:rsidP="00C91E38">
            <w:pPr>
              <w:ind w:right="176"/>
              <w:jc w:val="right"/>
              <w:rPr>
                <w:color w:val="000000"/>
                <w:sz w:val="22"/>
              </w:rPr>
            </w:pPr>
            <w:r w:rsidRPr="00C91E38">
              <w:rPr>
                <w:color w:val="000000"/>
                <w:sz w:val="22"/>
              </w:rPr>
              <w:t> </w:t>
            </w:r>
          </w:p>
        </w:tc>
        <w:tc>
          <w:tcPr>
            <w:tcW w:w="1045" w:type="dxa"/>
            <w:vAlign w:val="bottom"/>
          </w:tcPr>
          <w:p w:rsidR="00C20988" w:rsidRPr="00C91E38" w:rsidRDefault="00C20988" w:rsidP="00C91E38">
            <w:pPr>
              <w:ind w:right="176"/>
              <w:jc w:val="right"/>
              <w:rPr>
                <w:color w:val="000000"/>
                <w:sz w:val="22"/>
              </w:rPr>
            </w:pPr>
            <w:r w:rsidRPr="00C91E38">
              <w:rPr>
                <w:color w:val="000000"/>
                <w:sz w:val="22"/>
              </w:rPr>
              <w:t> </w:t>
            </w:r>
          </w:p>
        </w:tc>
      </w:tr>
      <w:tr w:rsidR="00C20988" w:rsidRPr="00C91E38" w:rsidTr="0054585E">
        <w:tc>
          <w:tcPr>
            <w:tcW w:w="3517" w:type="dxa"/>
            <w:vAlign w:val="center"/>
          </w:tcPr>
          <w:p w:rsidR="00C20988" w:rsidRPr="00C91E38" w:rsidRDefault="00C20988" w:rsidP="00C91E38">
            <w:pPr>
              <w:ind w:left="176"/>
              <w:rPr>
                <w:color w:val="000000"/>
                <w:sz w:val="22"/>
                <w:szCs w:val="22"/>
              </w:rPr>
            </w:pPr>
            <w:r w:rsidRPr="00C91E38">
              <w:rPr>
                <w:color w:val="000000"/>
                <w:sz w:val="22"/>
                <w:szCs w:val="22"/>
              </w:rPr>
              <w:t>- наличные деньги в обращении</w:t>
            </w:r>
          </w:p>
        </w:tc>
        <w:tc>
          <w:tcPr>
            <w:tcW w:w="1269" w:type="dxa"/>
            <w:vAlign w:val="bottom"/>
          </w:tcPr>
          <w:p w:rsidR="00C20988" w:rsidRPr="00C91E38" w:rsidRDefault="00C20988" w:rsidP="00C91E38">
            <w:pPr>
              <w:ind w:right="176"/>
              <w:jc w:val="right"/>
              <w:rPr>
                <w:color w:val="000000"/>
                <w:sz w:val="22"/>
              </w:rPr>
            </w:pPr>
            <w:r w:rsidRPr="00C91E38">
              <w:rPr>
                <w:color w:val="000000"/>
                <w:sz w:val="22"/>
              </w:rPr>
              <w:t>982,4</w:t>
            </w:r>
          </w:p>
        </w:tc>
        <w:tc>
          <w:tcPr>
            <w:tcW w:w="1269" w:type="dxa"/>
            <w:vAlign w:val="bottom"/>
          </w:tcPr>
          <w:p w:rsidR="00C20988" w:rsidRPr="00C91E38" w:rsidRDefault="00C20988" w:rsidP="00C91E38">
            <w:pPr>
              <w:ind w:right="176"/>
              <w:jc w:val="right"/>
              <w:rPr>
                <w:color w:val="000000"/>
                <w:sz w:val="22"/>
              </w:rPr>
            </w:pPr>
            <w:r w:rsidRPr="00C91E38">
              <w:rPr>
                <w:color w:val="000000"/>
                <w:sz w:val="22"/>
              </w:rPr>
              <w:t>56,1</w:t>
            </w:r>
          </w:p>
        </w:tc>
        <w:tc>
          <w:tcPr>
            <w:tcW w:w="1269" w:type="dxa"/>
            <w:vAlign w:val="bottom"/>
          </w:tcPr>
          <w:p w:rsidR="00C20988" w:rsidRPr="00C91E38" w:rsidRDefault="00C20988" w:rsidP="00C91E38">
            <w:pPr>
              <w:ind w:right="176"/>
              <w:jc w:val="right"/>
              <w:rPr>
                <w:color w:val="000000"/>
                <w:sz w:val="22"/>
              </w:rPr>
            </w:pPr>
            <w:r w:rsidRPr="00C91E38">
              <w:rPr>
                <w:color w:val="000000"/>
                <w:sz w:val="22"/>
              </w:rPr>
              <w:t>1 034,5</w:t>
            </w:r>
          </w:p>
        </w:tc>
        <w:tc>
          <w:tcPr>
            <w:tcW w:w="1270" w:type="dxa"/>
            <w:vAlign w:val="bottom"/>
          </w:tcPr>
          <w:p w:rsidR="00C20988" w:rsidRPr="00C91E38" w:rsidRDefault="00C20988" w:rsidP="00C91E38">
            <w:pPr>
              <w:ind w:right="176"/>
              <w:jc w:val="right"/>
              <w:rPr>
                <w:color w:val="000000"/>
                <w:sz w:val="22"/>
              </w:rPr>
            </w:pPr>
            <w:r w:rsidRPr="00C91E38">
              <w:rPr>
                <w:color w:val="000000"/>
                <w:sz w:val="22"/>
              </w:rPr>
              <w:t>48,1</w:t>
            </w:r>
          </w:p>
        </w:tc>
        <w:tc>
          <w:tcPr>
            <w:tcW w:w="1045" w:type="dxa"/>
            <w:vAlign w:val="bottom"/>
          </w:tcPr>
          <w:p w:rsidR="00C20988" w:rsidRPr="00C91E38" w:rsidRDefault="00C20988" w:rsidP="00C91E38">
            <w:pPr>
              <w:ind w:right="176"/>
              <w:jc w:val="right"/>
              <w:rPr>
                <w:color w:val="000000"/>
                <w:sz w:val="22"/>
              </w:rPr>
            </w:pPr>
            <w:r w:rsidRPr="00C91E38">
              <w:rPr>
                <w:color w:val="000000"/>
                <w:sz w:val="22"/>
              </w:rPr>
              <w:t>105,3</w:t>
            </w:r>
          </w:p>
        </w:tc>
      </w:tr>
      <w:tr w:rsidR="00C20988" w:rsidRPr="00C91E38" w:rsidTr="0054585E">
        <w:tc>
          <w:tcPr>
            <w:tcW w:w="3517" w:type="dxa"/>
            <w:vAlign w:val="center"/>
          </w:tcPr>
          <w:p w:rsidR="00C20988" w:rsidRPr="00C91E38" w:rsidRDefault="00C20988" w:rsidP="00C91E38">
            <w:pPr>
              <w:ind w:left="74" w:firstLine="102"/>
              <w:rPr>
                <w:color w:val="000000"/>
                <w:sz w:val="22"/>
                <w:szCs w:val="22"/>
              </w:rPr>
            </w:pPr>
            <w:r w:rsidRPr="00C91E38">
              <w:rPr>
                <w:color w:val="000000"/>
                <w:sz w:val="22"/>
                <w:szCs w:val="22"/>
              </w:rPr>
              <w:t>- средства в кассах банков</w:t>
            </w:r>
          </w:p>
        </w:tc>
        <w:tc>
          <w:tcPr>
            <w:tcW w:w="1269" w:type="dxa"/>
            <w:vAlign w:val="bottom"/>
          </w:tcPr>
          <w:p w:rsidR="00C20988" w:rsidRPr="00C91E38" w:rsidRDefault="00C20988" w:rsidP="00C91E38">
            <w:pPr>
              <w:ind w:right="176"/>
              <w:jc w:val="right"/>
              <w:rPr>
                <w:color w:val="000000"/>
                <w:sz w:val="22"/>
              </w:rPr>
            </w:pPr>
            <w:r w:rsidRPr="00C91E38">
              <w:rPr>
                <w:color w:val="000000"/>
                <w:sz w:val="22"/>
              </w:rPr>
              <w:t>157,8</w:t>
            </w:r>
          </w:p>
        </w:tc>
        <w:tc>
          <w:tcPr>
            <w:tcW w:w="1269" w:type="dxa"/>
            <w:vAlign w:val="bottom"/>
          </w:tcPr>
          <w:p w:rsidR="00C20988" w:rsidRPr="00C91E38" w:rsidRDefault="00C20988" w:rsidP="00C91E38">
            <w:pPr>
              <w:ind w:right="176"/>
              <w:jc w:val="right"/>
              <w:rPr>
                <w:color w:val="000000"/>
                <w:sz w:val="22"/>
              </w:rPr>
            </w:pPr>
            <w:r w:rsidRPr="00C91E38">
              <w:rPr>
                <w:color w:val="000000"/>
                <w:sz w:val="22"/>
              </w:rPr>
              <w:t>9,0</w:t>
            </w:r>
          </w:p>
        </w:tc>
        <w:tc>
          <w:tcPr>
            <w:tcW w:w="1269" w:type="dxa"/>
            <w:vAlign w:val="bottom"/>
          </w:tcPr>
          <w:p w:rsidR="00C20988" w:rsidRPr="00C91E38" w:rsidRDefault="00C20988" w:rsidP="00C91E38">
            <w:pPr>
              <w:ind w:right="176"/>
              <w:jc w:val="right"/>
              <w:rPr>
                <w:color w:val="000000"/>
                <w:sz w:val="22"/>
              </w:rPr>
            </w:pPr>
            <w:r w:rsidRPr="00C91E38">
              <w:rPr>
                <w:color w:val="000000"/>
                <w:sz w:val="22"/>
              </w:rPr>
              <w:t>229,0</w:t>
            </w:r>
          </w:p>
        </w:tc>
        <w:tc>
          <w:tcPr>
            <w:tcW w:w="1270" w:type="dxa"/>
            <w:vAlign w:val="bottom"/>
          </w:tcPr>
          <w:p w:rsidR="00C20988" w:rsidRPr="00C91E38" w:rsidRDefault="00C20988" w:rsidP="00C91E38">
            <w:pPr>
              <w:ind w:right="176"/>
              <w:jc w:val="right"/>
              <w:rPr>
                <w:color w:val="000000"/>
                <w:sz w:val="22"/>
              </w:rPr>
            </w:pPr>
            <w:r w:rsidRPr="00C91E38">
              <w:rPr>
                <w:color w:val="000000"/>
                <w:sz w:val="22"/>
              </w:rPr>
              <w:t>10,7</w:t>
            </w:r>
          </w:p>
        </w:tc>
        <w:tc>
          <w:tcPr>
            <w:tcW w:w="1045" w:type="dxa"/>
            <w:vAlign w:val="bottom"/>
          </w:tcPr>
          <w:p w:rsidR="00C20988" w:rsidRPr="00C91E38" w:rsidRDefault="00C20988" w:rsidP="00C91E38">
            <w:pPr>
              <w:ind w:right="176"/>
              <w:jc w:val="right"/>
              <w:rPr>
                <w:color w:val="000000"/>
                <w:sz w:val="22"/>
              </w:rPr>
            </w:pPr>
            <w:r w:rsidRPr="00C91E38">
              <w:rPr>
                <w:color w:val="000000"/>
                <w:sz w:val="22"/>
              </w:rPr>
              <w:t>145,1</w:t>
            </w:r>
          </w:p>
        </w:tc>
      </w:tr>
      <w:tr w:rsidR="00C20988" w:rsidRPr="00C91E38" w:rsidTr="0054585E">
        <w:tc>
          <w:tcPr>
            <w:tcW w:w="3517" w:type="dxa"/>
            <w:vAlign w:val="center"/>
          </w:tcPr>
          <w:p w:rsidR="00C20988" w:rsidRPr="00C91E38" w:rsidRDefault="00C20988" w:rsidP="00C91E38">
            <w:pPr>
              <w:ind w:left="312" w:hanging="136"/>
              <w:rPr>
                <w:color w:val="000000"/>
                <w:sz w:val="22"/>
                <w:szCs w:val="22"/>
              </w:rPr>
            </w:pPr>
            <w:r w:rsidRPr="00C91E38">
              <w:rPr>
                <w:color w:val="000000"/>
                <w:sz w:val="22"/>
                <w:szCs w:val="22"/>
              </w:rPr>
              <w:t>- корреспондентские счета банков</w:t>
            </w:r>
          </w:p>
        </w:tc>
        <w:tc>
          <w:tcPr>
            <w:tcW w:w="1269" w:type="dxa"/>
            <w:vAlign w:val="bottom"/>
          </w:tcPr>
          <w:p w:rsidR="00C20988" w:rsidRPr="00C91E38" w:rsidRDefault="00C20988" w:rsidP="00C91E38">
            <w:pPr>
              <w:ind w:right="176"/>
              <w:jc w:val="right"/>
              <w:rPr>
                <w:color w:val="000000"/>
                <w:sz w:val="22"/>
              </w:rPr>
            </w:pPr>
            <w:r w:rsidRPr="00C91E38">
              <w:rPr>
                <w:color w:val="000000"/>
                <w:sz w:val="22"/>
              </w:rPr>
              <w:t>610,5</w:t>
            </w:r>
          </w:p>
        </w:tc>
        <w:tc>
          <w:tcPr>
            <w:tcW w:w="1269" w:type="dxa"/>
            <w:vAlign w:val="bottom"/>
          </w:tcPr>
          <w:p w:rsidR="00C20988" w:rsidRPr="00C91E38" w:rsidRDefault="00C20988" w:rsidP="00C91E38">
            <w:pPr>
              <w:ind w:right="176"/>
              <w:jc w:val="right"/>
              <w:rPr>
                <w:color w:val="000000"/>
                <w:sz w:val="22"/>
              </w:rPr>
            </w:pPr>
            <w:r w:rsidRPr="00C91E38">
              <w:rPr>
                <w:color w:val="000000"/>
                <w:sz w:val="22"/>
              </w:rPr>
              <w:t>34,9</w:t>
            </w:r>
          </w:p>
        </w:tc>
        <w:tc>
          <w:tcPr>
            <w:tcW w:w="1269" w:type="dxa"/>
            <w:vAlign w:val="bottom"/>
          </w:tcPr>
          <w:p w:rsidR="00C20988" w:rsidRPr="00C91E38" w:rsidRDefault="00C20988" w:rsidP="00C91E38">
            <w:pPr>
              <w:ind w:right="176"/>
              <w:jc w:val="right"/>
              <w:rPr>
                <w:color w:val="000000"/>
                <w:sz w:val="22"/>
              </w:rPr>
            </w:pPr>
            <w:r w:rsidRPr="00C91E38">
              <w:rPr>
                <w:color w:val="000000"/>
                <w:sz w:val="22"/>
              </w:rPr>
              <w:t>884,8</w:t>
            </w:r>
          </w:p>
        </w:tc>
        <w:tc>
          <w:tcPr>
            <w:tcW w:w="1270" w:type="dxa"/>
            <w:vAlign w:val="bottom"/>
          </w:tcPr>
          <w:p w:rsidR="00C20988" w:rsidRPr="00C91E38" w:rsidRDefault="00C20988" w:rsidP="00C91E38">
            <w:pPr>
              <w:ind w:right="176"/>
              <w:jc w:val="right"/>
              <w:rPr>
                <w:color w:val="000000"/>
                <w:sz w:val="22"/>
              </w:rPr>
            </w:pPr>
            <w:r w:rsidRPr="00C91E38">
              <w:rPr>
                <w:color w:val="000000"/>
                <w:sz w:val="22"/>
              </w:rPr>
              <w:t>41,2</w:t>
            </w:r>
          </w:p>
        </w:tc>
        <w:tc>
          <w:tcPr>
            <w:tcW w:w="1045" w:type="dxa"/>
            <w:vAlign w:val="bottom"/>
          </w:tcPr>
          <w:p w:rsidR="00C20988" w:rsidRPr="00C91E38" w:rsidRDefault="00C20988" w:rsidP="00C91E38">
            <w:pPr>
              <w:ind w:right="176"/>
              <w:jc w:val="right"/>
              <w:rPr>
                <w:color w:val="000000"/>
                <w:sz w:val="22"/>
              </w:rPr>
            </w:pPr>
            <w:r w:rsidRPr="00C91E38">
              <w:rPr>
                <w:color w:val="000000"/>
                <w:sz w:val="22"/>
              </w:rPr>
              <w:t>144,9</w:t>
            </w:r>
          </w:p>
        </w:tc>
      </w:tr>
    </w:tbl>
    <w:p w:rsidR="00C20988" w:rsidRPr="00210B2B" w:rsidRDefault="00C20988" w:rsidP="000D5444">
      <w:pPr>
        <w:widowControl w:val="0"/>
        <w:spacing w:before="120" w:after="120"/>
        <w:ind w:firstLine="425"/>
        <w:jc w:val="both"/>
        <w:rPr>
          <w:i/>
          <w:iCs/>
          <w:sz w:val="24"/>
          <w:szCs w:val="24"/>
        </w:rPr>
      </w:pPr>
      <w:r w:rsidRPr="00210B2B">
        <w:rPr>
          <w:i/>
          <w:iCs/>
          <w:sz w:val="24"/>
          <w:szCs w:val="24"/>
        </w:rPr>
        <w:t>Валютный рынок</w:t>
      </w:r>
    </w:p>
    <w:p w:rsidR="00C20988" w:rsidRPr="001F3DF7" w:rsidRDefault="00C20988" w:rsidP="00417B88">
      <w:pPr>
        <w:widowControl w:val="0"/>
        <w:shd w:val="clear" w:color="auto" w:fill="FFFFFF"/>
        <w:ind w:firstLine="425"/>
        <w:jc w:val="both"/>
        <w:rPr>
          <w:sz w:val="24"/>
          <w:szCs w:val="24"/>
        </w:rPr>
      </w:pPr>
      <w:r>
        <w:rPr>
          <w:sz w:val="24"/>
          <w:szCs w:val="24"/>
        </w:rPr>
        <w:t>С</w:t>
      </w:r>
      <w:r w:rsidRPr="00210B2B">
        <w:rPr>
          <w:sz w:val="24"/>
          <w:szCs w:val="24"/>
        </w:rPr>
        <w:t xml:space="preserve">итуацию на валютном рынке Приднестровья в целом можно охарактеризовать как достаточно стабильную. </w:t>
      </w:r>
      <w:r w:rsidRPr="001F3DF7">
        <w:rPr>
          <w:sz w:val="24"/>
          <w:szCs w:val="24"/>
        </w:rPr>
        <w:t>Средневзвешенный курс продажи доллара США коммерческими банками и кредитными организациями на наличном сегменте валютного рынка за 2018 год зафиксирован на уровне 16,4119 руб. ПМР</w:t>
      </w:r>
      <w:r>
        <w:rPr>
          <w:sz w:val="24"/>
          <w:szCs w:val="24"/>
        </w:rPr>
        <w:t xml:space="preserve"> с превалирующей динамикой сокращения в течение года </w:t>
      </w:r>
      <w:r w:rsidRPr="001F3DF7">
        <w:rPr>
          <w:sz w:val="24"/>
          <w:szCs w:val="24"/>
        </w:rPr>
        <w:t>(</w:t>
      </w:r>
      <w:r>
        <w:rPr>
          <w:sz w:val="24"/>
          <w:szCs w:val="24"/>
        </w:rPr>
        <w:t xml:space="preserve">с </w:t>
      </w:r>
      <w:r w:rsidRPr="001F3DF7">
        <w:rPr>
          <w:sz w:val="24"/>
          <w:szCs w:val="24"/>
        </w:rPr>
        <w:t>16,7199 руб. ПМР в январе</w:t>
      </w:r>
      <w:r>
        <w:rPr>
          <w:sz w:val="24"/>
          <w:szCs w:val="24"/>
        </w:rPr>
        <w:t xml:space="preserve"> до</w:t>
      </w:r>
      <w:r w:rsidRPr="001F3DF7">
        <w:rPr>
          <w:sz w:val="24"/>
          <w:szCs w:val="24"/>
        </w:rPr>
        <w:t xml:space="preserve"> 16,3519 руб. ПМР в декабре).</w:t>
      </w:r>
    </w:p>
    <w:p w:rsidR="00C20988" w:rsidRDefault="00C20988" w:rsidP="00417B88">
      <w:pPr>
        <w:widowControl w:val="0"/>
        <w:shd w:val="clear" w:color="auto" w:fill="FFFFFF"/>
        <w:ind w:firstLine="425"/>
        <w:jc w:val="both"/>
        <w:rPr>
          <w:sz w:val="24"/>
          <w:szCs w:val="24"/>
        </w:rPr>
      </w:pPr>
      <w:r w:rsidRPr="001F3DF7">
        <w:rPr>
          <w:sz w:val="24"/>
          <w:szCs w:val="24"/>
        </w:rPr>
        <w:t xml:space="preserve">В целом за отчётный </w:t>
      </w:r>
      <w:r>
        <w:rPr>
          <w:sz w:val="24"/>
          <w:szCs w:val="24"/>
        </w:rPr>
        <w:t>период</w:t>
      </w:r>
      <w:r w:rsidRPr="001F3DF7">
        <w:rPr>
          <w:sz w:val="24"/>
          <w:szCs w:val="24"/>
        </w:rPr>
        <w:t xml:space="preserve"> среднегодовая разница между коммерческим и официальным курсами сложилась в пределах 2,2%. При этом в течение года на фоне отсутствия повышенного спроса на наличную иностранную валюту и ажиотажных настроений на рынке она уменьшилась с 5,7% в январе до 1,6% в декабре.</w:t>
      </w:r>
      <w:r>
        <w:rPr>
          <w:sz w:val="24"/>
          <w:szCs w:val="24"/>
        </w:rPr>
        <w:t xml:space="preserve"> </w:t>
      </w:r>
    </w:p>
    <w:p w:rsidR="00C20988" w:rsidRPr="00210B2B" w:rsidRDefault="00C20988" w:rsidP="00417B88">
      <w:pPr>
        <w:ind w:firstLine="425"/>
        <w:jc w:val="both"/>
        <w:rPr>
          <w:sz w:val="24"/>
          <w:szCs w:val="24"/>
        </w:rPr>
      </w:pPr>
      <w:r w:rsidRPr="00210B2B">
        <w:rPr>
          <w:sz w:val="24"/>
          <w:szCs w:val="24"/>
        </w:rPr>
        <w:t>В начале года в целях предотвращения возможных дисбалансов Банк Приднестровья продолжал своё присутствие на наличном рынке, в постоянном режиме отслеживая наличие валюты в обменных пунктах. При этом наличные валютные интервенции были проведены лишь единожды</w:t>
      </w:r>
      <w:r>
        <w:rPr>
          <w:sz w:val="24"/>
          <w:szCs w:val="24"/>
        </w:rPr>
        <w:t xml:space="preserve"> в начале года, в дальнейшем потребность в них на рынке отсутствовала</w:t>
      </w:r>
      <w:r w:rsidRPr="00210B2B">
        <w:rPr>
          <w:sz w:val="24"/>
          <w:szCs w:val="24"/>
        </w:rPr>
        <w:t xml:space="preserve">. Сумма безналичных интервенций центрального банка за 2018 год составила 247,7 млн долл. </w:t>
      </w:r>
    </w:p>
    <w:p w:rsidR="00C20988" w:rsidRPr="00210B2B" w:rsidRDefault="00C20988" w:rsidP="000D5444">
      <w:pPr>
        <w:widowControl w:val="0"/>
        <w:shd w:val="clear" w:color="auto" w:fill="FFFFFF"/>
        <w:ind w:firstLine="425"/>
        <w:jc w:val="both"/>
        <w:rPr>
          <w:sz w:val="24"/>
          <w:szCs w:val="24"/>
        </w:rPr>
      </w:pPr>
      <w:r w:rsidRPr="00210B2B">
        <w:rPr>
          <w:sz w:val="24"/>
          <w:szCs w:val="24"/>
        </w:rPr>
        <w:t xml:space="preserve">Совокупная ёмкость наличного сегмента валютного рынка </w:t>
      </w:r>
      <w:r>
        <w:rPr>
          <w:sz w:val="24"/>
          <w:szCs w:val="24"/>
        </w:rPr>
        <w:t>зафиксирована</w:t>
      </w:r>
      <w:r w:rsidRPr="00210B2B">
        <w:rPr>
          <w:sz w:val="24"/>
          <w:szCs w:val="24"/>
        </w:rPr>
        <w:t xml:space="preserve"> в эквиваленте </w:t>
      </w:r>
      <w:r>
        <w:rPr>
          <w:sz w:val="24"/>
          <w:szCs w:val="24"/>
        </w:rPr>
        <w:br/>
      </w:r>
      <w:r w:rsidRPr="00210B2B">
        <w:rPr>
          <w:sz w:val="24"/>
          <w:szCs w:val="24"/>
        </w:rPr>
        <w:t xml:space="preserve">428,5 млн долл. Ежеквартальные обороты валютообменных операций, характеризовавшиеся повышательной динамикой от 74,6 млн долл. в январе-марте до 124,0 млн долл. в июле-сентябре, в </w:t>
      </w:r>
      <w:r>
        <w:rPr>
          <w:sz w:val="24"/>
          <w:szCs w:val="24"/>
        </w:rPr>
        <w:t>четвёртом</w:t>
      </w:r>
      <w:r w:rsidRPr="00210B2B">
        <w:rPr>
          <w:sz w:val="24"/>
          <w:szCs w:val="24"/>
        </w:rPr>
        <w:t xml:space="preserve"> квартале снизились до 121,5 млн долл. Большая часть совокупного показателя пришлась на сделки с долларом (263,7 млн долл., или 61,5%), российским рублём (в эквиваленте 69,3 млн долл., или 16,2%) и евро (в эквиваленте</w:t>
      </w:r>
      <w:r>
        <w:rPr>
          <w:sz w:val="24"/>
          <w:szCs w:val="24"/>
        </w:rPr>
        <w:t xml:space="preserve"> </w:t>
      </w:r>
      <w:r w:rsidRPr="00210B2B">
        <w:rPr>
          <w:sz w:val="24"/>
          <w:szCs w:val="24"/>
        </w:rPr>
        <w:t xml:space="preserve">45,2 млн долл., или 10,5%). </w:t>
      </w:r>
    </w:p>
    <w:p w:rsidR="00C20988" w:rsidRPr="00210B2B" w:rsidRDefault="00C20988" w:rsidP="000D5444">
      <w:pPr>
        <w:widowControl w:val="0"/>
        <w:shd w:val="clear" w:color="auto" w:fill="FFFFFF"/>
        <w:ind w:firstLine="425"/>
        <w:jc w:val="both"/>
        <w:rPr>
          <w:sz w:val="24"/>
          <w:szCs w:val="24"/>
        </w:rPr>
      </w:pPr>
      <w:r w:rsidRPr="00210B2B">
        <w:rPr>
          <w:sz w:val="24"/>
          <w:szCs w:val="24"/>
        </w:rPr>
        <w:t>Долларовый эквивалент наличной иностранной валюты, проданной клиентами обменных пунктов, за отчётный год сложился на уровне 247,8 млн долл.</w:t>
      </w:r>
      <w:r>
        <w:rPr>
          <w:sz w:val="24"/>
          <w:szCs w:val="24"/>
        </w:rPr>
        <w:t xml:space="preserve"> Рост </w:t>
      </w:r>
      <w:r w:rsidRPr="00210B2B">
        <w:rPr>
          <w:sz w:val="24"/>
          <w:szCs w:val="24"/>
        </w:rPr>
        <w:t>предложени</w:t>
      </w:r>
      <w:r>
        <w:rPr>
          <w:sz w:val="24"/>
          <w:szCs w:val="24"/>
        </w:rPr>
        <w:t>я наблюдался с первого (44,</w:t>
      </w:r>
      <w:r w:rsidRPr="00A2414B">
        <w:rPr>
          <w:sz w:val="24"/>
          <w:szCs w:val="24"/>
        </w:rPr>
        <w:t>6</w:t>
      </w:r>
      <w:r w:rsidRPr="00210B2B">
        <w:rPr>
          <w:sz w:val="24"/>
          <w:szCs w:val="24"/>
        </w:rPr>
        <w:t xml:space="preserve"> </w:t>
      </w:r>
      <w:r>
        <w:rPr>
          <w:sz w:val="24"/>
          <w:szCs w:val="24"/>
        </w:rPr>
        <w:t xml:space="preserve">млн долл.) по третий (73,8 млн долл.) кварталы, а в октябре-декабре оно снизилось (до 66,9 млн долл.). </w:t>
      </w:r>
      <w:r w:rsidRPr="00210B2B">
        <w:rPr>
          <w:sz w:val="24"/>
          <w:szCs w:val="24"/>
        </w:rPr>
        <w:t xml:space="preserve">В то же время спрос на </w:t>
      </w:r>
      <w:r>
        <w:rPr>
          <w:sz w:val="24"/>
          <w:szCs w:val="24"/>
        </w:rPr>
        <w:t>валюту</w:t>
      </w:r>
      <w:r w:rsidRPr="00210B2B">
        <w:rPr>
          <w:sz w:val="24"/>
          <w:szCs w:val="24"/>
        </w:rPr>
        <w:t xml:space="preserve"> стабильно расширялся, </w:t>
      </w:r>
      <w:r>
        <w:rPr>
          <w:sz w:val="24"/>
          <w:szCs w:val="24"/>
        </w:rPr>
        <w:t>в целом</w:t>
      </w:r>
      <w:r w:rsidRPr="00210B2B">
        <w:rPr>
          <w:sz w:val="24"/>
          <w:szCs w:val="24"/>
        </w:rPr>
        <w:t xml:space="preserve"> за 2018 год физическими лицами было куплено наличной валюты на сумму </w:t>
      </w:r>
      <w:r>
        <w:rPr>
          <w:sz w:val="24"/>
          <w:szCs w:val="24"/>
        </w:rPr>
        <w:br/>
      </w:r>
      <w:r w:rsidRPr="00210B2B">
        <w:rPr>
          <w:sz w:val="24"/>
          <w:szCs w:val="24"/>
        </w:rPr>
        <w:t xml:space="preserve">180,7 млн в долларовом эквиваленте. </w:t>
      </w:r>
    </w:p>
    <w:p w:rsidR="00C20988" w:rsidRPr="00210B2B" w:rsidRDefault="00C20988" w:rsidP="000D5444">
      <w:pPr>
        <w:widowControl w:val="0"/>
        <w:shd w:val="clear" w:color="auto" w:fill="FFFFFF"/>
        <w:ind w:firstLine="425"/>
        <w:jc w:val="both"/>
        <w:rPr>
          <w:sz w:val="24"/>
          <w:szCs w:val="24"/>
        </w:rPr>
      </w:pPr>
      <w:r>
        <w:rPr>
          <w:sz w:val="24"/>
          <w:szCs w:val="24"/>
        </w:rPr>
        <w:t xml:space="preserve">В результате предложение валюты на наличном рынке полностью покрыло спрос на неё, обеспечив </w:t>
      </w:r>
      <w:r w:rsidRPr="00210B2B">
        <w:rPr>
          <w:sz w:val="24"/>
          <w:szCs w:val="24"/>
        </w:rPr>
        <w:t xml:space="preserve">67,1 млн долл. </w:t>
      </w:r>
      <w:r>
        <w:rPr>
          <w:sz w:val="24"/>
          <w:szCs w:val="24"/>
        </w:rPr>
        <w:t xml:space="preserve">чистого сальдо. </w:t>
      </w:r>
      <w:r w:rsidRPr="00210B2B">
        <w:rPr>
          <w:sz w:val="24"/>
          <w:szCs w:val="24"/>
        </w:rPr>
        <w:t xml:space="preserve">Следует отметить, что в </w:t>
      </w:r>
      <w:r>
        <w:rPr>
          <w:sz w:val="24"/>
          <w:szCs w:val="24"/>
        </w:rPr>
        <w:t>четвёртом</w:t>
      </w:r>
      <w:r w:rsidRPr="00210B2B">
        <w:rPr>
          <w:sz w:val="24"/>
          <w:szCs w:val="24"/>
        </w:rPr>
        <w:t xml:space="preserve"> квартале разнонаправленная динамика проданных и приобретённых средств выразилась в формировании минимальной за год величины чистого предложения на уровне </w:t>
      </w:r>
      <w:r>
        <w:rPr>
          <w:sz w:val="24"/>
          <w:szCs w:val="24"/>
        </w:rPr>
        <w:br/>
      </w:r>
      <w:r w:rsidRPr="00210B2B">
        <w:rPr>
          <w:sz w:val="24"/>
          <w:szCs w:val="24"/>
        </w:rPr>
        <w:t xml:space="preserve">12,4 млн долл., тогда как в течение предыдущих кварталов </w:t>
      </w:r>
      <w:r>
        <w:rPr>
          <w:sz w:val="24"/>
          <w:szCs w:val="24"/>
        </w:rPr>
        <w:t>оно составляло</w:t>
      </w:r>
      <w:r w:rsidRPr="00210B2B">
        <w:rPr>
          <w:sz w:val="24"/>
          <w:szCs w:val="24"/>
        </w:rPr>
        <w:t xml:space="preserve"> </w:t>
      </w:r>
      <w:r>
        <w:rPr>
          <w:sz w:val="24"/>
          <w:szCs w:val="24"/>
        </w:rPr>
        <w:br/>
      </w:r>
      <w:r w:rsidRPr="00210B2B">
        <w:rPr>
          <w:sz w:val="24"/>
          <w:szCs w:val="24"/>
        </w:rPr>
        <w:t>14,6-23,7 млн долл.</w:t>
      </w:r>
    </w:p>
    <w:p w:rsidR="00C20988" w:rsidRPr="00210B2B" w:rsidRDefault="00C20988" w:rsidP="000D5444">
      <w:pPr>
        <w:widowControl w:val="0"/>
        <w:shd w:val="clear" w:color="auto" w:fill="FFFFFF"/>
        <w:ind w:firstLine="425"/>
        <w:jc w:val="both"/>
        <w:rPr>
          <w:sz w:val="24"/>
          <w:szCs w:val="24"/>
        </w:rPr>
      </w:pPr>
      <w:r w:rsidRPr="00210B2B">
        <w:rPr>
          <w:sz w:val="24"/>
          <w:szCs w:val="24"/>
        </w:rPr>
        <w:t>Совокупная ёмкость безналичного рынка</w:t>
      </w:r>
      <w:r w:rsidRPr="00210B2B">
        <w:rPr>
          <w:sz w:val="24"/>
          <w:szCs w:val="24"/>
          <w:vertAlign w:val="superscript"/>
        </w:rPr>
        <w:footnoteReference w:id="16"/>
      </w:r>
      <w:r w:rsidRPr="00210B2B">
        <w:rPr>
          <w:sz w:val="24"/>
          <w:szCs w:val="24"/>
        </w:rPr>
        <w:t xml:space="preserve"> иностранной валюты составила </w:t>
      </w:r>
      <w:r w:rsidRPr="00210B2B">
        <w:rPr>
          <w:sz w:val="24"/>
          <w:szCs w:val="24"/>
        </w:rPr>
        <w:br/>
        <w:t xml:space="preserve">1 200,2 млн долл.: предложение зафиксировано на уровне 585,5 млн долл., а спрос – </w:t>
      </w:r>
      <w:r w:rsidRPr="00210B2B">
        <w:rPr>
          <w:sz w:val="24"/>
          <w:szCs w:val="24"/>
        </w:rPr>
        <w:br/>
        <w:t>614,6 млн в долларовом эквиваленте. Ежеквартальное сокращение объёмов прод</w:t>
      </w:r>
      <w:r>
        <w:rPr>
          <w:sz w:val="24"/>
          <w:szCs w:val="24"/>
        </w:rPr>
        <w:t xml:space="preserve">аваемой </w:t>
      </w:r>
      <w:r w:rsidRPr="00210B2B">
        <w:rPr>
          <w:sz w:val="24"/>
          <w:szCs w:val="24"/>
        </w:rPr>
        <w:t xml:space="preserve">клиентами валюты (с 166,4 до 130,4 млн долл.), фиксировавшееся </w:t>
      </w:r>
      <w:r>
        <w:rPr>
          <w:sz w:val="24"/>
          <w:szCs w:val="24"/>
        </w:rPr>
        <w:t>с первого по третий кварталы</w:t>
      </w:r>
      <w:r w:rsidRPr="00210B2B">
        <w:rPr>
          <w:sz w:val="24"/>
          <w:szCs w:val="24"/>
        </w:rPr>
        <w:t>, в последующем сменилось увеличением (до 146,1 млн долл.). Подобн</w:t>
      </w:r>
      <w:r>
        <w:rPr>
          <w:sz w:val="24"/>
          <w:szCs w:val="24"/>
        </w:rPr>
        <w:t>ая динамика</w:t>
      </w:r>
      <w:r w:rsidRPr="00210B2B">
        <w:rPr>
          <w:sz w:val="24"/>
          <w:szCs w:val="24"/>
        </w:rPr>
        <w:t xml:space="preserve"> был</w:t>
      </w:r>
      <w:r>
        <w:rPr>
          <w:sz w:val="24"/>
          <w:szCs w:val="24"/>
        </w:rPr>
        <w:t>а</w:t>
      </w:r>
      <w:r w:rsidRPr="00210B2B">
        <w:rPr>
          <w:sz w:val="24"/>
          <w:szCs w:val="24"/>
        </w:rPr>
        <w:t xml:space="preserve"> отмечен</w:t>
      </w:r>
      <w:r>
        <w:rPr>
          <w:sz w:val="24"/>
          <w:szCs w:val="24"/>
        </w:rPr>
        <w:t>а</w:t>
      </w:r>
      <w:r w:rsidRPr="00210B2B">
        <w:rPr>
          <w:sz w:val="24"/>
          <w:szCs w:val="24"/>
        </w:rPr>
        <w:t xml:space="preserve"> и в части приобрет</w:t>
      </w:r>
      <w:r>
        <w:rPr>
          <w:sz w:val="24"/>
          <w:szCs w:val="24"/>
        </w:rPr>
        <w:t>аемых</w:t>
      </w:r>
      <w:r w:rsidRPr="00210B2B">
        <w:rPr>
          <w:sz w:val="24"/>
          <w:szCs w:val="24"/>
        </w:rPr>
        <w:t xml:space="preserve"> средств: </w:t>
      </w:r>
      <w:r>
        <w:rPr>
          <w:sz w:val="24"/>
          <w:szCs w:val="24"/>
        </w:rPr>
        <w:t xml:space="preserve">спрос </w:t>
      </w:r>
      <w:r w:rsidRPr="00210B2B">
        <w:rPr>
          <w:sz w:val="24"/>
          <w:szCs w:val="24"/>
        </w:rPr>
        <w:t>уменьш</w:t>
      </w:r>
      <w:r>
        <w:rPr>
          <w:sz w:val="24"/>
          <w:szCs w:val="24"/>
        </w:rPr>
        <w:t>ался три</w:t>
      </w:r>
      <w:r w:rsidRPr="00210B2B">
        <w:rPr>
          <w:sz w:val="24"/>
          <w:szCs w:val="24"/>
        </w:rPr>
        <w:t xml:space="preserve"> квартал</w:t>
      </w:r>
      <w:r>
        <w:rPr>
          <w:sz w:val="24"/>
          <w:szCs w:val="24"/>
        </w:rPr>
        <w:t xml:space="preserve">а подряд </w:t>
      </w:r>
      <w:r w:rsidRPr="00210B2B">
        <w:rPr>
          <w:sz w:val="24"/>
          <w:szCs w:val="24"/>
        </w:rPr>
        <w:t xml:space="preserve">(с 169,5 до 141,0 млн долл.) </w:t>
      </w:r>
      <w:r>
        <w:rPr>
          <w:sz w:val="24"/>
          <w:szCs w:val="24"/>
        </w:rPr>
        <w:t>и рос</w:t>
      </w:r>
      <w:r w:rsidRPr="00210B2B">
        <w:rPr>
          <w:sz w:val="24"/>
          <w:szCs w:val="24"/>
        </w:rPr>
        <w:t xml:space="preserve"> в октябре-декабре (до 147,2 млн долл.). Итогом безналичных валютообменных сделок за 2018 год стала нетто-покупка клиентами иностранной валюты в эквиваленте 29,1 млн долл. </w:t>
      </w:r>
    </w:p>
    <w:p w:rsidR="00C20988" w:rsidRPr="00636CF3" w:rsidRDefault="00C20988" w:rsidP="00A71BE1">
      <w:pPr>
        <w:pStyle w:val="Heading2"/>
        <w:widowControl w:val="0"/>
        <w:spacing w:before="120"/>
        <w:ind w:left="408" w:firstLine="18"/>
        <w:jc w:val="left"/>
        <w:rPr>
          <w:rFonts w:ascii="Times New Roman" w:hAnsi="Times New Roman" w:cs="Times New Roman"/>
          <w:b w:val="0"/>
          <w:bCs w:val="0"/>
          <w:i/>
          <w:iCs/>
          <w:color w:val="000000"/>
          <w:sz w:val="24"/>
          <w:szCs w:val="24"/>
        </w:rPr>
      </w:pPr>
      <w:r w:rsidRPr="00636CF3">
        <w:rPr>
          <w:rFonts w:ascii="Times New Roman" w:hAnsi="Times New Roman" w:cs="Times New Roman"/>
          <w:b w:val="0"/>
          <w:bCs w:val="0"/>
          <w:i/>
          <w:iCs/>
          <w:color w:val="000000"/>
          <w:sz w:val="24"/>
          <w:szCs w:val="24"/>
        </w:rPr>
        <w:t>Банковская система</w:t>
      </w:r>
    </w:p>
    <w:p w:rsidR="00C20988" w:rsidRPr="00636CF3" w:rsidRDefault="00C20988" w:rsidP="000D5444">
      <w:pPr>
        <w:ind w:firstLine="425"/>
        <w:jc w:val="both"/>
        <w:rPr>
          <w:sz w:val="24"/>
          <w:szCs w:val="24"/>
        </w:rPr>
      </w:pPr>
      <w:r w:rsidRPr="00636CF3">
        <w:rPr>
          <w:sz w:val="24"/>
          <w:szCs w:val="24"/>
        </w:rPr>
        <w:t xml:space="preserve">Банковский сектор Приднестровья в отчётном году демонстрировал умеренную динамику развития. Совокупная валюта баланса </w:t>
      </w:r>
      <w:r>
        <w:rPr>
          <w:sz w:val="24"/>
          <w:szCs w:val="24"/>
        </w:rPr>
        <w:t>действующих коммерческих банков</w:t>
      </w:r>
      <w:r w:rsidRPr="00636CF3">
        <w:rPr>
          <w:sz w:val="24"/>
          <w:szCs w:val="24"/>
        </w:rPr>
        <w:t xml:space="preserve"> расширилась на 1,3%, или на 109,7 млн руб., и</w:t>
      </w:r>
      <w:r w:rsidRPr="00636CF3">
        <w:rPr>
          <w:color w:val="000000"/>
          <w:sz w:val="24"/>
          <w:szCs w:val="24"/>
        </w:rPr>
        <w:t xml:space="preserve"> по состоянию </w:t>
      </w:r>
      <w:r w:rsidRPr="00636CF3">
        <w:rPr>
          <w:sz w:val="24"/>
          <w:szCs w:val="24"/>
        </w:rPr>
        <w:t>на 1 января 2019 года сложилась на отметке</w:t>
      </w:r>
      <w:r w:rsidRPr="00636CF3">
        <w:rPr>
          <w:color w:val="000000"/>
          <w:sz w:val="24"/>
          <w:szCs w:val="24"/>
        </w:rPr>
        <w:t xml:space="preserve"> 8 521,7</w:t>
      </w:r>
      <w:r w:rsidRPr="00636CF3">
        <w:rPr>
          <w:sz w:val="24"/>
          <w:szCs w:val="24"/>
        </w:rPr>
        <w:t xml:space="preserve"> млн руб.</w:t>
      </w:r>
    </w:p>
    <w:p w:rsidR="00C20988" w:rsidRPr="001E0BAB" w:rsidRDefault="00C20988" w:rsidP="000D5444">
      <w:pPr>
        <w:widowControl w:val="0"/>
        <w:ind w:firstLine="425"/>
        <w:jc w:val="both"/>
        <w:rPr>
          <w:color w:val="000000"/>
          <w:sz w:val="24"/>
          <w:szCs w:val="24"/>
        </w:rPr>
      </w:pPr>
      <w:r w:rsidRPr="00636CF3">
        <w:rPr>
          <w:sz w:val="24"/>
          <w:szCs w:val="24"/>
        </w:rPr>
        <w:t xml:space="preserve">Балансовая стоимость акционерного капитала банковской системы </w:t>
      </w:r>
      <w:r>
        <w:rPr>
          <w:sz w:val="24"/>
          <w:szCs w:val="24"/>
        </w:rPr>
        <w:t>увеличилась</w:t>
      </w:r>
      <w:r w:rsidRPr="00636CF3">
        <w:rPr>
          <w:sz w:val="24"/>
          <w:szCs w:val="24"/>
        </w:rPr>
        <w:t xml:space="preserve"> </w:t>
      </w:r>
      <w:r>
        <w:rPr>
          <w:sz w:val="24"/>
          <w:szCs w:val="24"/>
        </w:rPr>
        <w:br/>
      </w:r>
      <w:r w:rsidRPr="00636CF3">
        <w:rPr>
          <w:sz w:val="24"/>
          <w:szCs w:val="24"/>
        </w:rPr>
        <w:t xml:space="preserve">на 153,2 млн руб. (+10,9%), до 1 564,8 млн руб. </w:t>
      </w:r>
      <w:r w:rsidRPr="00636CF3">
        <w:rPr>
          <w:color w:val="000000"/>
          <w:sz w:val="24"/>
          <w:szCs w:val="24"/>
        </w:rPr>
        <w:t>Это стало следствием как дополнительной эмиссии акций ОАО «Эксимбанк»</w:t>
      </w:r>
      <w:r w:rsidRPr="00636CF3">
        <w:rPr>
          <w:rStyle w:val="FootnoteReference"/>
          <w:sz w:val="24"/>
          <w:szCs w:val="24"/>
        </w:rPr>
        <w:footnoteReference w:id="17"/>
      </w:r>
      <w:r w:rsidRPr="00636CF3">
        <w:rPr>
          <w:color w:val="000000"/>
          <w:sz w:val="24"/>
          <w:szCs w:val="24"/>
        </w:rPr>
        <w:t xml:space="preserve"> в декабре 2018 года на </w:t>
      </w:r>
      <w:r>
        <w:rPr>
          <w:color w:val="000000"/>
          <w:sz w:val="24"/>
          <w:szCs w:val="24"/>
        </w:rPr>
        <w:t xml:space="preserve">общую сумму </w:t>
      </w:r>
      <w:r w:rsidRPr="00636CF3">
        <w:rPr>
          <w:color w:val="000000"/>
          <w:sz w:val="24"/>
          <w:szCs w:val="24"/>
        </w:rPr>
        <w:t>126,7 млн руб.</w:t>
      </w:r>
      <w:r w:rsidRPr="00636CF3">
        <w:rPr>
          <w:sz w:val="24"/>
          <w:szCs w:val="24"/>
        </w:rPr>
        <w:t>, так и переоценк</w:t>
      </w:r>
      <w:r>
        <w:rPr>
          <w:sz w:val="24"/>
          <w:szCs w:val="24"/>
        </w:rPr>
        <w:t>и</w:t>
      </w:r>
      <w:r w:rsidRPr="00636CF3">
        <w:rPr>
          <w:sz w:val="24"/>
          <w:szCs w:val="24"/>
        </w:rPr>
        <w:t xml:space="preserve"> валютной части капитала под воздействием изменения валютн</w:t>
      </w:r>
      <w:r>
        <w:rPr>
          <w:sz w:val="24"/>
          <w:szCs w:val="24"/>
        </w:rPr>
        <w:t>ых</w:t>
      </w:r>
      <w:r w:rsidRPr="00636CF3">
        <w:rPr>
          <w:sz w:val="24"/>
          <w:szCs w:val="24"/>
        </w:rPr>
        <w:t xml:space="preserve"> курс</w:t>
      </w:r>
      <w:r>
        <w:rPr>
          <w:sz w:val="24"/>
          <w:szCs w:val="24"/>
        </w:rPr>
        <w:t>ов</w:t>
      </w:r>
      <w:r w:rsidRPr="00636CF3">
        <w:rPr>
          <w:sz w:val="24"/>
          <w:szCs w:val="24"/>
        </w:rPr>
        <w:t xml:space="preserve">. </w:t>
      </w:r>
    </w:p>
    <w:p w:rsidR="00C20988" w:rsidRDefault="00C20988" w:rsidP="000D5444">
      <w:pPr>
        <w:ind w:firstLine="425"/>
        <w:jc w:val="both"/>
        <w:rPr>
          <w:sz w:val="24"/>
          <w:szCs w:val="24"/>
        </w:rPr>
      </w:pPr>
      <w:r w:rsidRPr="00636CF3">
        <w:rPr>
          <w:sz w:val="24"/>
          <w:szCs w:val="24"/>
        </w:rPr>
        <w:t xml:space="preserve">Совокупный размер обязательств коммерческих банков </w:t>
      </w:r>
      <w:r>
        <w:rPr>
          <w:sz w:val="24"/>
          <w:szCs w:val="24"/>
        </w:rPr>
        <w:t>повысился</w:t>
      </w:r>
      <w:r w:rsidRPr="00636CF3">
        <w:rPr>
          <w:sz w:val="24"/>
          <w:szCs w:val="24"/>
        </w:rPr>
        <w:t xml:space="preserve"> на </w:t>
      </w:r>
      <w:r>
        <w:rPr>
          <w:sz w:val="24"/>
          <w:szCs w:val="24"/>
        </w:rPr>
        <w:br/>
      </w:r>
      <w:r w:rsidRPr="00636CF3">
        <w:rPr>
          <w:sz w:val="24"/>
          <w:szCs w:val="24"/>
        </w:rPr>
        <w:t xml:space="preserve">66,4 млн руб. (+1,0%) по отношению к уровню начала отчётного года, вследствие расширения рублёвой составляющей на 108,6 млн руб. (+7,2%), тогда как обязательства в иностранной валюте, напротив, сократились на 42,1 млн руб. (-0,8%). В результате степень валютизации привлечённых ресурсов уменьшилась на 1,4 п.п., до 76,8%. В абсолютном выражении по состоянию на 1 января 2019 года банками было привлечено средств на </w:t>
      </w:r>
      <w:r>
        <w:rPr>
          <w:sz w:val="24"/>
          <w:szCs w:val="24"/>
        </w:rPr>
        <w:t>сумму 6 952,4 млн руб. (табл. 1.8</w:t>
      </w:r>
      <w:r w:rsidRPr="00636CF3">
        <w:rPr>
          <w:sz w:val="24"/>
          <w:szCs w:val="24"/>
        </w:rPr>
        <w:t xml:space="preserve">), или 81,6% валюты баланса-нетто. </w:t>
      </w:r>
    </w:p>
    <w:p w:rsidR="00C20988" w:rsidRDefault="00C20988" w:rsidP="00A4495B">
      <w:pPr>
        <w:ind w:firstLine="425"/>
        <w:jc w:val="both"/>
        <w:rPr>
          <w:sz w:val="24"/>
          <w:szCs w:val="24"/>
        </w:rPr>
      </w:pPr>
      <w:r w:rsidRPr="00636CF3">
        <w:rPr>
          <w:sz w:val="24"/>
          <w:szCs w:val="24"/>
        </w:rPr>
        <w:t>В общем объёме ресурсной базы банков на средства клиентов пришлось 89</w:t>
      </w:r>
      <w:r>
        <w:rPr>
          <w:sz w:val="24"/>
          <w:szCs w:val="24"/>
        </w:rPr>
        <w:t>,8</w:t>
      </w:r>
      <w:r w:rsidRPr="00636CF3">
        <w:rPr>
          <w:sz w:val="24"/>
          <w:szCs w:val="24"/>
        </w:rPr>
        <w:t xml:space="preserve">% </w:t>
      </w:r>
      <w:r>
        <w:rPr>
          <w:sz w:val="24"/>
          <w:szCs w:val="24"/>
        </w:rPr>
        <w:br/>
        <w:t xml:space="preserve">(+12,5 </w:t>
      </w:r>
      <w:r w:rsidRPr="00636CF3">
        <w:rPr>
          <w:sz w:val="24"/>
          <w:szCs w:val="24"/>
        </w:rPr>
        <w:t xml:space="preserve">п.п.). Остатки на их счетах за 2018 год увеличились на 17,4%, или на 925,5 млн руб., до 6 245,3 млн руб. </w:t>
      </w:r>
    </w:p>
    <w:p w:rsidR="00C20988" w:rsidRDefault="00C20988" w:rsidP="000A1961">
      <w:pPr>
        <w:ind w:firstLine="425"/>
        <w:jc w:val="both"/>
        <w:rPr>
          <w:color w:val="000000"/>
          <w:sz w:val="24"/>
          <w:szCs w:val="24"/>
        </w:rPr>
      </w:pPr>
      <w:r>
        <w:rPr>
          <w:color w:val="000000"/>
          <w:sz w:val="24"/>
          <w:szCs w:val="24"/>
        </w:rPr>
        <w:t>Доля</w:t>
      </w:r>
      <w:r w:rsidRPr="00636CF3">
        <w:rPr>
          <w:color w:val="000000"/>
          <w:sz w:val="24"/>
          <w:szCs w:val="24"/>
        </w:rPr>
        <w:t xml:space="preserve"> ресурсов корпоративного сектора</w:t>
      </w:r>
      <w:r w:rsidRPr="00C02A57">
        <w:rPr>
          <w:color w:val="000000"/>
          <w:sz w:val="24"/>
          <w:szCs w:val="24"/>
        </w:rPr>
        <w:t xml:space="preserve"> </w:t>
      </w:r>
      <w:r>
        <w:rPr>
          <w:color w:val="000000"/>
          <w:sz w:val="24"/>
          <w:szCs w:val="24"/>
        </w:rPr>
        <w:t>в</w:t>
      </w:r>
      <w:r w:rsidRPr="00636CF3">
        <w:rPr>
          <w:color w:val="000000"/>
          <w:sz w:val="24"/>
          <w:szCs w:val="24"/>
        </w:rPr>
        <w:t xml:space="preserve"> </w:t>
      </w:r>
      <w:r>
        <w:rPr>
          <w:color w:val="000000"/>
          <w:sz w:val="24"/>
          <w:szCs w:val="24"/>
        </w:rPr>
        <w:t xml:space="preserve">банковских обязательствах </w:t>
      </w:r>
      <w:r w:rsidRPr="00636CF3">
        <w:rPr>
          <w:color w:val="000000"/>
          <w:sz w:val="24"/>
          <w:szCs w:val="24"/>
        </w:rPr>
        <w:t xml:space="preserve">возросла на 5,2 п.п., до 53,2%. В абсолютном выражении остатки на текущих счетах и срочных депозитах юридических лиц за 2018 год расширились на 389,5 млн руб. (+11,8%), составив </w:t>
      </w:r>
      <w:r>
        <w:rPr>
          <w:color w:val="000000"/>
          <w:sz w:val="24"/>
          <w:szCs w:val="24"/>
        </w:rPr>
        <w:br/>
      </w:r>
      <w:r w:rsidRPr="00636CF3">
        <w:rPr>
          <w:color w:val="000000"/>
          <w:sz w:val="24"/>
          <w:szCs w:val="24"/>
        </w:rPr>
        <w:t>3 697,4 млн руб.</w:t>
      </w:r>
      <w:r>
        <w:rPr>
          <w:color w:val="000000"/>
          <w:sz w:val="24"/>
          <w:szCs w:val="24"/>
        </w:rPr>
        <w:t xml:space="preserve"> </w:t>
      </w:r>
    </w:p>
    <w:p w:rsidR="00C20988" w:rsidRPr="00636CF3" w:rsidRDefault="00C20988" w:rsidP="000A1961">
      <w:pPr>
        <w:ind w:firstLine="425"/>
        <w:jc w:val="both"/>
        <w:rPr>
          <w:color w:val="000000"/>
          <w:sz w:val="24"/>
          <w:szCs w:val="24"/>
        </w:rPr>
      </w:pPr>
      <w:r w:rsidRPr="00636CF3">
        <w:rPr>
          <w:color w:val="000000"/>
          <w:sz w:val="24"/>
          <w:szCs w:val="24"/>
        </w:rPr>
        <w:t xml:space="preserve">Средства, привлечённые от физических лиц, продемонстрировали более активную динамику. Суммы на счетах граждан возросли на 536,0 млн </w:t>
      </w:r>
      <w:r w:rsidRPr="007F442F">
        <w:rPr>
          <w:color w:val="000000"/>
          <w:sz w:val="24"/>
          <w:szCs w:val="24"/>
        </w:rPr>
        <w:t>руб. (+26,6%),</w:t>
      </w:r>
      <w:r w:rsidRPr="00636CF3">
        <w:rPr>
          <w:color w:val="000000"/>
          <w:sz w:val="24"/>
          <w:szCs w:val="24"/>
        </w:rPr>
        <w:t xml:space="preserve"> до </w:t>
      </w:r>
      <w:r>
        <w:rPr>
          <w:color w:val="000000"/>
          <w:sz w:val="24"/>
          <w:szCs w:val="24"/>
        </w:rPr>
        <w:br/>
      </w:r>
      <w:r w:rsidRPr="00636CF3">
        <w:rPr>
          <w:color w:val="000000"/>
          <w:sz w:val="24"/>
          <w:szCs w:val="24"/>
        </w:rPr>
        <w:t>2 547,9 млн руб., сформировав 36,</w:t>
      </w:r>
      <w:r>
        <w:rPr>
          <w:color w:val="000000"/>
          <w:sz w:val="24"/>
          <w:szCs w:val="24"/>
        </w:rPr>
        <w:t>6% обязательств.</w:t>
      </w:r>
    </w:p>
    <w:p w:rsidR="00C20988" w:rsidRPr="00636CF3" w:rsidRDefault="00C20988" w:rsidP="000A1961">
      <w:pPr>
        <w:widowControl w:val="0"/>
        <w:ind w:firstLine="425"/>
        <w:jc w:val="both"/>
        <w:rPr>
          <w:sz w:val="24"/>
          <w:szCs w:val="24"/>
        </w:rPr>
      </w:pPr>
      <w:r w:rsidRPr="00636CF3">
        <w:rPr>
          <w:sz w:val="24"/>
          <w:szCs w:val="24"/>
        </w:rPr>
        <w:t xml:space="preserve">В то же время практически </w:t>
      </w:r>
      <w:r w:rsidRPr="00636CF3">
        <w:rPr>
          <w:color w:val="000000"/>
          <w:sz w:val="24"/>
          <w:szCs w:val="24"/>
        </w:rPr>
        <w:t xml:space="preserve">в 4,5 раза снизился совокупный объём привлечений и заимствований на межбанковском рынке, что было обусловлено погашением обязательств перед центральным банком. В итоге </w:t>
      </w:r>
      <w:r>
        <w:rPr>
          <w:color w:val="000000"/>
          <w:sz w:val="24"/>
          <w:szCs w:val="24"/>
        </w:rPr>
        <w:t xml:space="preserve">на межбанковское финансирование пришлось </w:t>
      </w:r>
      <w:r w:rsidRPr="00636CF3">
        <w:rPr>
          <w:color w:val="000000"/>
          <w:sz w:val="24"/>
          <w:szCs w:val="24"/>
        </w:rPr>
        <w:t>0,8% ресурсов действующих банков (-2,7 п.п.)</w:t>
      </w:r>
      <w:r>
        <w:rPr>
          <w:color w:val="000000"/>
          <w:sz w:val="24"/>
          <w:szCs w:val="24"/>
        </w:rPr>
        <w:t xml:space="preserve">, или </w:t>
      </w:r>
      <w:r w:rsidRPr="00636CF3">
        <w:rPr>
          <w:color w:val="000000"/>
          <w:sz w:val="24"/>
          <w:szCs w:val="24"/>
        </w:rPr>
        <w:t>54,4 млн руб.</w:t>
      </w:r>
      <w:r>
        <w:rPr>
          <w:color w:val="000000"/>
          <w:sz w:val="24"/>
          <w:szCs w:val="24"/>
        </w:rPr>
        <w:t xml:space="preserve">, против 243,9 </w:t>
      </w:r>
      <w:r w:rsidRPr="00636CF3">
        <w:rPr>
          <w:sz w:val="24"/>
          <w:szCs w:val="24"/>
        </w:rPr>
        <w:t>млн руб.</w:t>
      </w:r>
      <w:r>
        <w:rPr>
          <w:sz w:val="24"/>
          <w:szCs w:val="24"/>
        </w:rPr>
        <w:t xml:space="preserve"> на </w:t>
      </w:r>
      <w:r>
        <w:rPr>
          <w:sz w:val="24"/>
          <w:szCs w:val="24"/>
        </w:rPr>
        <w:br/>
        <w:t>1 января 2018 года.</w:t>
      </w:r>
    </w:p>
    <w:p w:rsidR="00C20988" w:rsidRPr="003248C9" w:rsidRDefault="00C20988" w:rsidP="001E0BAB">
      <w:pPr>
        <w:pStyle w:val="Heading4"/>
        <w:widowControl w:val="0"/>
        <w:spacing w:before="120" w:after="120"/>
        <w:ind w:firstLine="425"/>
        <w:jc w:val="right"/>
        <w:rPr>
          <w:rFonts w:ascii="Times New Roman" w:hAnsi="Times New Roman" w:cs="Times New Roman"/>
          <w:b/>
          <w:bCs/>
          <w:color w:val="000000"/>
          <w:sz w:val="24"/>
          <w:szCs w:val="24"/>
        </w:rPr>
      </w:pPr>
      <w:r w:rsidRPr="00636CF3">
        <w:rPr>
          <w:rFonts w:ascii="Times New Roman" w:hAnsi="Times New Roman" w:cs="Times New Roman"/>
          <w:b/>
          <w:bCs/>
          <w:color w:val="000000"/>
          <w:sz w:val="24"/>
          <w:szCs w:val="24"/>
        </w:rPr>
        <w:t>Таблица 1.</w:t>
      </w:r>
      <w:r>
        <w:rPr>
          <w:rFonts w:ascii="Times New Roman" w:hAnsi="Times New Roman" w:cs="Times New Roman"/>
          <w:b/>
          <w:bCs/>
          <w:color w:val="000000"/>
          <w:sz w:val="24"/>
          <w:szCs w:val="24"/>
        </w:rPr>
        <w:t>8</w:t>
      </w:r>
    </w:p>
    <w:p w:rsidR="00C20988" w:rsidRPr="00751E90" w:rsidRDefault="00C20988" w:rsidP="00C02A57">
      <w:pPr>
        <w:pStyle w:val="Heading3"/>
        <w:widowControl w:val="0"/>
        <w:spacing w:after="120"/>
        <w:jc w:val="center"/>
        <w:rPr>
          <w:rFonts w:ascii="Times New Roman" w:hAnsi="Times New Roman" w:cs="Times New Roman"/>
          <w:b/>
          <w:i w:val="0"/>
          <w:color w:val="000000"/>
          <w:sz w:val="24"/>
          <w:szCs w:val="24"/>
        </w:rPr>
      </w:pPr>
      <w:r w:rsidRPr="00751E90">
        <w:rPr>
          <w:rFonts w:ascii="Times New Roman" w:hAnsi="Times New Roman" w:cs="Times New Roman"/>
          <w:b/>
          <w:color w:val="000000"/>
          <w:sz w:val="24"/>
          <w:szCs w:val="24"/>
        </w:rPr>
        <w:t>Структура и динамика совокупных обязательств коммерческих банков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134"/>
        <w:gridCol w:w="1134"/>
        <w:gridCol w:w="1134"/>
        <w:gridCol w:w="1134"/>
        <w:gridCol w:w="1134"/>
      </w:tblGrid>
      <w:tr w:rsidR="00C20988" w:rsidRPr="00C02A57" w:rsidTr="00C02A57">
        <w:trPr>
          <w:trHeight w:val="145"/>
        </w:trPr>
        <w:tc>
          <w:tcPr>
            <w:tcW w:w="3969" w:type="dxa"/>
            <w:vMerge w:val="restart"/>
            <w:tcBorders>
              <w:bottom w:val="double" w:sz="4" w:space="0" w:color="auto"/>
            </w:tcBorders>
            <w:shd w:val="clear" w:color="auto" w:fill="CCCCCC"/>
            <w:vAlign w:val="center"/>
          </w:tcPr>
          <w:p w:rsidR="00C20988" w:rsidRPr="00C02A57" w:rsidRDefault="00C20988" w:rsidP="00973DA1">
            <w:pPr>
              <w:widowControl w:val="0"/>
              <w:ind w:left="34"/>
              <w:jc w:val="center"/>
              <w:rPr>
                <w:color w:val="000000"/>
                <w:sz w:val="22"/>
                <w:szCs w:val="22"/>
              </w:rPr>
            </w:pPr>
          </w:p>
        </w:tc>
        <w:tc>
          <w:tcPr>
            <w:tcW w:w="2268" w:type="dxa"/>
            <w:gridSpan w:val="2"/>
            <w:shd w:val="clear" w:color="auto" w:fill="CCCCCC"/>
            <w:vAlign w:val="center"/>
          </w:tcPr>
          <w:p w:rsidR="00C20988" w:rsidRPr="00C02A57" w:rsidRDefault="00C20988" w:rsidP="00973DA1">
            <w:pPr>
              <w:widowControl w:val="0"/>
              <w:ind w:left="-94" w:right="-101"/>
              <w:jc w:val="center"/>
              <w:rPr>
                <w:color w:val="000000"/>
                <w:sz w:val="22"/>
                <w:szCs w:val="22"/>
              </w:rPr>
            </w:pPr>
            <w:r w:rsidRPr="00C02A57">
              <w:rPr>
                <w:color w:val="000000"/>
                <w:sz w:val="22"/>
                <w:szCs w:val="22"/>
              </w:rPr>
              <w:t>на 01.01.2018</w:t>
            </w:r>
          </w:p>
        </w:tc>
        <w:tc>
          <w:tcPr>
            <w:tcW w:w="2268" w:type="dxa"/>
            <w:gridSpan w:val="2"/>
            <w:shd w:val="clear" w:color="auto" w:fill="CCCCCC"/>
            <w:vAlign w:val="center"/>
          </w:tcPr>
          <w:p w:rsidR="00C20988" w:rsidRPr="00C02A57" w:rsidRDefault="00C20988" w:rsidP="00973DA1">
            <w:pPr>
              <w:widowControl w:val="0"/>
              <w:ind w:left="-94" w:right="-101"/>
              <w:jc w:val="center"/>
              <w:rPr>
                <w:color w:val="000000"/>
                <w:sz w:val="22"/>
                <w:szCs w:val="22"/>
              </w:rPr>
            </w:pPr>
            <w:r w:rsidRPr="00C02A57">
              <w:rPr>
                <w:color w:val="000000"/>
                <w:sz w:val="22"/>
                <w:szCs w:val="22"/>
              </w:rPr>
              <w:t>на 01.01.2019</w:t>
            </w:r>
          </w:p>
        </w:tc>
        <w:tc>
          <w:tcPr>
            <w:tcW w:w="1134" w:type="dxa"/>
            <w:vMerge w:val="restart"/>
            <w:tcBorders>
              <w:bottom w:val="double" w:sz="4" w:space="0" w:color="auto"/>
            </w:tcBorders>
            <w:shd w:val="clear" w:color="auto" w:fill="CCCCCC"/>
            <w:vAlign w:val="center"/>
          </w:tcPr>
          <w:p w:rsidR="00C20988" w:rsidRPr="00C02A57" w:rsidRDefault="00C20988" w:rsidP="00973DA1">
            <w:pPr>
              <w:widowControl w:val="0"/>
              <w:ind w:left="-94" w:right="-101"/>
              <w:jc w:val="center"/>
              <w:rPr>
                <w:color w:val="000000"/>
                <w:sz w:val="22"/>
                <w:szCs w:val="22"/>
              </w:rPr>
            </w:pPr>
            <w:r w:rsidRPr="00C02A57">
              <w:rPr>
                <w:color w:val="000000"/>
                <w:sz w:val="22"/>
                <w:szCs w:val="22"/>
              </w:rPr>
              <w:t>темп роста, %</w:t>
            </w:r>
          </w:p>
        </w:tc>
      </w:tr>
      <w:tr w:rsidR="00C20988" w:rsidRPr="00C02A57" w:rsidTr="00C02A57">
        <w:trPr>
          <w:trHeight w:val="388"/>
        </w:trPr>
        <w:tc>
          <w:tcPr>
            <w:tcW w:w="3969" w:type="dxa"/>
            <w:vMerge/>
            <w:tcBorders>
              <w:bottom w:val="double" w:sz="4" w:space="0" w:color="auto"/>
            </w:tcBorders>
            <w:vAlign w:val="center"/>
          </w:tcPr>
          <w:p w:rsidR="00C20988" w:rsidRPr="00C02A57" w:rsidRDefault="00C20988" w:rsidP="00973DA1">
            <w:pPr>
              <w:widowControl w:val="0"/>
              <w:rPr>
                <w:color w:val="000000"/>
                <w:sz w:val="22"/>
                <w:szCs w:val="22"/>
              </w:rPr>
            </w:pPr>
          </w:p>
        </w:tc>
        <w:tc>
          <w:tcPr>
            <w:tcW w:w="1134" w:type="dxa"/>
            <w:tcBorders>
              <w:bottom w:val="double" w:sz="4" w:space="0" w:color="auto"/>
            </w:tcBorders>
            <w:shd w:val="clear" w:color="auto" w:fill="CCCCCC"/>
            <w:vAlign w:val="center"/>
          </w:tcPr>
          <w:p w:rsidR="00C20988" w:rsidRPr="00C02A57" w:rsidRDefault="00C20988" w:rsidP="00973DA1">
            <w:pPr>
              <w:widowControl w:val="0"/>
              <w:ind w:left="-94" w:right="-101"/>
              <w:jc w:val="center"/>
              <w:rPr>
                <w:color w:val="000000"/>
                <w:sz w:val="22"/>
                <w:szCs w:val="22"/>
              </w:rPr>
            </w:pPr>
            <w:r w:rsidRPr="00C02A57">
              <w:rPr>
                <w:color w:val="000000"/>
                <w:sz w:val="22"/>
                <w:szCs w:val="22"/>
              </w:rPr>
              <w:t>млн руб.</w:t>
            </w:r>
          </w:p>
        </w:tc>
        <w:tc>
          <w:tcPr>
            <w:tcW w:w="1134" w:type="dxa"/>
            <w:tcBorders>
              <w:bottom w:val="double" w:sz="4" w:space="0" w:color="auto"/>
            </w:tcBorders>
            <w:shd w:val="clear" w:color="auto" w:fill="CCCCCC"/>
            <w:vAlign w:val="center"/>
          </w:tcPr>
          <w:p w:rsidR="00C20988" w:rsidRPr="00C02A57" w:rsidRDefault="00C20988" w:rsidP="00C02A57">
            <w:pPr>
              <w:widowControl w:val="0"/>
              <w:ind w:left="-94" w:right="-101"/>
              <w:jc w:val="center"/>
              <w:rPr>
                <w:color w:val="000000"/>
                <w:sz w:val="22"/>
                <w:szCs w:val="22"/>
              </w:rPr>
            </w:pPr>
            <w:r w:rsidRPr="00C02A57">
              <w:rPr>
                <w:color w:val="000000"/>
                <w:sz w:val="22"/>
                <w:szCs w:val="22"/>
              </w:rPr>
              <w:t xml:space="preserve">уд. вес, </w:t>
            </w:r>
          </w:p>
          <w:p w:rsidR="00C20988" w:rsidRPr="00C02A57" w:rsidRDefault="00C20988" w:rsidP="00C02A57">
            <w:pPr>
              <w:widowControl w:val="0"/>
              <w:ind w:left="-94" w:right="-101"/>
              <w:jc w:val="center"/>
              <w:rPr>
                <w:color w:val="000000"/>
                <w:sz w:val="22"/>
                <w:szCs w:val="22"/>
              </w:rPr>
            </w:pPr>
            <w:r w:rsidRPr="00C02A57">
              <w:rPr>
                <w:color w:val="000000"/>
                <w:sz w:val="22"/>
                <w:szCs w:val="22"/>
              </w:rPr>
              <w:t>%</w:t>
            </w:r>
          </w:p>
        </w:tc>
        <w:tc>
          <w:tcPr>
            <w:tcW w:w="1134" w:type="dxa"/>
            <w:tcBorders>
              <w:bottom w:val="double" w:sz="4" w:space="0" w:color="auto"/>
            </w:tcBorders>
            <w:shd w:val="clear" w:color="auto" w:fill="CCCCCC"/>
            <w:vAlign w:val="center"/>
          </w:tcPr>
          <w:p w:rsidR="00C20988" w:rsidRPr="00C02A57" w:rsidRDefault="00C20988" w:rsidP="00C02A57">
            <w:pPr>
              <w:widowControl w:val="0"/>
              <w:ind w:left="-94" w:right="-101"/>
              <w:jc w:val="center"/>
              <w:rPr>
                <w:color w:val="000000"/>
                <w:sz w:val="22"/>
                <w:szCs w:val="22"/>
              </w:rPr>
            </w:pPr>
            <w:r w:rsidRPr="00C02A57">
              <w:rPr>
                <w:color w:val="000000"/>
                <w:sz w:val="22"/>
                <w:szCs w:val="22"/>
              </w:rPr>
              <w:t>млн руб.</w:t>
            </w:r>
          </w:p>
        </w:tc>
        <w:tc>
          <w:tcPr>
            <w:tcW w:w="1134" w:type="dxa"/>
            <w:tcBorders>
              <w:bottom w:val="double" w:sz="4" w:space="0" w:color="auto"/>
            </w:tcBorders>
            <w:shd w:val="clear" w:color="auto" w:fill="CCCCCC"/>
            <w:vAlign w:val="center"/>
          </w:tcPr>
          <w:p w:rsidR="00C20988" w:rsidRPr="00C02A57" w:rsidRDefault="00C20988" w:rsidP="00C02A57">
            <w:pPr>
              <w:widowControl w:val="0"/>
              <w:ind w:left="-94" w:right="-101"/>
              <w:jc w:val="center"/>
              <w:rPr>
                <w:color w:val="000000"/>
                <w:sz w:val="22"/>
                <w:szCs w:val="22"/>
              </w:rPr>
            </w:pPr>
            <w:r w:rsidRPr="00C02A57">
              <w:rPr>
                <w:color w:val="000000"/>
                <w:sz w:val="22"/>
                <w:szCs w:val="22"/>
              </w:rPr>
              <w:t xml:space="preserve">уд. вес, </w:t>
            </w:r>
          </w:p>
          <w:p w:rsidR="00C20988" w:rsidRPr="00C02A57" w:rsidRDefault="00C20988" w:rsidP="00C02A57">
            <w:pPr>
              <w:widowControl w:val="0"/>
              <w:ind w:left="-94" w:right="-101"/>
              <w:jc w:val="center"/>
              <w:rPr>
                <w:color w:val="000000"/>
                <w:sz w:val="22"/>
                <w:szCs w:val="22"/>
              </w:rPr>
            </w:pPr>
            <w:r w:rsidRPr="00C02A57">
              <w:rPr>
                <w:color w:val="000000"/>
                <w:sz w:val="22"/>
                <w:szCs w:val="22"/>
              </w:rPr>
              <w:t>%</w:t>
            </w:r>
          </w:p>
        </w:tc>
        <w:tc>
          <w:tcPr>
            <w:tcW w:w="1134" w:type="dxa"/>
            <w:vMerge/>
            <w:tcBorders>
              <w:bottom w:val="double" w:sz="4" w:space="0" w:color="auto"/>
            </w:tcBorders>
            <w:vAlign w:val="center"/>
          </w:tcPr>
          <w:p w:rsidR="00C20988" w:rsidRPr="00C02A57" w:rsidRDefault="00C20988" w:rsidP="00973DA1">
            <w:pPr>
              <w:widowControl w:val="0"/>
              <w:rPr>
                <w:color w:val="000000"/>
                <w:sz w:val="22"/>
                <w:szCs w:val="22"/>
              </w:rPr>
            </w:pPr>
          </w:p>
        </w:tc>
      </w:tr>
      <w:tr w:rsidR="00C20988" w:rsidRPr="00C02A57" w:rsidTr="0054585E">
        <w:trPr>
          <w:trHeight w:val="204"/>
        </w:trPr>
        <w:tc>
          <w:tcPr>
            <w:tcW w:w="3969" w:type="dxa"/>
            <w:tcBorders>
              <w:top w:val="double" w:sz="4" w:space="0" w:color="auto"/>
            </w:tcBorders>
            <w:shd w:val="clear" w:color="auto" w:fill="E0E0E0"/>
            <w:vAlign w:val="center"/>
          </w:tcPr>
          <w:p w:rsidR="00C20988" w:rsidRPr="00C02A57" w:rsidRDefault="00C20988" w:rsidP="00973DA1">
            <w:pPr>
              <w:widowControl w:val="0"/>
              <w:ind w:left="-24"/>
              <w:rPr>
                <w:color w:val="000000"/>
                <w:sz w:val="22"/>
                <w:szCs w:val="22"/>
              </w:rPr>
            </w:pPr>
            <w:r w:rsidRPr="00C02A57">
              <w:rPr>
                <w:color w:val="000000"/>
                <w:sz w:val="22"/>
                <w:szCs w:val="22"/>
              </w:rPr>
              <w:t>Обязательства, всего</w:t>
            </w:r>
          </w:p>
        </w:tc>
        <w:tc>
          <w:tcPr>
            <w:tcW w:w="1134" w:type="dxa"/>
            <w:tcBorders>
              <w:top w:val="double" w:sz="4" w:space="0" w:color="auto"/>
            </w:tcBorders>
            <w:shd w:val="clear" w:color="auto" w:fill="E0E0E0"/>
            <w:vAlign w:val="bottom"/>
          </w:tcPr>
          <w:p w:rsidR="00C20988" w:rsidRPr="00C02A57" w:rsidRDefault="00C20988" w:rsidP="00973DA1">
            <w:pPr>
              <w:ind w:right="113"/>
              <w:jc w:val="right"/>
              <w:rPr>
                <w:color w:val="000000"/>
                <w:sz w:val="22"/>
                <w:szCs w:val="22"/>
              </w:rPr>
            </w:pPr>
            <w:r w:rsidRPr="00C02A57">
              <w:rPr>
                <w:color w:val="000000"/>
                <w:sz w:val="22"/>
                <w:szCs w:val="22"/>
              </w:rPr>
              <w:t>6 885,9</w:t>
            </w:r>
          </w:p>
        </w:tc>
        <w:tc>
          <w:tcPr>
            <w:tcW w:w="1134" w:type="dxa"/>
            <w:tcBorders>
              <w:top w:val="double" w:sz="4" w:space="0" w:color="auto"/>
            </w:tcBorders>
            <w:shd w:val="clear" w:color="auto" w:fill="E0E0E0"/>
            <w:vAlign w:val="bottom"/>
          </w:tcPr>
          <w:p w:rsidR="00C20988" w:rsidRPr="00C02A57" w:rsidRDefault="00C20988" w:rsidP="00973DA1">
            <w:pPr>
              <w:ind w:right="113"/>
              <w:jc w:val="right"/>
              <w:rPr>
                <w:color w:val="000000"/>
                <w:sz w:val="22"/>
                <w:szCs w:val="22"/>
              </w:rPr>
            </w:pPr>
            <w:r w:rsidRPr="00C02A57">
              <w:rPr>
                <w:color w:val="000000"/>
                <w:sz w:val="22"/>
                <w:szCs w:val="22"/>
              </w:rPr>
              <w:t>100,0</w:t>
            </w:r>
          </w:p>
        </w:tc>
        <w:tc>
          <w:tcPr>
            <w:tcW w:w="1134" w:type="dxa"/>
            <w:tcBorders>
              <w:top w:val="double" w:sz="4" w:space="0" w:color="auto"/>
            </w:tcBorders>
            <w:shd w:val="clear" w:color="auto" w:fill="E0E0E0"/>
            <w:vAlign w:val="bottom"/>
          </w:tcPr>
          <w:p w:rsidR="00C20988" w:rsidRPr="00C02A57" w:rsidRDefault="00C20988" w:rsidP="00973DA1">
            <w:pPr>
              <w:ind w:right="113"/>
              <w:jc w:val="right"/>
              <w:rPr>
                <w:color w:val="000000"/>
                <w:sz w:val="22"/>
                <w:szCs w:val="22"/>
              </w:rPr>
            </w:pPr>
            <w:r w:rsidRPr="00C02A57">
              <w:rPr>
                <w:color w:val="000000"/>
                <w:sz w:val="22"/>
                <w:szCs w:val="22"/>
              </w:rPr>
              <w:t>6 952,4</w:t>
            </w:r>
          </w:p>
        </w:tc>
        <w:tc>
          <w:tcPr>
            <w:tcW w:w="1134" w:type="dxa"/>
            <w:tcBorders>
              <w:top w:val="double" w:sz="4" w:space="0" w:color="auto"/>
            </w:tcBorders>
            <w:shd w:val="clear" w:color="auto" w:fill="E0E0E0"/>
            <w:vAlign w:val="bottom"/>
          </w:tcPr>
          <w:p w:rsidR="00C20988" w:rsidRPr="00C02A57" w:rsidRDefault="00C20988" w:rsidP="00973DA1">
            <w:pPr>
              <w:ind w:right="113"/>
              <w:jc w:val="right"/>
              <w:rPr>
                <w:color w:val="000000"/>
                <w:sz w:val="22"/>
                <w:szCs w:val="22"/>
              </w:rPr>
            </w:pPr>
            <w:r w:rsidRPr="00C02A57">
              <w:rPr>
                <w:color w:val="000000"/>
                <w:sz w:val="22"/>
                <w:szCs w:val="22"/>
              </w:rPr>
              <w:t>100,0</w:t>
            </w:r>
          </w:p>
        </w:tc>
        <w:tc>
          <w:tcPr>
            <w:tcW w:w="1134" w:type="dxa"/>
            <w:tcBorders>
              <w:top w:val="double" w:sz="4" w:space="0" w:color="auto"/>
            </w:tcBorders>
            <w:shd w:val="clear" w:color="auto" w:fill="E0E0E0"/>
            <w:vAlign w:val="bottom"/>
          </w:tcPr>
          <w:p w:rsidR="00C20988" w:rsidRPr="00C02A57" w:rsidRDefault="00C20988" w:rsidP="00973DA1">
            <w:pPr>
              <w:ind w:right="113"/>
              <w:jc w:val="right"/>
              <w:rPr>
                <w:color w:val="000000"/>
                <w:sz w:val="22"/>
                <w:szCs w:val="22"/>
              </w:rPr>
            </w:pPr>
            <w:r w:rsidRPr="00C02A57">
              <w:rPr>
                <w:color w:val="000000"/>
                <w:sz w:val="22"/>
                <w:szCs w:val="22"/>
              </w:rPr>
              <w:t>101,0</w:t>
            </w:r>
          </w:p>
        </w:tc>
      </w:tr>
      <w:tr w:rsidR="00C20988" w:rsidRPr="00C02A57" w:rsidTr="0054585E">
        <w:trPr>
          <w:trHeight w:val="234"/>
        </w:trPr>
        <w:tc>
          <w:tcPr>
            <w:tcW w:w="3969" w:type="dxa"/>
          </w:tcPr>
          <w:p w:rsidR="00C20988" w:rsidRPr="00C02A57" w:rsidRDefault="00C20988" w:rsidP="00C20988">
            <w:pPr>
              <w:ind w:leftChars="73" w:left="31680" w:hangingChars="85" w:firstLine="31680"/>
              <w:rPr>
                <w:color w:val="000000"/>
                <w:sz w:val="22"/>
                <w:szCs w:val="22"/>
              </w:rPr>
            </w:pPr>
            <w:r w:rsidRPr="00C02A57">
              <w:rPr>
                <w:color w:val="000000"/>
                <w:sz w:val="22"/>
                <w:szCs w:val="22"/>
              </w:rPr>
              <w:t>из них:</w:t>
            </w:r>
          </w:p>
        </w:tc>
        <w:tc>
          <w:tcPr>
            <w:tcW w:w="1134" w:type="dxa"/>
            <w:vAlign w:val="bottom"/>
          </w:tcPr>
          <w:p w:rsidR="00C20988" w:rsidRPr="00C02A57" w:rsidRDefault="00C20988" w:rsidP="00973DA1">
            <w:pPr>
              <w:ind w:right="113"/>
              <w:jc w:val="right"/>
              <w:rPr>
                <w:color w:val="000000"/>
                <w:sz w:val="22"/>
                <w:szCs w:val="22"/>
              </w:rPr>
            </w:pPr>
          </w:p>
        </w:tc>
        <w:tc>
          <w:tcPr>
            <w:tcW w:w="1134" w:type="dxa"/>
            <w:vAlign w:val="bottom"/>
          </w:tcPr>
          <w:p w:rsidR="00C20988" w:rsidRPr="00C02A57" w:rsidRDefault="00C20988" w:rsidP="00973DA1">
            <w:pPr>
              <w:ind w:right="113"/>
              <w:jc w:val="right"/>
              <w:rPr>
                <w:color w:val="000000"/>
                <w:sz w:val="22"/>
                <w:szCs w:val="22"/>
              </w:rPr>
            </w:pPr>
          </w:p>
        </w:tc>
        <w:tc>
          <w:tcPr>
            <w:tcW w:w="1134" w:type="dxa"/>
            <w:vAlign w:val="bottom"/>
          </w:tcPr>
          <w:p w:rsidR="00C20988" w:rsidRPr="00C02A57" w:rsidRDefault="00C20988" w:rsidP="00973DA1">
            <w:pPr>
              <w:ind w:right="113"/>
              <w:jc w:val="right"/>
              <w:rPr>
                <w:color w:val="000000"/>
                <w:sz w:val="22"/>
                <w:szCs w:val="22"/>
              </w:rPr>
            </w:pPr>
          </w:p>
        </w:tc>
        <w:tc>
          <w:tcPr>
            <w:tcW w:w="1134" w:type="dxa"/>
            <w:vAlign w:val="bottom"/>
          </w:tcPr>
          <w:p w:rsidR="00C20988" w:rsidRPr="00C02A57" w:rsidRDefault="00C20988" w:rsidP="00973DA1">
            <w:pPr>
              <w:ind w:right="113"/>
              <w:jc w:val="right"/>
              <w:rPr>
                <w:color w:val="000000"/>
                <w:sz w:val="22"/>
                <w:szCs w:val="22"/>
              </w:rPr>
            </w:pPr>
          </w:p>
        </w:tc>
        <w:tc>
          <w:tcPr>
            <w:tcW w:w="1134" w:type="dxa"/>
            <w:vAlign w:val="bottom"/>
          </w:tcPr>
          <w:p w:rsidR="00C20988" w:rsidRPr="00C02A57" w:rsidRDefault="00C20988" w:rsidP="00973DA1">
            <w:pPr>
              <w:ind w:right="113"/>
              <w:jc w:val="right"/>
              <w:rPr>
                <w:color w:val="000000"/>
                <w:sz w:val="22"/>
                <w:szCs w:val="22"/>
              </w:rPr>
            </w:pPr>
          </w:p>
        </w:tc>
      </w:tr>
      <w:tr w:rsidR="00C20988" w:rsidRPr="00C02A57" w:rsidTr="0054585E">
        <w:trPr>
          <w:trHeight w:val="510"/>
        </w:trPr>
        <w:tc>
          <w:tcPr>
            <w:tcW w:w="3969" w:type="dxa"/>
          </w:tcPr>
          <w:p w:rsidR="00C20988" w:rsidRPr="00C02A57" w:rsidRDefault="00C20988" w:rsidP="00C20988">
            <w:pPr>
              <w:ind w:leftChars="72" w:left="31680" w:hangingChars="54" w:firstLine="31680"/>
              <w:rPr>
                <w:color w:val="000000"/>
                <w:sz w:val="22"/>
                <w:szCs w:val="22"/>
              </w:rPr>
            </w:pPr>
            <w:r w:rsidRPr="00C02A57">
              <w:rPr>
                <w:color w:val="000000"/>
                <w:sz w:val="22"/>
                <w:szCs w:val="22"/>
              </w:rPr>
              <w:t>- кредиты, депозиты и прочие средства от ПРБ</w:t>
            </w:r>
          </w:p>
        </w:tc>
        <w:tc>
          <w:tcPr>
            <w:tcW w:w="1134" w:type="dxa"/>
            <w:vAlign w:val="bottom"/>
          </w:tcPr>
          <w:p w:rsidR="00C20988" w:rsidRPr="00C02A57" w:rsidRDefault="00C20988" w:rsidP="00E44746">
            <w:pPr>
              <w:ind w:right="113"/>
              <w:jc w:val="right"/>
              <w:rPr>
                <w:color w:val="000000"/>
                <w:sz w:val="22"/>
                <w:szCs w:val="22"/>
              </w:rPr>
            </w:pPr>
            <w:r w:rsidRPr="00C02A57">
              <w:rPr>
                <w:color w:val="000000"/>
                <w:sz w:val="22"/>
                <w:szCs w:val="22"/>
              </w:rPr>
              <w:t>160,0</w:t>
            </w:r>
          </w:p>
        </w:tc>
        <w:tc>
          <w:tcPr>
            <w:tcW w:w="1134" w:type="dxa"/>
            <w:vAlign w:val="bottom"/>
          </w:tcPr>
          <w:p w:rsidR="00C20988" w:rsidRPr="00C02A57" w:rsidRDefault="00C20988" w:rsidP="00E44746">
            <w:pPr>
              <w:ind w:right="113"/>
              <w:jc w:val="right"/>
              <w:rPr>
                <w:color w:val="000000"/>
                <w:sz w:val="22"/>
                <w:szCs w:val="22"/>
              </w:rPr>
            </w:pPr>
            <w:r w:rsidRPr="00C02A57">
              <w:rPr>
                <w:color w:val="000000"/>
                <w:sz w:val="22"/>
                <w:szCs w:val="22"/>
              </w:rPr>
              <w:t>2,3</w:t>
            </w:r>
          </w:p>
        </w:tc>
        <w:tc>
          <w:tcPr>
            <w:tcW w:w="1134" w:type="dxa"/>
            <w:vAlign w:val="bottom"/>
          </w:tcPr>
          <w:p w:rsidR="00C20988" w:rsidRPr="00C02A57" w:rsidRDefault="00C20988" w:rsidP="00E44746">
            <w:pPr>
              <w:ind w:right="113"/>
              <w:jc w:val="right"/>
              <w:rPr>
                <w:color w:val="000000"/>
                <w:sz w:val="22"/>
                <w:szCs w:val="22"/>
              </w:rPr>
            </w:pPr>
            <w:r w:rsidRPr="00C02A57">
              <w:rPr>
                <w:color w:val="000000"/>
                <w:sz w:val="22"/>
                <w:szCs w:val="22"/>
              </w:rPr>
              <w:t>0,0</w:t>
            </w:r>
          </w:p>
        </w:tc>
        <w:tc>
          <w:tcPr>
            <w:tcW w:w="1134" w:type="dxa"/>
            <w:vAlign w:val="bottom"/>
          </w:tcPr>
          <w:p w:rsidR="00C20988" w:rsidRPr="00C02A57" w:rsidRDefault="00C20988" w:rsidP="00E44746">
            <w:pPr>
              <w:ind w:right="113"/>
              <w:jc w:val="right"/>
              <w:rPr>
                <w:color w:val="000000"/>
                <w:sz w:val="22"/>
                <w:szCs w:val="22"/>
              </w:rPr>
            </w:pPr>
            <w:r w:rsidRPr="00C02A57">
              <w:rPr>
                <w:color w:val="000000"/>
                <w:sz w:val="22"/>
                <w:szCs w:val="22"/>
              </w:rPr>
              <w:t>0,0</w:t>
            </w:r>
          </w:p>
        </w:tc>
        <w:tc>
          <w:tcPr>
            <w:tcW w:w="1134" w:type="dxa"/>
            <w:vAlign w:val="bottom"/>
          </w:tcPr>
          <w:p w:rsidR="00C20988" w:rsidRPr="00C02A57" w:rsidRDefault="00C20988" w:rsidP="00E44746">
            <w:pPr>
              <w:ind w:right="113"/>
              <w:jc w:val="right"/>
              <w:rPr>
                <w:color w:val="000000"/>
                <w:sz w:val="22"/>
                <w:szCs w:val="22"/>
              </w:rPr>
            </w:pPr>
            <w:r>
              <w:rPr>
                <w:color w:val="000000"/>
                <w:sz w:val="22"/>
                <w:szCs w:val="22"/>
              </w:rPr>
              <w:t>-</w:t>
            </w:r>
          </w:p>
        </w:tc>
      </w:tr>
      <w:tr w:rsidR="00C20988" w:rsidRPr="00C02A57" w:rsidTr="0054585E">
        <w:trPr>
          <w:trHeight w:val="61"/>
        </w:trPr>
        <w:tc>
          <w:tcPr>
            <w:tcW w:w="3969" w:type="dxa"/>
          </w:tcPr>
          <w:p w:rsidR="00C20988" w:rsidRPr="00C02A57" w:rsidRDefault="00C20988" w:rsidP="00C20988">
            <w:pPr>
              <w:ind w:leftChars="73" w:left="31680" w:hangingChars="85" w:firstLine="31680"/>
              <w:rPr>
                <w:color w:val="000000"/>
                <w:sz w:val="22"/>
                <w:szCs w:val="22"/>
              </w:rPr>
            </w:pPr>
            <w:r w:rsidRPr="00C02A57">
              <w:rPr>
                <w:color w:val="000000"/>
                <w:sz w:val="22"/>
                <w:szCs w:val="22"/>
              </w:rPr>
              <w:t>- средства кредитных организаций</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83,9</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1,2</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54,4</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0,8</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64,9</w:t>
            </w:r>
          </w:p>
        </w:tc>
      </w:tr>
      <w:tr w:rsidR="00C20988" w:rsidRPr="00C02A57" w:rsidTr="0054585E">
        <w:trPr>
          <w:trHeight w:val="61"/>
        </w:trPr>
        <w:tc>
          <w:tcPr>
            <w:tcW w:w="3969" w:type="dxa"/>
          </w:tcPr>
          <w:p w:rsidR="00C20988" w:rsidRPr="00C02A57" w:rsidRDefault="00C20988" w:rsidP="00C20988">
            <w:pPr>
              <w:ind w:leftChars="73" w:left="31680" w:hangingChars="85" w:firstLine="31680"/>
              <w:rPr>
                <w:color w:val="000000"/>
                <w:sz w:val="22"/>
                <w:szCs w:val="22"/>
              </w:rPr>
            </w:pPr>
            <w:r w:rsidRPr="00C02A57">
              <w:rPr>
                <w:color w:val="000000"/>
                <w:sz w:val="22"/>
                <w:szCs w:val="22"/>
              </w:rPr>
              <w:t>- средства юридических лиц</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3 307,8</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48,0</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3 697,4</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53,2</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111,8</w:t>
            </w:r>
          </w:p>
        </w:tc>
      </w:tr>
      <w:tr w:rsidR="00C20988" w:rsidRPr="00C02A57" w:rsidTr="0054585E">
        <w:trPr>
          <w:trHeight w:val="61"/>
        </w:trPr>
        <w:tc>
          <w:tcPr>
            <w:tcW w:w="3969" w:type="dxa"/>
          </w:tcPr>
          <w:p w:rsidR="00C20988" w:rsidRPr="00C02A57" w:rsidRDefault="00C20988" w:rsidP="00C20988">
            <w:pPr>
              <w:ind w:leftChars="73" w:left="31680" w:hangingChars="85" w:firstLine="31680"/>
              <w:rPr>
                <w:color w:val="000000"/>
                <w:sz w:val="22"/>
                <w:szCs w:val="22"/>
              </w:rPr>
            </w:pPr>
            <w:r w:rsidRPr="00C02A57">
              <w:rPr>
                <w:color w:val="000000"/>
                <w:sz w:val="22"/>
                <w:szCs w:val="22"/>
              </w:rPr>
              <w:t>- средства физических лиц</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2 011,9</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29,2</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2 547,9</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36,6</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126,6</w:t>
            </w:r>
          </w:p>
        </w:tc>
      </w:tr>
      <w:tr w:rsidR="00C20988" w:rsidRPr="00C02A57" w:rsidTr="0054585E">
        <w:trPr>
          <w:trHeight w:val="61"/>
        </w:trPr>
        <w:tc>
          <w:tcPr>
            <w:tcW w:w="3969" w:type="dxa"/>
          </w:tcPr>
          <w:p w:rsidR="00C20988" w:rsidRPr="00C02A57" w:rsidRDefault="00C20988" w:rsidP="00C20988">
            <w:pPr>
              <w:ind w:leftChars="72" w:left="31680" w:right="-108" w:hangingChars="63" w:firstLine="31680"/>
              <w:rPr>
                <w:color w:val="000000"/>
                <w:sz w:val="22"/>
                <w:szCs w:val="22"/>
              </w:rPr>
            </w:pPr>
            <w:r w:rsidRPr="00C02A57">
              <w:rPr>
                <w:color w:val="000000"/>
                <w:sz w:val="22"/>
                <w:szCs w:val="22"/>
              </w:rPr>
              <w:t>- выпущенные долговые обязательства</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61,8</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0,9</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39,6</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0,6</w:t>
            </w:r>
          </w:p>
        </w:tc>
        <w:tc>
          <w:tcPr>
            <w:tcW w:w="1134" w:type="dxa"/>
            <w:vAlign w:val="bottom"/>
          </w:tcPr>
          <w:p w:rsidR="00C20988" w:rsidRPr="00C02A57" w:rsidRDefault="00C20988" w:rsidP="00973DA1">
            <w:pPr>
              <w:ind w:right="113"/>
              <w:jc w:val="right"/>
              <w:rPr>
                <w:color w:val="000000"/>
                <w:sz w:val="22"/>
                <w:szCs w:val="22"/>
              </w:rPr>
            </w:pPr>
            <w:r w:rsidRPr="00C02A57">
              <w:rPr>
                <w:color w:val="000000"/>
                <w:sz w:val="22"/>
                <w:szCs w:val="22"/>
              </w:rPr>
              <w:t>64,0</w:t>
            </w:r>
          </w:p>
        </w:tc>
      </w:tr>
    </w:tbl>
    <w:p w:rsidR="00C20988" w:rsidRPr="00636CF3" w:rsidRDefault="00C20988" w:rsidP="001E0BAB">
      <w:pPr>
        <w:widowControl w:val="0"/>
        <w:autoSpaceDE w:val="0"/>
        <w:autoSpaceDN w:val="0"/>
        <w:adjustRightInd w:val="0"/>
        <w:ind w:firstLine="425"/>
        <w:jc w:val="both"/>
        <w:rPr>
          <w:sz w:val="24"/>
          <w:szCs w:val="24"/>
        </w:rPr>
      </w:pPr>
      <w:r w:rsidRPr="00636CF3">
        <w:rPr>
          <w:sz w:val="24"/>
          <w:szCs w:val="24"/>
        </w:rPr>
        <w:t>Положительная динамика суммарных активов-нетто коммерческих банков была обеспечена преимущественно увеличением рублёвой части баланса на 99,</w:t>
      </w:r>
      <w:r>
        <w:rPr>
          <w:sz w:val="24"/>
          <w:szCs w:val="24"/>
        </w:rPr>
        <w:t xml:space="preserve">6 </w:t>
      </w:r>
      <w:r w:rsidRPr="00636CF3">
        <w:rPr>
          <w:sz w:val="24"/>
          <w:szCs w:val="24"/>
        </w:rPr>
        <w:t>млн руб. (+3,6%), до 2 874,2 млн руб. Валютная компонента расширилась не</w:t>
      </w:r>
      <w:r>
        <w:rPr>
          <w:sz w:val="24"/>
          <w:szCs w:val="24"/>
        </w:rPr>
        <w:t>значительно – на 10,1 млн руб. (</w:t>
      </w:r>
      <w:r w:rsidRPr="00636CF3">
        <w:rPr>
          <w:sz w:val="24"/>
          <w:szCs w:val="24"/>
        </w:rPr>
        <w:t>+0,2%</w:t>
      </w:r>
      <w:r>
        <w:rPr>
          <w:sz w:val="24"/>
          <w:szCs w:val="24"/>
        </w:rPr>
        <w:t>)</w:t>
      </w:r>
      <w:r w:rsidRPr="00636CF3">
        <w:rPr>
          <w:sz w:val="24"/>
          <w:szCs w:val="24"/>
        </w:rPr>
        <w:t>, до 5 647,5 млн руб., в результате чего её доля в общем объёме сократилась за год на 0,7 п.п., составив 66,3%. Без учёта влияния валютной переоценки совокупные активы действующих коммерческих банков уменьшились на 1,2%.</w:t>
      </w:r>
    </w:p>
    <w:p w:rsidR="00C20988" w:rsidRPr="00636CF3" w:rsidRDefault="00C20988" w:rsidP="001E0BAB">
      <w:pPr>
        <w:widowControl w:val="0"/>
        <w:autoSpaceDE w:val="0"/>
        <w:autoSpaceDN w:val="0"/>
        <w:adjustRightInd w:val="0"/>
        <w:ind w:firstLine="425"/>
        <w:jc w:val="both"/>
        <w:rPr>
          <w:sz w:val="24"/>
          <w:szCs w:val="24"/>
        </w:rPr>
      </w:pPr>
      <w:r w:rsidRPr="00636CF3">
        <w:rPr>
          <w:sz w:val="24"/>
          <w:szCs w:val="24"/>
        </w:rPr>
        <w:t xml:space="preserve">По итогам </w:t>
      </w:r>
      <w:r>
        <w:rPr>
          <w:sz w:val="24"/>
          <w:szCs w:val="24"/>
        </w:rPr>
        <w:t xml:space="preserve">2018 </w:t>
      </w:r>
      <w:r w:rsidRPr="00636CF3">
        <w:rPr>
          <w:sz w:val="24"/>
          <w:szCs w:val="24"/>
        </w:rPr>
        <w:t xml:space="preserve">года сумма задолженности по кредитам и приравненным к ним средствам превысила значение на начало года на 262,5 млн руб. (+6,1%), сложившись на </w:t>
      </w:r>
      <w:r>
        <w:rPr>
          <w:sz w:val="24"/>
          <w:szCs w:val="24"/>
        </w:rPr>
        <w:br/>
      </w:r>
      <w:r w:rsidRPr="00636CF3">
        <w:rPr>
          <w:sz w:val="24"/>
          <w:szCs w:val="24"/>
        </w:rPr>
        <w:t>1 января 2019 года на отметке 4 59</w:t>
      </w:r>
      <w:r>
        <w:rPr>
          <w:sz w:val="24"/>
          <w:szCs w:val="24"/>
        </w:rPr>
        <w:t>1</w:t>
      </w:r>
      <w:r w:rsidRPr="00636CF3">
        <w:rPr>
          <w:sz w:val="24"/>
          <w:szCs w:val="24"/>
        </w:rPr>
        <w:t>,2 млн руб. (табл. 1.</w:t>
      </w:r>
      <w:r>
        <w:rPr>
          <w:sz w:val="24"/>
          <w:szCs w:val="24"/>
        </w:rPr>
        <w:t>9</w:t>
      </w:r>
      <w:r w:rsidRPr="00636CF3">
        <w:rPr>
          <w:sz w:val="24"/>
          <w:szCs w:val="24"/>
        </w:rPr>
        <w:t xml:space="preserve">). Из них 79,5% были направлены на кредитование хозяйствующих субъектов и населения (82,0% годом ранее). В абсолютном выражении на 1 января 2019 года сумма задолженности по </w:t>
      </w:r>
      <w:r w:rsidRPr="007F442F">
        <w:rPr>
          <w:sz w:val="24"/>
          <w:szCs w:val="24"/>
        </w:rPr>
        <w:t>кредитам реального сектора и домашних хозяйств составила 3 650,5 млн руб., превысив значение на начало</w:t>
      </w:r>
      <w:r w:rsidRPr="00636CF3">
        <w:rPr>
          <w:sz w:val="24"/>
          <w:szCs w:val="24"/>
        </w:rPr>
        <w:t xml:space="preserve"> отчётного года на 2,9%</w:t>
      </w:r>
      <w:r>
        <w:rPr>
          <w:sz w:val="24"/>
          <w:szCs w:val="24"/>
        </w:rPr>
        <w:t>. Данная динамика</w:t>
      </w:r>
      <w:r w:rsidRPr="00636CF3">
        <w:rPr>
          <w:sz w:val="24"/>
          <w:szCs w:val="24"/>
        </w:rPr>
        <w:t xml:space="preserve"> определял</w:t>
      </w:r>
      <w:r>
        <w:rPr>
          <w:sz w:val="24"/>
          <w:szCs w:val="24"/>
        </w:rPr>
        <w:t>а</w:t>
      </w:r>
      <w:r w:rsidRPr="00636CF3">
        <w:rPr>
          <w:sz w:val="24"/>
          <w:szCs w:val="24"/>
        </w:rPr>
        <w:t>сь расширением кредитования физических лиц, наблюдаем</w:t>
      </w:r>
      <w:r>
        <w:rPr>
          <w:sz w:val="24"/>
          <w:szCs w:val="24"/>
        </w:rPr>
        <w:t>ым</w:t>
      </w:r>
      <w:r w:rsidRPr="00636CF3">
        <w:rPr>
          <w:sz w:val="24"/>
          <w:szCs w:val="24"/>
        </w:rPr>
        <w:t xml:space="preserve"> в течение практически всего рассматриваемого периода. По отношению к началу 2018 года их задолженность увеличилась на 18,4% (в реальном выражении – на 17,2%), или на 144,1 млн руб., до 926,0 млн </w:t>
      </w:r>
      <w:r w:rsidRPr="00CA467F">
        <w:rPr>
          <w:sz w:val="24"/>
          <w:szCs w:val="24"/>
        </w:rPr>
        <w:t>руб. Причём более</w:t>
      </w:r>
      <w:r>
        <w:rPr>
          <w:sz w:val="24"/>
          <w:szCs w:val="24"/>
        </w:rPr>
        <w:t xml:space="preserve"> активно</w:t>
      </w:r>
      <w:r w:rsidRPr="00636CF3">
        <w:rPr>
          <w:sz w:val="24"/>
          <w:szCs w:val="24"/>
        </w:rPr>
        <w:t xml:space="preserve"> рос</w:t>
      </w:r>
      <w:r>
        <w:rPr>
          <w:sz w:val="24"/>
          <w:szCs w:val="24"/>
        </w:rPr>
        <w:t>ли</w:t>
      </w:r>
      <w:r w:rsidRPr="00636CF3">
        <w:rPr>
          <w:sz w:val="24"/>
          <w:szCs w:val="24"/>
        </w:rPr>
        <w:t xml:space="preserve"> остатк</w:t>
      </w:r>
      <w:r>
        <w:rPr>
          <w:sz w:val="24"/>
          <w:szCs w:val="24"/>
        </w:rPr>
        <w:t>и</w:t>
      </w:r>
      <w:r w:rsidRPr="00636CF3">
        <w:rPr>
          <w:sz w:val="24"/>
          <w:szCs w:val="24"/>
        </w:rPr>
        <w:t xml:space="preserve"> по рублёвым заимствованиям (+21,3%, или +117,7 млн руб.) </w:t>
      </w:r>
      <w:r>
        <w:rPr>
          <w:sz w:val="24"/>
          <w:szCs w:val="24"/>
        </w:rPr>
        <w:t>по сравнению с</w:t>
      </w:r>
      <w:r w:rsidRPr="00636CF3">
        <w:rPr>
          <w:sz w:val="24"/>
          <w:szCs w:val="24"/>
        </w:rPr>
        <w:t xml:space="preserve"> валютным</w:t>
      </w:r>
      <w:r>
        <w:rPr>
          <w:sz w:val="24"/>
          <w:szCs w:val="24"/>
        </w:rPr>
        <w:t>и</w:t>
      </w:r>
      <w:r w:rsidRPr="00636CF3">
        <w:rPr>
          <w:sz w:val="24"/>
          <w:szCs w:val="24"/>
        </w:rPr>
        <w:t xml:space="preserve"> </w:t>
      </w:r>
      <w:r>
        <w:rPr>
          <w:sz w:val="24"/>
          <w:szCs w:val="24"/>
        </w:rPr>
        <w:t>(+</w:t>
      </w:r>
      <w:r w:rsidRPr="00636CF3">
        <w:rPr>
          <w:sz w:val="24"/>
          <w:szCs w:val="24"/>
        </w:rPr>
        <w:t>11,5%, или на 26,4 млн руб.</w:t>
      </w:r>
      <w:r>
        <w:rPr>
          <w:sz w:val="24"/>
          <w:szCs w:val="24"/>
        </w:rPr>
        <w:t>).</w:t>
      </w:r>
      <w:r w:rsidRPr="00636CF3">
        <w:rPr>
          <w:sz w:val="24"/>
          <w:szCs w:val="24"/>
        </w:rPr>
        <w:t xml:space="preserve"> В результате степень валютизации потребительских ссуд снизилась на 1,7 п.п., до 27,7%. </w:t>
      </w:r>
    </w:p>
    <w:p w:rsidR="00C20988" w:rsidRPr="00636CF3" w:rsidRDefault="00C20988" w:rsidP="00C02A57">
      <w:pPr>
        <w:pStyle w:val="NormalWeb"/>
        <w:spacing w:before="0" w:beforeAutospacing="0" w:after="0" w:afterAutospacing="0"/>
        <w:ind w:firstLine="425"/>
        <w:jc w:val="both"/>
        <w:rPr>
          <w:szCs w:val="22"/>
        </w:rPr>
      </w:pPr>
      <w:r w:rsidRPr="00636CF3">
        <w:rPr>
          <w:szCs w:val="22"/>
        </w:rPr>
        <w:t xml:space="preserve">В корпоративном сегменте рынка заёмных ресурсов наблюдалось некоторое сжатие – </w:t>
      </w:r>
      <w:r w:rsidRPr="00636CF3">
        <w:rPr>
          <w:szCs w:val="22"/>
        </w:rPr>
        <w:br/>
        <w:t>-1,5%, до 2 724,5 млн руб. «Чистое» сокращение задолженности по кредитам (без учёта изменения курсов иностранных валют) составило 4,6%. При этом реальный объём валютных заимствований вырос на 10,6% (+297,0 млн руб.), до 2 290,2 млн руб., тогда как рублёвых – сократился в 1,8 раза (-339,1 млн руб.), до 434,</w:t>
      </w:r>
      <w:r>
        <w:rPr>
          <w:szCs w:val="22"/>
        </w:rPr>
        <w:t>3</w:t>
      </w:r>
      <w:r w:rsidRPr="00636CF3">
        <w:rPr>
          <w:szCs w:val="22"/>
        </w:rPr>
        <w:t xml:space="preserve"> млн руб. Таким образом, степень валютизации ссудной задолженности предприятий реального сектора сложилась на уровне 84,1%, что на 12,1 п.п. выше значения на 1 января 2018 года. </w:t>
      </w:r>
    </w:p>
    <w:p w:rsidR="00C20988" w:rsidRDefault="00C20988" w:rsidP="001E0BAB">
      <w:pPr>
        <w:widowControl w:val="0"/>
        <w:spacing w:before="120" w:after="120"/>
        <w:ind w:firstLine="425"/>
        <w:jc w:val="right"/>
        <w:rPr>
          <w:b/>
          <w:bCs/>
          <w:i/>
          <w:iCs/>
          <w:color w:val="000000"/>
          <w:sz w:val="24"/>
          <w:szCs w:val="24"/>
        </w:rPr>
      </w:pPr>
    </w:p>
    <w:p w:rsidR="00C20988" w:rsidRDefault="00C20988" w:rsidP="001E0BAB">
      <w:pPr>
        <w:widowControl w:val="0"/>
        <w:spacing w:before="120" w:after="120"/>
        <w:ind w:firstLine="425"/>
        <w:jc w:val="right"/>
        <w:rPr>
          <w:b/>
          <w:bCs/>
          <w:i/>
          <w:iCs/>
          <w:color w:val="000000"/>
          <w:sz w:val="24"/>
          <w:szCs w:val="24"/>
        </w:rPr>
      </w:pPr>
    </w:p>
    <w:p w:rsidR="00C20988" w:rsidRDefault="00C20988" w:rsidP="001E0BAB">
      <w:pPr>
        <w:widowControl w:val="0"/>
        <w:spacing w:before="120" w:after="120"/>
        <w:ind w:firstLine="425"/>
        <w:jc w:val="right"/>
        <w:rPr>
          <w:b/>
          <w:bCs/>
          <w:i/>
          <w:iCs/>
          <w:color w:val="000000"/>
          <w:sz w:val="24"/>
          <w:szCs w:val="24"/>
        </w:rPr>
      </w:pPr>
    </w:p>
    <w:p w:rsidR="00C20988" w:rsidRPr="003248C9" w:rsidRDefault="00C20988" w:rsidP="001E0BAB">
      <w:pPr>
        <w:widowControl w:val="0"/>
        <w:spacing w:before="120" w:after="120"/>
        <w:ind w:firstLine="425"/>
        <w:jc w:val="right"/>
        <w:rPr>
          <w:b/>
          <w:bCs/>
          <w:i/>
          <w:iCs/>
          <w:color w:val="000000"/>
          <w:sz w:val="24"/>
          <w:szCs w:val="24"/>
        </w:rPr>
      </w:pPr>
      <w:r w:rsidRPr="00636CF3">
        <w:rPr>
          <w:b/>
          <w:bCs/>
          <w:i/>
          <w:iCs/>
          <w:color w:val="000000"/>
          <w:sz w:val="24"/>
          <w:szCs w:val="24"/>
        </w:rPr>
        <w:t>Таблица 1.</w:t>
      </w:r>
      <w:r>
        <w:rPr>
          <w:b/>
          <w:bCs/>
          <w:i/>
          <w:iCs/>
          <w:color w:val="000000"/>
          <w:sz w:val="24"/>
          <w:szCs w:val="24"/>
        </w:rPr>
        <w:t>9</w:t>
      </w:r>
    </w:p>
    <w:p w:rsidR="00C20988" w:rsidRPr="00636CF3" w:rsidRDefault="00C20988" w:rsidP="001E0BAB">
      <w:pPr>
        <w:pStyle w:val="Heading3"/>
        <w:widowControl w:val="0"/>
        <w:spacing w:after="120"/>
        <w:jc w:val="center"/>
        <w:rPr>
          <w:rFonts w:ascii="Times New Roman" w:hAnsi="Times New Roman" w:cs="Times New Roman"/>
          <w:b/>
          <w:bCs/>
          <w:color w:val="000000"/>
          <w:sz w:val="24"/>
          <w:szCs w:val="24"/>
        </w:rPr>
      </w:pPr>
      <w:r w:rsidRPr="00636CF3">
        <w:rPr>
          <w:rFonts w:ascii="Times New Roman" w:hAnsi="Times New Roman" w:cs="Times New Roman"/>
          <w:b/>
          <w:bCs/>
          <w:color w:val="000000"/>
          <w:sz w:val="24"/>
          <w:szCs w:val="24"/>
        </w:rPr>
        <w:t>Структура и динамика активов коммерческих банков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169"/>
        <w:gridCol w:w="1169"/>
        <w:gridCol w:w="1169"/>
        <w:gridCol w:w="1170"/>
        <w:gridCol w:w="1134"/>
      </w:tblGrid>
      <w:tr w:rsidR="00C20988" w:rsidRPr="00636CF3" w:rsidTr="00E7449B">
        <w:trPr>
          <w:cantSplit/>
          <w:trHeight w:val="72"/>
        </w:trPr>
        <w:tc>
          <w:tcPr>
            <w:tcW w:w="3828" w:type="dxa"/>
            <w:vMerge w:val="restart"/>
            <w:tcBorders>
              <w:bottom w:val="nil"/>
            </w:tcBorders>
            <w:shd w:val="clear" w:color="auto" w:fill="CCCCCC"/>
            <w:vAlign w:val="center"/>
          </w:tcPr>
          <w:p w:rsidR="00C20988" w:rsidRPr="00636CF3" w:rsidRDefault="00C20988" w:rsidP="00E7449B">
            <w:pPr>
              <w:pStyle w:val="Heading2"/>
              <w:widowControl w:val="0"/>
              <w:spacing w:after="0" w:line="238" w:lineRule="auto"/>
              <w:ind w:left="34"/>
              <w:rPr>
                <w:rFonts w:ascii="Times New Roman" w:hAnsi="Times New Roman" w:cs="Times New Roman"/>
                <w:i/>
                <w:iCs/>
                <w:color w:val="000000"/>
                <w:sz w:val="22"/>
                <w:szCs w:val="24"/>
              </w:rPr>
            </w:pPr>
          </w:p>
        </w:tc>
        <w:tc>
          <w:tcPr>
            <w:tcW w:w="2338" w:type="dxa"/>
            <w:gridSpan w:val="2"/>
            <w:shd w:val="clear" w:color="auto" w:fill="CCCCCC"/>
            <w:vAlign w:val="center"/>
          </w:tcPr>
          <w:p w:rsidR="00C20988" w:rsidRPr="00636CF3" w:rsidRDefault="00C20988" w:rsidP="00E7449B">
            <w:pPr>
              <w:widowControl w:val="0"/>
              <w:ind w:left="-94" w:right="-101"/>
              <w:jc w:val="center"/>
              <w:rPr>
                <w:color w:val="000000"/>
                <w:sz w:val="22"/>
                <w:szCs w:val="24"/>
              </w:rPr>
            </w:pPr>
            <w:r w:rsidRPr="00636CF3">
              <w:rPr>
                <w:color w:val="000000"/>
                <w:sz w:val="22"/>
                <w:szCs w:val="24"/>
              </w:rPr>
              <w:t>на 01.01.2018</w:t>
            </w:r>
          </w:p>
        </w:tc>
        <w:tc>
          <w:tcPr>
            <w:tcW w:w="2339" w:type="dxa"/>
            <w:gridSpan w:val="2"/>
            <w:shd w:val="clear" w:color="auto" w:fill="CCCCCC"/>
            <w:vAlign w:val="center"/>
          </w:tcPr>
          <w:p w:rsidR="00C20988" w:rsidRPr="00636CF3" w:rsidRDefault="00C20988" w:rsidP="00E7449B">
            <w:pPr>
              <w:widowControl w:val="0"/>
              <w:ind w:left="-94" w:right="-101"/>
              <w:jc w:val="center"/>
              <w:rPr>
                <w:color w:val="000000"/>
                <w:sz w:val="22"/>
                <w:szCs w:val="24"/>
              </w:rPr>
            </w:pPr>
            <w:r w:rsidRPr="00636CF3">
              <w:rPr>
                <w:color w:val="000000"/>
                <w:sz w:val="22"/>
                <w:szCs w:val="24"/>
              </w:rPr>
              <w:t>на 01.01.2019</w:t>
            </w:r>
          </w:p>
        </w:tc>
        <w:tc>
          <w:tcPr>
            <w:tcW w:w="1134" w:type="dxa"/>
            <w:vMerge w:val="restart"/>
            <w:tcBorders>
              <w:bottom w:val="nil"/>
            </w:tcBorders>
            <w:shd w:val="clear" w:color="auto" w:fill="CCCCCC"/>
            <w:vAlign w:val="center"/>
          </w:tcPr>
          <w:p w:rsidR="00C20988" w:rsidRPr="00636CF3" w:rsidRDefault="00C20988" w:rsidP="00E7449B">
            <w:pPr>
              <w:widowControl w:val="0"/>
              <w:spacing w:line="238" w:lineRule="auto"/>
              <w:ind w:left="-108" w:right="-108"/>
              <w:jc w:val="center"/>
              <w:rPr>
                <w:color w:val="000000"/>
                <w:sz w:val="22"/>
                <w:szCs w:val="24"/>
              </w:rPr>
            </w:pPr>
            <w:r w:rsidRPr="00636CF3">
              <w:rPr>
                <w:color w:val="000000"/>
                <w:sz w:val="22"/>
                <w:szCs w:val="24"/>
              </w:rPr>
              <w:t xml:space="preserve">темп </w:t>
            </w:r>
          </w:p>
          <w:p w:rsidR="00C20988" w:rsidRPr="00636CF3" w:rsidRDefault="00C20988" w:rsidP="00E7449B">
            <w:pPr>
              <w:widowControl w:val="0"/>
              <w:spacing w:line="238" w:lineRule="auto"/>
              <w:ind w:left="-108" w:right="-108"/>
              <w:jc w:val="center"/>
              <w:rPr>
                <w:color w:val="000000"/>
                <w:sz w:val="22"/>
                <w:szCs w:val="24"/>
              </w:rPr>
            </w:pPr>
            <w:r w:rsidRPr="00636CF3">
              <w:rPr>
                <w:color w:val="000000"/>
                <w:sz w:val="22"/>
                <w:szCs w:val="24"/>
              </w:rPr>
              <w:t>роста, %</w:t>
            </w:r>
          </w:p>
        </w:tc>
      </w:tr>
      <w:tr w:rsidR="00C20988" w:rsidRPr="00636CF3" w:rsidTr="00E7449B">
        <w:trPr>
          <w:cantSplit/>
          <w:trHeight w:val="386"/>
        </w:trPr>
        <w:tc>
          <w:tcPr>
            <w:tcW w:w="3828" w:type="dxa"/>
            <w:vMerge/>
            <w:tcBorders>
              <w:bottom w:val="double" w:sz="4" w:space="0" w:color="auto"/>
            </w:tcBorders>
            <w:shd w:val="clear" w:color="auto" w:fill="CCCCCC"/>
            <w:vAlign w:val="center"/>
          </w:tcPr>
          <w:p w:rsidR="00C20988" w:rsidRPr="00636CF3" w:rsidRDefault="00C20988" w:rsidP="00E7449B">
            <w:pPr>
              <w:pStyle w:val="Heading2"/>
              <w:widowControl w:val="0"/>
              <w:spacing w:after="0" w:line="238" w:lineRule="auto"/>
              <w:ind w:left="34"/>
              <w:rPr>
                <w:rFonts w:ascii="Times New Roman" w:hAnsi="Times New Roman" w:cs="Times New Roman"/>
                <w:i/>
                <w:iCs/>
                <w:color w:val="000000"/>
                <w:sz w:val="22"/>
                <w:szCs w:val="24"/>
              </w:rPr>
            </w:pPr>
          </w:p>
        </w:tc>
        <w:tc>
          <w:tcPr>
            <w:tcW w:w="1169" w:type="dxa"/>
            <w:tcBorders>
              <w:bottom w:val="double" w:sz="4" w:space="0" w:color="auto"/>
            </w:tcBorders>
            <w:shd w:val="clear" w:color="auto" w:fill="CCCCCC"/>
            <w:vAlign w:val="center"/>
          </w:tcPr>
          <w:p w:rsidR="00C20988" w:rsidRPr="00636CF3" w:rsidRDefault="00C20988" w:rsidP="00E7449B">
            <w:pPr>
              <w:widowControl w:val="0"/>
              <w:spacing w:line="238" w:lineRule="auto"/>
              <w:ind w:left="-129" w:right="-138"/>
              <w:jc w:val="center"/>
              <w:rPr>
                <w:color w:val="000000"/>
                <w:sz w:val="22"/>
                <w:szCs w:val="24"/>
              </w:rPr>
            </w:pPr>
            <w:r w:rsidRPr="00636CF3">
              <w:rPr>
                <w:color w:val="000000"/>
                <w:sz w:val="22"/>
                <w:szCs w:val="24"/>
              </w:rPr>
              <w:t>млн руб.</w:t>
            </w:r>
          </w:p>
        </w:tc>
        <w:tc>
          <w:tcPr>
            <w:tcW w:w="1169" w:type="dxa"/>
            <w:tcBorders>
              <w:bottom w:val="double" w:sz="4" w:space="0" w:color="auto"/>
            </w:tcBorders>
            <w:shd w:val="clear" w:color="auto" w:fill="CCCCCC"/>
            <w:vAlign w:val="center"/>
          </w:tcPr>
          <w:p w:rsidR="00C20988" w:rsidRPr="00636CF3" w:rsidRDefault="00C20988" w:rsidP="00E7449B">
            <w:pPr>
              <w:widowControl w:val="0"/>
              <w:spacing w:line="238" w:lineRule="auto"/>
              <w:ind w:left="-129" w:right="-138"/>
              <w:jc w:val="center"/>
              <w:rPr>
                <w:color w:val="000000"/>
                <w:sz w:val="22"/>
                <w:szCs w:val="24"/>
              </w:rPr>
            </w:pPr>
            <w:r w:rsidRPr="00636CF3">
              <w:rPr>
                <w:color w:val="000000"/>
                <w:sz w:val="22"/>
                <w:szCs w:val="24"/>
              </w:rPr>
              <w:t xml:space="preserve">уд. вес, </w:t>
            </w:r>
          </w:p>
          <w:p w:rsidR="00C20988" w:rsidRPr="00636CF3" w:rsidRDefault="00C20988" w:rsidP="00E7449B">
            <w:pPr>
              <w:widowControl w:val="0"/>
              <w:spacing w:line="238" w:lineRule="auto"/>
              <w:ind w:left="-129" w:right="-138"/>
              <w:jc w:val="center"/>
              <w:rPr>
                <w:color w:val="000000"/>
                <w:sz w:val="22"/>
                <w:szCs w:val="24"/>
              </w:rPr>
            </w:pPr>
            <w:r w:rsidRPr="00636CF3">
              <w:rPr>
                <w:color w:val="000000"/>
                <w:sz w:val="22"/>
                <w:szCs w:val="24"/>
              </w:rPr>
              <w:t>%</w:t>
            </w:r>
          </w:p>
        </w:tc>
        <w:tc>
          <w:tcPr>
            <w:tcW w:w="1169" w:type="dxa"/>
            <w:tcBorders>
              <w:bottom w:val="double" w:sz="4" w:space="0" w:color="auto"/>
            </w:tcBorders>
            <w:shd w:val="clear" w:color="auto" w:fill="CCCCCC"/>
            <w:vAlign w:val="center"/>
          </w:tcPr>
          <w:p w:rsidR="00C20988" w:rsidRPr="00636CF3" w:rsidRDefault="00C20988" w:rsidP="00E7449B">
            <w:pPr>
              <w:widowControl w:val="0"/>
              <w:spacing w:line="238" w:lineRule="auto"/>
              <w:ind w:left="-129" w:right="-138"/>
              <w:jc w:val="center"/>
              <w:rPr>
                <w:color w:val="000000"/>
                <w:sz w:val="22"/>
                <w:szCs w:val="24"/>
              </w:rPr>
            </w:pPr>
            <w:r w:rsidRPr="00636CF3">
              <w:rPr>
                <w:color w:val="000000"/>
                <w:sz w:val="22"/>
                <w:szCs w:val="24"/>
              </w:rPr>
              <w:t>млн руб.</w:t>
            </w:r>
          </w:p>
        </w:tc>
        <w:tc>
          <w:tcPr>
            <w:tcW w:w="1170" w:type="dxa"/>
            <w:tcBorders>
              <w:bottom w:val="double" w:sz="4" w:space="0" w:color="auto"/>
            </w:tcBorders>
            <w:shd w:val="clear" w:color="auto" w:fill="CCCCCC"/>
            <w:vAlign w:val="center"/>
          </w:tcPr>
          <w:p w:rsidR="00C20988" w:rsidRPr="00636CF3" w:rsidRDefault="00C20988" w:rsidP="00E7449B">
            <w:pPr>
              <w:widowControl w:val="0"/>
              <w:spacing w:line="238" w:lineRule="auto"/>
              <w:ind w:left="-129" w:right="-138"/>
              <w:jc w:val="center"/>
              <w:rPr>
                <w:color w:val="000000"/>
                <w:sz w:val="22"/>
                <w:szCs w:val="24"/>
              </w:rPr>
            </w:pPr>
            <w:r w:rsidRPr="00636CF3">
              <w:rPr>
                <w:color w:val="000000"/>
                <w:sz w:val="22"/>
                <w:szCs w:val="24"/>
              </w:rPr>
              <w:t xml:space="preserve">уд. вес, </w:t>
            </w:r>
          </w:p>
          <w:p w:rsidR="00C20988" w:rsidRPr="00636CF3" w:rsidRDefault="00C20988" w:rsidP="00E7449B">
            <w:pPr>
              <w:widowControl w:val="0"/>
              <w:spacing w:line="238" w:lineRule="auto"/>
              <w:ind w:left="-129" w:right="-138"/>
              <w:jc w:val="center"/>
              <w:rPr>
                <w:color w:val="000000"/>
                <w:sz w:val="22"/>
                <w:szCs w:val="24"/>
              </w:rPr>
            </w:pPr>
            <w:r w:rsidRPr="00636CF3">
              <w:rPr>
                <w:color w:val="000000"/>
                <w:sz w:val="22"/>
                <w:szCs w:val="24"/>
              </w:rPr>
              <w:t>%</w:t>
            </w:r>
          </w:p>
        </w:tc>
        <w:tc>
          <w:tcPr>
            <w:tcW w:w="1134" w:type="dxa"/>
            <w:vMerge/>
            <w:tcBorders>
              <w:bottom w:val="double" w:sz="4" w:space="0" w:color="auto"/>
            </w:tcBorders>
            <w:vAlign w:val="center"/>
          </w:tcPr>
          <w:p w:rsidR="00C20988" w:rsidRPr="00636CF3" w:rsidRDefault="00C20988" w:rsidP="00E7449B">
            <w:pPr>
              <w:pStyle w:val="Heading2"/>
              <w:widowControl w:val="0"/>
              <w:spacing w:after="0" w:line="238" w:lineRule="auto"/>
              <w:ind w:left="34"/>
              <w:rPr>
                <w:rFonts w:ascii="Times New Roman" w:hAnsi="Times New Roman" w:cs="Times New Roman"/>
                <w:i/>
                <w:iCs/>
                <w:color w:val="000000"/>
                <w:sz w:val="22"/>
                <w:szCs w:val="24"/>
              </w:rPr>
            </w:pPr>
          </w:p>
        </w:tc>
      </w:tr>
      <w:tr w:rsidR="00C20988" w:rsidRPr="00636CF3" w:rsidTr="00E7449B">
        <w:tc>
          <w:tcPr>
            <w:tcW w:w="3828" w:type="dxa"/>
            <w:tcBorders>
              <w:top w:val="double" w:sz="4" w:space="0" w:color="auto"/>
              <w:bottom w:val="single" w:sz="2" w:space="0" w:color="auto"/>
            </w:tcBorders>
            <w:shd w:val="clear" w:color="auto" w:fill="E0E0E0"/>
          </w:tcPr>
          <w:p w:rsidR="00C20988" w:rsidRPr="00636CF3" w:rsidRDefault="00C20988" w:rsidP="00E7449B">
            <w:pPr>
              <w:widowControl w:val="0"/>
              <w:rPr>
                <w:color w:val="000000"/>
                <w:sz w:val="22"/>
                <w:szCs w:val="24"/>
              </w:rPr>
            </w:pPr>
            <w:r w:rsidRPr="00636CF3">
              <w:rPr>
                <w:color w:val="000000"/>
                <w:sz w:val="22"/>
                <w:szCs w:val="24"/>
              </w:rPr>
              <w:t>Активы-нетто, всего</w:t>
            </w:r>
          </w:p>
        </w:tc>
        <w:tc>
          <w:tcPr>
            <w:tcW w:w="1169" w:type="dxa"/>
            <w:tcBorders>
              <w:top w:val="double" w:sz="4" w:space="0" w:color="auto"/>
              <w:bottom w:val="single" w:sz="2" w:space="0" w:color="auto"/>
            </w:tcBorders>
            <w:shd w:val="clear" w:color="auto" w:fill="E0E0E0"/>
            <w:vAlign w:val="bottom"/>
          </w:tcPr>
          <w:p w:rsidR="00C20988" w:rsidRPr="00636CF3" w:rsidRDefault="00C20988" w:rsidP="00E7449B">
            <w:pPr>
              <w:ind w:right="69"/>
              <w:jc w:val="right"/>
              <w:rPr>
                <w:color w:val="000000"/>
                <w:sz w:val="22"/>
                <w:szCs w:val="22"/>
              </w:rPr>
            </w:pPr>
            <w:r w:rsidRPr="00636CF3">
              <w:rPr>
                <w:color w:val="000000"/>
                <w:sz w:val="22"/>
                <w:szCs w:val="22"/>
              </w:rPr>
              <w:t>8 412,0</w:t>
            </w:r>
          </w:p>
        </w:tc>
        <w:tc>
          <w:tcPr>
            <w:tcW w:w="1169" w:type="dxa"/>
            <w:tcBorders>
              <w:top w:val="double" w:sz="4" w:space="0" w:color="auto"/>
              <w:bottom w:val="single" w:sz="2" w:space="0" w:color="auto"/>
            </w:tcBorders>
            <w:shd w:val="clear" w:color="auto" w:fill="E0E0E0"/>
            <w:vAlign w:val="bottom"/>
          </w:tcPr>
          <w:p w:rsidR="00C20988" w:rsidRPr="00636CF3" w:rsidRDefault="00C20988" w:rsidP="00E7449B">
            <w:pPr>
              <w:ind w:right="69"/>
              <w:jc w:val="right"/>
              <w:rPr>
                <w:color w:val="000000"/>
                <w:sz w:val="22"/>
                <w:szCs w:val="22"/>
              </w:rPr>
            </w:pPr>
            <w:r w:rsidRPr="00636CF3">
              <w:rPr>
                <w:color w:val="000000"/>
                <w:sz w:val="22"/>
                <w:szCs w:val="22"/>
              </w:rPr>
              <w:t>100,0</w:t>
            </w:r>
          </w:p>
        </w:tc>
        <w:tc>
          <w:tcPr>
            <w:tcW w:w="1169" w:type="dxa"/>
            <w:tcBorders>
              <w:top w:val="double" w:sz="4" w:space="0" w:color="auto"/>
              <w:bottom w:val="single" w:sz="2" w:space="0" w:color="auto"/>
            </w:tcBorders>
            <w:shd w:val="clear" w:color="auto" w:fill="E0E0E0"/>
            <w:vAlign w:val="bottom"/>
          </w:tcPr>
          <w:p w:rsidR="00C20988" w:rsidRPr="00636CF3" w:rsidRDefault="00C20988" w:rsidP="00E7449B">
            <w:pPr>
              <w:ind w:right="69"/>
              <w:jc w:val="right"/>
              <w:rPr>
                <w:color w:val="000000"/>
                <w:sz w:val="22"/>
                <w:szCs w:val="22"/>
              </w:rPr>
            </w:pPr>
            <w:r w:rsidRPr="00636CF3">
              <w:rPr>
                <w:color w:val="000000"/>
                <w:sz w:val="22"/>
                <w:szCs w:val="22"/>
              </w:rPr>
              <w:t>8 521,7</w:t>
            </w:r>
          </w:p>
        </w:tc>
        <w:tc>
          <w:tcPr>
            <w:tcW w:w="1170" w:type="dxa"/>
            <w:tcBorders>
              <w:top w:val="double" w:sz="4" w:space="0" w:color="auto"/>
              <w:bottom w:val="single" w:sz="2" w:space="0" w:color="auto"/>
            </w:tcBorders>
            <w:shd w:val="clear" w:color="auto" w:fill="E0E0E0"/>
            <w:vAlign w:val="bottom"/>
          </w:tcPr>
          <w:p w:rsidR="00C20988" w:rsidRPr="00636CF3" w:rsidRDefault="00C20988" w:rsidP="00E7449B">
            <w:pPr>
              <w:ind w:right="69"/>
              <w:jc w:val="right"/>
              <w:rPr>
                <w:color w:val="000000"/>
                <w:sz w:val="22"/>
                <w:szCs w:val="22"/>
              </w:rPr>
            </w:pPr>
            <w:r w:rsidRPr="00636CF3">
              <w:rPr>
                <w:color w:val="000000"/>
                <w:sz w:val="22"/>
                <w:szCs w:val="22"/>
              </w:rPr>
              <w:t>100,0</w:t>
            </w:r>
          </w:p>
        </w:tc>
        <w:tc>
          <w:tcPr>
            <w:tcW w:w="1134" w:type="dxa"/>
            <w:tcBorders>
              <w:top w:val="double" w:sz="4" w:space="0" w:color="auto"/>
              <w:bottom w:val="single" w:sz="2" w:space="0" w:color="auto"/>
            </w:tcBorders>
            <w:shd w:val="clear" w:color="auto" w:fill="E0E0E0"/>
            <w:vAlign w:val="bottom"/>
          </w:tcPr>
          <w:p w:rsidR="00C20988" w:rsidRPr="00636CF3" w:rsidRDefault="00C20988" w:rsidP="00E7449B">
            <w:pPr>
              <w:ind w:right="69"/>
              <w:jc w:val="right"/>
              <w:rPr>
                <w:color w:val="000000"/>
                <w:sz w:val="22"/>
                <w:szCs w:val="22"/>
              </w:rPr>
            </w:pPr>
            <w:r w:rsidRPr="00636CF3">
              <w:rPr>
                <w:color w:val="000000"/>
                <w:sz w:val="22"/>
                <w:szCs w:val="22"/>
              </w:rPr>
              <w:t>101,3</w:t>
            </w:r>
          </w:p>
        </w:tc>
      </w:tr>
      <w:tr w:rsidR="00C20988" w:rsidRPr="00636CF3" w:rsidTr="00E7449B">
        <w:tc>
          <w:tcPr>
            <w:tcW w:w="3828" w:type="dxa"/>
            <w:tcBorders>
              <w:top w:val="single" w:sz="2" w:space="0" w:color="auto"/>
            </w:tcBorders>
          </w:tcPr>
          <w:p w:rsidR="00C20988" w:rsidRPr="00636CF3" w:rsidRDefault="00C20988" w:rsidP="00E7449B">
            <w:pPr>
              <w:widowControl w:val="0"/>
              <w:ind w:firstLine="176"/>
              <w:rPr>
                <w:color w:val="000000"/>
                <w:sz w:val="22"/>
                <w:szCs w:val="24"/>
              </w:rPr>
            </w:pPr>
            <w:r w:rsidRPr="00636CF3">
              <w:rPr>
                <w:color w:val="000000"/>
                <w:sz w:val="22"/>
                <w:szCs w:val="24"/>
              </w:rPr>
              <w:t>из них:</w:t>
            </w:r>
          </w:p>
        </w:tc>
        <w:tc>
          <w:tcPr>
            <w:tcW w:w="1169" w:type="dxa"/>
            <w:tcBorders>
              <w:top w:val="single" w:sz="2" w:space="0" w:color="auto"/>
            </w:tcBorders>
            <w:vAlign w:val="bottom"/>
          </w:tcPr>
          <w:p w:rsidR="00C20988" w:rsidRPr="00636CF3" w:rsidRDefault="00C20988" w:rsidP="00E7449B">
            <w:pPr>
              <w:ind w:right="69"/>
              <w:jc w:val="right"/>
              <w:rPr>
                <w:color w:val="000000"/>
                <w:sz w:val="22"/>
                <w:szCs w:val="22"/>
              </w:rPr>
            </w:pPr>
          </w:p>
        </w:tc>
        <w:tc>
          <w:tcPr>
            <w:tcW w:w="1169" w:type="dxa"/>
            <w:tcBorders>
              <w:top w:val="single" w:sz="2" w:space="0" w:color="auto"/>
            </w:tcBorders>
            <w:vAlign w:val="bottom"/>
          </w:tcPr>
          <w:p w:rsidR="00C20988" w:rsidRPr="00636CF3" w:rsidRDefault="00C20988" w:rsidP="00E7449B">
            <w:pPr>
              <w:ind w:right="69"/>
              <w:jc w:val="right"/>
              <w:rPr>
                <w:color w:val="000000"/>
                <w:sz w:val="22"/>
                <w:szCs w:val="22"/>
              </w:rPr>
            </w:pPr>
          </w:p>
        </w:tc>
        <w:tc>
          <w:tcPr>
            <w:tcW w:w="1169" w:type="dxa"/>
            <w:tcBorders>
              <w:top w:val="single" w:sz="2" w:space="0" w:color="auto"/>
            </w:tcBorders>
            <w:vAlign w:val="bottom"/>
          </w:tcPr>
          <w:p w:rsidR="00C20988" w:rsidRPr="00636CF3" w:rsidRDefault="00C20988" w:rsidP="00E7449B">
            <w:pPr>
              <w:ind w:right="69"/>
              <w:jc w:val="right"/>
              <w:rPr>
                <w:color w:val="000000"/>
                <w:sz w:val="22"/>
                <w:szCs w:val="22"/>
              </w:rPr>
            </w:pPr>
          </w:p>
        </w:tc>
        <w:tc>
          <w:tcPr>
            <w:tcW w:w="1170" w:type="dxa"/>
            <w:tcBorders>
              <w:top w:val="single" w:sz="2" w:space="0" w:color="auto"/>
            </w:tcBorders>
            <w:vAlign w:val="bottom"/>
          </w:tcPr>
          <w:p w:rsidR="00C20988" w:rsidRPr="00636CF3" w:rsidRDefault="00C20988" w:rsidP="00E7449B">
            <w:pPr>
              <w:ind w:right="69"/>
              <w:jc w:val="right"/>
              <w:rPr>
                <w:color w:val="000000"/>
                <w:sz w:val="22"/>
                <w:szCs w:val="22"/>
              </w:rPr>
            </w:pPr>
          </w:p>
        </w:tc>
        <w:tc>
          <w:tcPr>
            <w:tcW w:w="1134" w:type="dxa"/>
            <w:tcBorders>
              <w:top w:val="single" w:sz="2" w:space="0" w:color="auto"/>
            </w:tcBorders>
            <w:vAlign w:val="bottom"/>
          </w:tcPr>
          <w:p w:rsidR="00C20988" w:rsidRPr="00636CF3" w:rsidRDefault="00C20988" w:rsidP="00E7449B">
            <w:pPr>
              <w:ind w:right="69"/>
              <w:jc w:val="right"/>
              <w:rPr>
                <w:color w:val="000000"/>
                <w:sz w:val="22"/>
                <w:szCs w:val="22"/>
              </w:rPr>
            </w:pPr>
          </w:p>
        </w:tc>
      </w:tr>
      <w:tr w:rsidR="00C20988" w:rsidRPr="00636CF3" w:rsidTr="00E7449B">
        <w:tc>
          <w:tcPr>
            <w:tcW w:w="3828" w:type="dxa"/>
          </w:tcPr>
          <w:p w:rsidR="00C20988" w:rsidRPr="00636CF3" w:rsidRDefault="00C20988" w:rsidP="00E7449B">
            <w:pPr>
              <w:widowControl w:val="0"/>
              <w:tabs>
                <w:tab w:val="left" w:pos="231"/>
              </w:tabs>
              <w:ind w:left="176"/>
              <w:rPr>
                <w:color w:val="000000"/>
                <w:sz w:val="22"/>
                <w:szCs w:val="24"/>
              </w:rPr>
            </w:pPr>
            <w:r>
              <w:rPr>
                <w:color w:val="000000"/>
                <w:sz w:val="22"/>
                <w:szCs w:val="24"/>
              </w:rPr>
              <w:t xml:space="preserve">- </w:t>
            </w:r>
            <w:r w:rsidRPr="00636CF3">
              <w:rPr>
                <w:color w:val="000000"/>
                <w:sz w:val="22"/>
                <w:szCs w:val="24"/>
              </w:rPr>
              <w:t>денежные средства</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458,0</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5,4</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701,8</w:t>
            </w:r>
          </w:p>
        </w:tc>
        <w:tc>
          <w:tcPr>
            <w:tcW w:w="1170" w:type="dxa"/>
            <w:vAlign w:val="bottom"/>
          </w:tcPr>
          <w:p w:rsidR="00C20988" w:rsidRPr="00636CF3" w:rsidRDefault="00C20988" w:rsidP="00E7449B">
            <w:pPr>
              <w:ind w:right="69"/>
              <w:jc w:val="right"/>
              <w:rPr>
                <w:color w:val="000000"/>
                <w:sz w:val="22"/>
                <w:szCs w:val="22"/>
              </w:rPr>
            </w:pPr>
            <w:r w:rsidRPr="00636CF3">
              <w:rPr>
                <w:color w:val="000000"/>
                <w:sz w:val="22"/>
                <w:szCs w:val="22"/>
              </w:rPr>
              <w:t>8,2</w:t>
            </w:r>
          </w:p>
        </w:tc>
        <w:tc>
          <w:tcPr>
            <w:tcW w:w="1134" w:type="dxa"/>
            <w:vAlign w:val="bottom"/>
          </w:tcPr>
          <w:p w:rsidR="00C20988" w:rsidRPr="00636CF3" w:rsidRDefault="00C20988" w:rsidP="00E7449B">
            <w:pPr>
              <w:ind w:right="69"/>
              <w:jc w:val="right"/>
              <w:rPr>
                <w:color w:val="000000"/>
                <w:sz w:val="22"/>
                <w:szCs w:val="22"/>
              </w:rPr>
            </w:pPr>
            <w:r w:rsidRPr="00636CF3">
              <w:rPr>
                <w:color w:val="000000"/>
                <w:sz w:val="22"/>
                <w:szCs w:val="22"/>
              </w:rPr>
              <w:t>153,2</w:t>
            </w:r>
          </w:p>
        </w:tc>
      </w:tr>
      <w:tr w:rsidR="00C20988" w:rsidRPr="00636CF3" w:rsidTr="00E7449B">
        <w:tc>
          <w:tcPr>
            <w:tcW w:w="3828" w:type="dxa"/>
          </w:tcPr>
          <w:p w:rsidR="00C20988" w:rsidRPr="00636CF3" w:rsidRDefault="00C20988" w:rsidP="00E7449B">
            <w:pPr>
              <w:widowControl w:val="0"/>
              <w:tabs>
                <w:tab w:val="left" w:pos="231"/>
              </w:tabs>
              <w:ind w:left="176"/>
              <w:rPr>
                <w:color w:val="000000"/>
                <w:sz w:val="22"/>
                <w:szCs w:val="24"/>
              </w:rPr>
            </w:pPr>
            <w:r>
              <w:rPr>
                <w:color w:val="000000"/>
                <w:sz w:val="22"/>
                <w:szCs w:val="24"/>
              </w:rPr>
              <w:t xml:space="preserve">- </w:t>
            </w:r>
            <w:r w:rsidRPr="00636CF3">
              <w:rPr>
                <w:color w:val="000000"/>
                <w:sz w:val="22"/>
                <w:szCs w:val="24"/>
              </w:rPr>
              <w:t>корреспондентские счета</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935,2</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11,1</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1 459,3</w:t>
            </w:r>
          </w:p>
        </w:tc>
        <w:tc>
          <w:tcPr>
            <w:tcW w:w="1170" w:type="dxa"/>
            <w:vAlign w:val="bottom"/>
          </w:tcPr>
          <w:p w:rsidR="00C20988" w:rsidRPr="00636CF3" w:rsidRDefault="00C20988" w:rsidP="00E7449B">
            <w:pPr>
              <w:ind w:right="69"/>
              <w:jc w:val="right"/>
              <w:rPr>
                <w:color w:val="000000"/>
                <w:sz w:val="22"/>
                <w:szCs w:val="22"/>
              </w:rPr>
            </w:pPr>
            <w:r w:rsidRPr="00636CF3">
              <w:rPr>
                <w:color w:val="000000"/>
                <w:sz w:val="22"/>
                <w:szCs w:val="22"/>
              </w:rPr>
              <w:t>17,1</w:t>
            </w:r>
          </w:p>
        </w:tc>
        <w:tc>
          <w:tcPr>
            <w:tcW w:w="1134" w:type="dxa"/>
            <w:vAlign w:val="bottom"/>
          </w:tcPr>
          <w:p w:rsidR="00C20988" w:rsidRPr="00636CF3" w:rsidRDefault="00C20988" w:rsidP="00E7449B">
            <w:pPr>
              <w:ind w:right="69"/>
              <w:jc w:val="right"/>
              <w:rPr>
                <w:color w:val="000000"/>
                <w:sz w:val="22"/>
                <w:szCs w:val="22"/>
              </w:rPr>
            </w:pPr>
            <w:r w:rsidRPr="00636CF3">
              <w:rPr>
                <w:color w:val="000000"/>
                <w:sz w:val="22"/>
                <w:szCs w:val="22"/>
              </w:rPr>
              <w:t>156,0</w:t>
            </w:r>
          </w:p>
        </w:tc>
      </w:tr>
      <w:tr w:rsidR="00C20988" w:rsidRPr="00636CF3" w:rsidTr="00E7449B">
        <w:tc>
          <w:tcPr>
            <w:tcW w:w="3828" w:type="dxa"/>
          </w:tcPr>
          <w:p w:rsidR="00C20988" w:rsidRPr="00636CF3" w:rsidRDefault="00C20988" w:rsidP="00E7449B">
            <w:pPr>
              <w:widowControl w:val="0"/>
              <w:tabs>
                <w:tab w:val="left" w:pos="231"/>
              </w:tabs>
              <w:ind w:left="176"/>
              <w:rPr>
                <w:color w:val="000000"/>
                <w:sz w:val="22"/>
                <w:szCs w:val="24"/>
              </w:rPr>
            </w:pPr>
            <w:r>
              <w:rPr>
                <w:color w:val="000000"/>
                <w:sz w:val="22"/>
                <w:szCs w:val="24"/>
              </w:rPr>
              <w:t xml:space="preserve">- </w:t>
            </w:r>
            <w:r w:rsidRPr="00636CF3">
              <w:rPr>
                <w:color w:val="000000"/>
                <w:sz w:val="22"/>
                <w:szCs w:val="24"/>
              </w:rPr>
              <w:t>вложения в ценные бумаги</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31,1</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0,4</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31,1</w:t>
            </w:r>
          </w:p>
        </w:tc>
        <w:tc>
          <w:tcPr>
            <w:tcW w:w="1170" w:type="dxa"/>
            <w:vAlign w:val="bottom"/>
          </w:tcPr>
          <w:p w:rsidR="00C20988" w:rsidRPr="00636CF3" w:rsidRDefault="00C20988" w:rsidP="00E7449B">
            <w:pPr>
              <w:ind w:right="69"/>
              <w:jc w:val="right"/>
              <w:rPr>
                <w:color w:val="000000"/>
                <w:sz w:val="22"/>
                <w:szCs w:val="22"/>
              </w:rPr>
            </w:pPr>
            <w:r w:rsidRPr="00636CF3">
              <w:rPr>
                <w:color w:val="000000"/>
                <w:sz w:val="22"/>
                <w:szCs w:val="22"/>
              </w:rPr>
              <w:t>0,4</w:t>
            </w:r>
          </w:p>
        </w:tc>
        <w:tc>
          <w:tcPr>
            <w:tcW w:w="1134" w:type="dxa"/>
            <w:vAlign w:val="bottom"/>
          </w:tcPr>
          <w:p w:rsidR="00C20988" w:rsidRPr="00636CF3" w:rsidRDefault="00C20988" w:rsidP="00E7449B">
            <w:pPr>
              <w:ind w:right="69"/>
              <w:jc w:val="right"/>
              <w:rPr>
                <w:color w:val="000000"/>
                <w:sz w:val="22"/>
                <w:szCs w:val="22"/>
              </w:rPr>
            </w:pPr>
            <w:r w:rsidRPr="00636CF3">
              <w:rPr>
                <w:color w:val="000000"/>
                <w:sz w:val="22"/>
                <w:szCs w:val="22"/>
              </w:rPr>
              <w:t>100,0</w:t>
            </w:r>
          </w:p>
        </w:tc>
      </w:tr>
      <w:tr w:rsidR="00C20988" w:rsidRPr="00636CF3" w:rsidTr="00E7449B">
        <w:tc>
          <w:tcPr>
            <w:tcW w:w="3828" w:type="dxa"/>
          </w:tcPr>
          <w:p w:rsidR="00C20988" w:rsidRPr="00636CF3" w:rsidRDefault="00C20988" w:rsidP="00E7449B">
            <w:pPr>
              <w:widowControl w:val="0"/>
              <w:tabs>
                <w:tab w:val="left" w:pos="231"/>
              </w:tabs>
              <w:ind w:left="176" w:right="-133"/>
              <w:rPr>
                <w:color w:val="000000"/>
                <w:sz w:val="22"/>
                <w:szCs w:val="24"/>
              </w:rPr>
            </w:pPr>
            <w:r w:rsidRPr="00636CF3">
              <w:rPr>
                <w:color w:val="000000"/>
                <w:sz w:val="22"/>
                <w:szCs w:val="24"/>
              </w:rPr>
              <w:t xml:space="preserve"> </w:t>
            </w:r>
            <w:r>
              <w:rPr>
                <w:color w:val="000000"/>
                <w:sz w:val="22"/>
                <w:szCs w:val="24"/>
              </w:rPr>
              <w:t xml:space="preserve">- </w:t>
            </w:r>
            <w:r w:rsidRPr="00636CF3">
              <w:rPr>
                <w:color w:val="000000"/>
                <w:sz w:val="22"/>
                <w:szCs w:val="24"/>
              </w:rPr>
              <w:t>чистая задолженность по кредитам</w:t>
            </w:r>
            <w:r w:rsidRPr="00636CF3">
              <w:rPr>
                <w:color w:val="000000"/>
                <w:sz w:val="22"/>
                <w:szCs w:val="24"/>
              </w:rPr>
              <w:br/>
              <w:t xml:space="preserve"> и приравненным к ним средствам</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3 821,0</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45,4</w:t>
            </w:r>
          </w:p>
        </w:tc>
        <w:tc>
          <w:tcPr>
            <w:tcW w:w="1169" w:type="dxa"/>
            <w:vAlign w:val="bottom"/>
          </w:tcPr>
          <w:p w:rsidR="00C20988" w:rsidRPr="00636CF3" w:rsidRDefault="00C20988" w:rsidP="00E7449B">
            <w:pPr>
              <w:ind w:right="69"/>
              <w:jc w:val="right"/>
              <w:rPr>
                <w:color w:val="000000"/>
                <w:sz w:val="22"/>
                <w:szCs w:val="22"/>
              </w:rPr>
            </w:pPr>
            <w:r w:rsidRPr="00636CF3">
              <w:rPr>
                <w:color w:val="000000"/>
                <w:sz w:val="22"/>
                <w:szCs w:val="22"/>
              </w:rPr>
              <w:t>4 049,5</w:t>
            </w:r>
          </w:p>
        </w:tc>
        <w:tc>
          <w:tcPr>
            <w:tcW w:w="1170" w:type="dxa"/>
            <w:vAlign w:val="bottom"/>
          </w:tcPr>
          <w:p w:rsidR="00C20988" w:rsidRPr="00636CF3" w:rsidRDefault="00C20988" w:rsidP="00E7449B">
            <w:pPr>
              <w:ind w:right="69"/>
              <w:jc w:val="right"/>
              <w:rPr>
                <w:color w:val="000000"/>
                <w:sz w:val="22"/>
                <w:szCs w:val="22"/>
              </w:rPr>
            </w:pPr>
            <w:r w:rsidRPr="00636CF3">
              <w:rPr>
                <w:color w:val="000000"/>
                <w:sz w:val="22"/>
                <w:szCs w:val="22"/>
              </w:rPr>
              <w:t>47,5</w:t>
            </w:r>
          </w:p>
        </w:tc>
        <w:tc>
          <w:tcPr>
            <w:tcW w:w="1134" w:type="dxa"/>
            <w:vAlign w:val="bottom"/>
          </w:tcPr>
          <w:p w:rsidR="00C20988" w:rsidRPr="00636CF3" w:rsidRDefault="00C20988" w:rsidP="00E7449B">
            <w:pPr>
              <w:ind w:right="69"/>
              <w:jc w:val="right"/>
              <w:rPr>
                <w:color w:val="000000"/>
                <w:sz w:val="22"/>
                <w:szCs w:val="22"/>
              </w:rPr>
            </w:pPr>
            <w:r w:rsidRPr="00636CF3">
              <w:rPr>
                <w:color w:val="000000"/>
                <w:sz w:val="22"/>
                <w:szCs w:val="22"/>
              </w:rPr>
              <w:t>106,0</w:t>
            </w:r>
          </w:p>
        </w:tc>
      </w:tr>
      <w:tr w:rsidR="00C20988" w:rsidRPr="00636CF3" w:rsidTr="00E7449B">
        <w:tc>
          <w:tcPr>
            <w:tcW w:w="3828" w:type="dxa"/>
          </w:tcPr>
          <w:p w:rsidR="00C20988" w:rsidRPr="00636CF3" w:rsidRDefault="00C20988" w:rsidP="00C20988">
            <w:pPr>
              <w:widowControl w:val="0"/>
              <w:ind w:firstLineChars="100" w:firstLine="31680"/>
              <w:jc w:val="right"/>
              <w:rPr>
                <w:i/>
                <w:iCs/>
                <w:color w:val="000000"/>
                <w:sz w:val="22"/>
                <w:szCs w:val="24"/>
              </w:rPr>
            </w:pPr>
            <w:r w:rsidRPr="00636CF3">
              <w:rPr>
                <w:i/>
                <w:iCs/>
                <w:color w:val="000000"/>
                <w:sz w:val="22"/>
                <w:szCs w:val="24"/>
              </w:rPr>
              <w:t>совокупная задолженность по кредитам и приравненным к ним средствам, всего</w:t>
            </w:r>
          </w:p>
        </w:tc>
        <w:tc>
          <w:tcPr>
            <w:tcW w:w="1169" w:type="dxa"/>
            <w:vAlign w:val="bottom"/>
          </w:tcPr>
          <w:p w:rsidR="00C20988" w:rsidRPr="00636CF3" w:rsidRDefault="00C20988" w:rsidP="00E7449B">
            <w:pPr>
              <w:ind w:right="69"/>
              <w:jc w:val="right"/>
              <w:rPr>
                <w:i/>
                <w:iCs/>
                <w:color w:val="000000"/>
                <w:sz w:val="22"/>
                <w:szCs w:val="22"/>
              </w:rPr>
            </w:pPr>
            <w:r w:rsidRPr="00636CF3">
              <w:rPr>
                <w:i/>
                <w:iCs/>
                <w:color w:val="000000"/>
                <w:sz w:val="22"/>
                <w:szCs w:val="22"/>
              </w:rPr>
              <w:t>4 328,8</w:t>
            </w:r>
          </w:p>
        </w:tc>
        <w:tc>
          <w:tcPr>
            <w:tcW w:w="1169" w:type="dxa"/>
            <w:vAlign w:val="bottom"/>
          </w:tcPr>
          <w:p w:rsidR="00C20988" w:rsidRPr="00636CF3" w:rsidRDefault="00C20988" w:rsidP="00E7449B">
            <w:pPr>
              <w:ind w:right="69"/>
              <w:jc w:val="right"/>
              <w:rPr>
                <w:i/>
                <w:iCs/>
                <w:color w:val="000000"/>
                <w:sz w:val="22"/>
                <w:szCs w:val="22"/>
              </w:rPr>
            </w:pPr>
            <w:r w:rsidRPr="00636CF3">
              <w:rPr>
                <w:i/>
                <w:iCs/>
                <w:color w:val="000000"/>
                <w:sz w:val="22"/>
                <w:szCs w:val="22"/>
              </w:rPr>
              <w:t>51,5</w:t>
            </w:r>
          </w:p>
        </w:tc>
        <w:tc>
          <w:tcPr>
            <w:tcW w:w="1169" w:type="dxa"/>
            <w:vAlign w:val="bottom"/>
          </w:tcPr>
          <w:p w:rsidR="00C20988" w:rsidRPr="00636CF3" w:rsidRDefault="00C20988" w:rsidP="00E7449B">
            <w:pPr>
              <w:ind w:right="69"/>
              <w:jc w:val="right"/>
              <w:rPr>
                <w:i/>
                <w:iCs/>
                <w:color w:val="000000"/>
                <w:sz w:val="22"/>
                <w:szCs w:val="22"/>
              </w:rPr>
            </w:pPr>
            <w:r w:rsidRPr="00636CF3">
              <w:rPr>
                <w:i/>
                <w:iCs/>
                <w:color w:val="000000"/>
                <w:sz w:val="22"/>
                <w:szCs w:val="22"/>
              </w:rPr>
              <w:t>4 591,2</w:t>
            </w:r>
          </w:p>
        </w:tc>
        <w:tc>
          <w:tcPr>
            <w:tcW w:w="1170" w:type="dxa"/>
            <w:vAlign w:val="bottom"/>
          </w:tcPr>
          <w:p w:rsidR="00C20988" w:rsidRPr="00636CF3" w:rsidRDefault="00C20988" w:rsidP="00E7449B">
            <w:pPr>
              <w:ind w:right="69"/>
              <w:jc w:val="right"/>
              <w:rPr>
                <w:i/>
                <w:iCs/>
                <w:color w:val="000000"/>
                <w:sz w:val="22"/>
                <w:szCs w:val="22"/>
              </w:rPr>
            </w:pPr>
            <w:r w:rsidRPr="00636CF3">
              <w:rPr>
                <w:i/>
                <w:iCs/>
                <w:color w:val="000000"/>
                <w:sz w:val="22"/>
                <w:szCs w:val="22"/>
              </w:rPr>
              <w:t>53,9</w:t>
            </w:r>
          </w:p>
        </w:tc>
        <w:tc>
          <w:tcPr>
            <w:tcW w:w="1134" w:type="dxa"/>
            <w:vAlign w:val="bottom"/>
          </w:tcPr>
          <w:p w:rsidR="00C20988" w:rsidRPr="00636CF3" w:rsidRDefault="00C20988" w:rsidP="00E7449B">
            <w:pPr>
              <w:ind w:right="69"/>
              <w:jc w:val="right"/>
              <w:rPr>
                <w:i/>
                <w:iCs/>
                <w:color w:val="000000"/>
                <w:sz w:val="22"/>
                <w:szCs w:val="22"/>
              </w:rPr>
            </w:pPr>
            <w:r w:rsidRPr="00636CF3">
              <w:rPr>
                <w:i/>
                <w:iCs/>
                <w:color w:val="000000"/>
                <w:sz w:val="22"/>
                <w:szCs w:val="22"/>
              </w:rPr>
              <w:t>106,1</w:t>
            </w:r>
          </w:p>
        </w:tc>
      </w:tr>
      <w:tr w:rsidR="00C20988" w:rsidRPr="00636CF3" w:rsidTr="00E7449B">
        <w:tc>
          <w:tcPr>
            <w:tcW w:w="3828" w:type="dxa"/>
          </w:tcPr>
          <w:p w:rsidR="00C20988" w:rsidRPr="00636CF3" w:rsidRDefault="00C20988" w:rsidP="00C20988">
            <w:pPr>
              <w:widowControl w:val="0"/>
              <w:ind w:firstLineChars="100" w:firstLine="31680"/>
              <w:jc w:val="right"/>
              <w:rPr>
                <w:i/>
                <w:iCs/>
                <w:color w:val="000000"/>
                <w:sz w:val="22"/>
                <w:szCs w:val="24"/>
              </w:rPr>
            </w:pPr>
            <w:r w:rsidRPr="00636CF3">
              <w:rPr>
                <w:i/>
                <w:iCs/>
                <w:color w:val="000000"/>
                <w:sz w:val="22"/>
                <w:szCs w:val="24"/>
              </w:rPr>
              <w:t>резерв по рискам</w:t>
            </w:r>
          </w:p>
        </w:tc>
        <w:tc>
          <w:tcPr>
            <w:tcW w:w="1169" w:type="dxa"/>
            <w:vAlign w:val="bottom"/>
          </w:tcPr>
          <w:p w:rsidR="00C20988" w:rsidRPr="00636CF3" w:rsidRDefault="00C20988" w:rsidP="00E7449B">
            <w:pPr>
              <w:ind w:right="69"/>
              <w:jc w:val="right"/>
              <w:rPr>
                <w:i/>
                <w:iCs/>
                <w:color w:val="000000"/>
                <w:sz w:val="22"/>
                <w:szCs w:val="22"/>
              </w:rPr>
            </w:pPr>
            <w:r w:rsidRPr="00636CF3">
              <w:rPr>
                <w:i/>
                <w:iCs/>
                <w:color w:val="000000"/>
                <w:sz w:val="22"/>
                <w:szCs w:val="22"/>
              </w:rPr>
              <w:t>-507,8</w:t>
            </w:r>
          </w:p>
        </w:tc>
        <w:tc>
          <w:tcPr>
            <w:tcW w:w="1169" w:type="dxa"/>
            <w:vAlign w:val="bottom"/>
          </w:tcPr>
          <w:p w:rsidR="00C20988" w:rsidRPr="00636CF3" w:rsidRDefault="00C20988" w:rsidP="00E7449B">
            <w:pPr>
              <w:ind w:right="69"/>
              <w:jc w:val="right"/>
              <w:rPr>
                <w:i/>
                <w:iCs/>
                <w:color w:val="000000"/>
                <w:sz w:val="22"/>
                <w:szCs w:val="22"/>
              </w:rPr>
            </w:pPr>
            <w:r w:rsidRPr="00636CF3">
              <w:rPr>
                <w:i/>
                <w:iCs/>
                <w:color w:val="000000"/>
                <w:sz w:val="22"/>
                <w:szCs w:val="22"/>
              </w:rPr>
              <w:t>-6,0</w:t>
            </w:r>
          </w:p>
        </w:tc>
        <w:tc>
          <w:tcPr>
            <w:tcW w:w="1169" w:type="dxa"/>
            <w:vAlign w:val="bottom"/>
          </w:tcPr>
          <w:p w:rsidR="00C20988" w:rsidRPr="00636CF3" w:rsidRDefault="00C20988" w:rsidP="00E7449B">
            <w:pPr>
              <w:ind w:right="69"/>
              <w:jc w:val="right"/>
              <w:rPr>
                <w:i/>
                <w:iCs/>
                <w:color w:val="000000"/>
                <w:sz w:val="22"/>
                <w:szCs w:val="22"/>
              </w:rPr>
            </w:pPr>
            <w:r w:rsidRPr="00636CF3">
              <w:rPr>
                <w:i/>
                <w:iCs/>
                <w:color w:val="000000"/>
                <w:sz w:val="22"/>
                <w:szCs w:val="22"/>
              </w:rPr>
              <w:t>-541,7</w:t>
            </w:r>
          </w:p>
        </w:tc>
        <w:tc>
          <w:tcPr>
            <w:tcW w:w="1170" w:type="dxa"/>
            <w:vAlign w:val="bottom"/>
          </w:tcPr>
          <w:p w:rsidR="00C20988" w:rsidRPr="00636CF3" w:rsidRDefault="00C20988" w:rsidP="00E7449B">
            <w:pPr>
              <w:ind w:right="69"/>
              <w:jc w:val="right"/>
              <w:rPr>
                <w:i/>
                <w:iCs/>
                <w:color w:val="000000"/>
                <w:sz w:val="22"/>
                <w:szCs w:val="22"/>
              </w:rPr>
            </w:pPr>
            <w:r w:rsidRPr="00636CF3">
              <w:rPr>
                <w:i/>
                <w:iCs/>
                <w:color w:val="000000"/>
                <w:sz w:val="22"/>
                <w:szCs w:val="22"/>
              </w:rPr>
              <w:t>-6,4</w:t>
            </w:r>
          </w:p>
        </w:tc>
        <w:tc>
          <w:tcPr>
            <w:tcW w:w="1134" w:type="dxa"/>
            <w:vAlign w:val="bottom"/>
          </w:tcPr>
          <w:p w:rsidR="00C20988" w:rsidRPr="00636CF3" w:rsidRDefault="00C20988" w:rsidP="00E7449B">
            <w:pPr>
              <w:ind w:right="69"/>
              <w:jc w:val="right"/>
              <w:rPr>
                <w:i/>
                <w:iCs/>
                <w:color w:val="000000"/>
                <w:sz w:val="22"/>
                <w:szCs w:val="22"/>
              </w:rPr>
            </w:pPr>
            <w:r w:rsidRPr="00636CF3">
              <w:rPr>
                <w:i/>
                <w:iCs/>
                <w:color w:val="000000"/>
                <w:sz w:val="22"/>
                <w:szCs w:val="22"/>
              </w:rPr>
              <w:t>106,7</w:t>
            </w:r>
          </w:p>
        </w:tc>
      </w:tr>
      <w:tr w:rsidR="00C20988" w:rsidRPr="00636CF3" w:rsidTr="00E7449B">
        <w:tc>
          <w:tcPr>
            <w:tcW w:w="3828" w:type="dxa"/>
            <w:tcBorders>
              <w:top w:val="nil"/>
            </w:tcBorders>
          </w:tcPr>
          <w:p w:rsidR="00C20988" w:rsidRPr="00636CF3" w:rsidRDefault="00C20988" w:rsidP="00E7449B">
            <w:pPr>
              <w:widowControl w:val="0"/>
              <w:ind w:firstLine="176"/>
              <w:rPr>
                <w:color w:val="000000"/>
                <w:sz w:val="22"/>
                <w:szCs w:val="24"/>
              </w:rPr>
            </w:pPr>
            <w:r>
              <w:rPr>
                <w:color w:val="000000"/>
                <w:sz w:val="22"/>
                <w:szCs w:val="24"/>
              </w:rPr>
              <w:t xml:space="preserve"> - и</w:t>
            </w:r>
            <w:r w:rsidRPr="00636CF3">
              <w:rPr>
                <w:color w:val="000000"/>
                <w:sz w:val="22"/>
                <w:szCs w:val="24"/>
              </w:rPr>
              <w:t xml:space="preserve">мущество </w:t>
            </w:r>
          </w:p>
        </w:tc>
        <w:tc>
          <w:tcPr>
            <w:tcW w:w="1169" w:type="dxa"/>
            <w:tcBorders>
              <w:top w:val="nil"/>
            </w:tcBorders>
            <w:vAlign w:val="bottom"/>
          </w:tcPr>
          <w:p w:rsidR="00C20988" w:rsidRPr="00636CF3" w:rsidRDefault="00C20988" w:rsidP="00E7449B">
            <w:pPr>
              <w:ind w:right="69"/>
              <w:jc w:val="right"/>
              <w:rPr>
                <w:color w:val="000000"/>
                <w:sz w:val="22"/>
                <w:szCs w:val="22"/>
              </w:rPr>
            </w:pPr>
            <w:r w:rsidRPr="00636CF3">
              <w:rPr>
                <w:color w:val="000000"/>
                <w:sz w:val="22"/>
                <w:szCs w:val="22"/>
              </w:rPr>
              <w:t>272,3</w:t>
            </w:r>
          </w:p>
        </w:tc>
        <w:tc>
          <w:tcPr>
            <w:tcW w:w="1169" w:type="dxa"/>
            <w:tcBorders>
              <w:top w:val="nil"/>
            </w:tcBorders>
            <w:vAlign w:val="bottom"/>
          </w:tcPr>
          <w:p w:rsidR="00C20988" w:rsidRPr="00636CF3" w:rsidRDefault="00C20988" w:rsidP="00E7449B">
            <w:pPr>
              <w:ind w:right="69"/>
              <w:jc w:val="right"/>
              <w:rPr>
                <w:color w:val="000000"/>
                <w:sz w:val="22"/>
                <w:szCs w:val="22"/>
              </w:rPr>
            </w:pPr>
            <w:r w:rsidRPr="00636CF3">
              <w:rPr>
                <w:color w:val="000000"/>
                <w:sz w:val="22"/>
                <w:szCs w:val="22"/>
              </w:rPr>
              <w:t>3,2</w:t>
            </w:r>
          </w:p>
        </w:tc>
        <w:tc>
          <w:tcPr>
            <w:tcW w:w="1169" w:type="dxa"/>
            <w:tcBorders>
              <w:top w:val="nil"/>
            </w:tcBorders>
            <w:vAlign w:val="bottom"/>
          </w:tcPr>
          <w:p w:rsidR="00C20988" w:rsidRPr="00636CF3" w:rsidRDefault="00C20988" w:rsidP="00E7449B">
            <w:pPr>
              <w:ind w:right="69"/>
              <w:jc w:val="right"/>
              <w:rPr>
                <w:color w:val="000000"/>
                <w:sz w:val="22"/>
                <w:szCs w:val="22"/>
              </w:rPr>
            </w:pPr>
            <w:r w:rsidRPr="00636CF3">
              <w:rPr>
                <w:color w:val="000000"/>
                <w:sz w:val="22"/>
                <w:szCs w:val="22"/>
              </w:rPr>
              <w:t>286,8</w:t>
            </w:r>
          </w:p>
        </w:tc>
        <w:tc>
          <w:tcPr>
            <w:tcW w:w="1170" w:type="dxa"/>
            <w:tcBorders>
              <w:top w:val="nil"/>
            </w:tcBorders>
            <w:vAlign w:val="bottom"/>
          </w:tcPr>
          <w:p w:rsidR="00C20988" w:rsidRPr="00636CF3" w:rsidRDefault="00C20988" w:rsidP="00E7449B">
            <w:pPr>
              <w:ind w:right="69"/>
              <w:jc w:val="right"/>
              <w:rPr>
                <w:color w:val="000000"/>
                <w:sz w:val="22"/>
                <w:szCs w:val="22"/>
              </w:rPr>
            </w:pPr>
            <w:r w:rsidRPr="00636CF3">
              <w:rPr>
                <w:color w:val="000000"/>
                <w:sz w:val="22"/>
                <w:szCs w:val="22"/>
              </w:rPr>
              <w:t>3,4</w:t>
            </w:r>
          </w:p>
        </w:tc>
        <w:tc>
          <w:tcPr>
            <w:tcW w:w="1134" w:type="dxa"/>
            <w:tcBorders>
              <w:top w:val="nil"/>
            </w:tcBorders>
            <w:vAlign w:val="bottom"/>
          </w:tcPr>
          <w:p w:rsidR="00C20988" w:rsidRPr="00636CF3" w:rsidRDefault="00C20988" w:rsidP="00E7449B">
            <w:pPr>
              <w:ind w:right="69"/>
              <w:jc w:val="right"/>
              <w:rPr>
                <w:color w:val="000000"/>
                <w:sz w:val="22"/>
                <w:szCs w:val="22"/>
              </w:rPr>
            </w:pPr>
            <w:r w:rsidRPr="00636CF3">
              <w:rPr>
                <w:color w:val="000000"/>
                <w:sz w:val="22"/>
                <w:szCs w:val="22"/>
              </w:rPr>
              <w:t>105,3</w:t>
            </w:r>
          </w:p>
        </w:tc>
      </w:tr>
    </w:tbl>
    <w:p w:rsidR="00C20988" w:rsidRPr="009A09E8" w:rsidRDefault="00C20988" w:rsidP="000D5444">
      <w:pPr>
        <w:autoSpaceDE w:val="0"/>
        <w:autoSpaceDN w:val="0"/>
        <w:adjustRightInd w:val="0"/>
        <w:spacing w:before="120"/>
        <w:ind w:firstLine="425"/>
        <w:jc w:val="both"/>
        <w:rPr>
          <w:sz w:val="24"/>
          <w:szCs w:val="22"/>
        </w:rPr>
      </w:pPr>
      <w:r w:rsidRPr="00E44746">
        <w:rPr>
          <w:sz w:val="24"/>
          <w:szCs w:val="22"/>
        </w:rPr>
        <w:t xml:space="preserve">Ключевым фактором снижения </w:t>
      </w:r>
      <w:r>
        <w:rPr>
          <w:sz w:val="24"/>
          <w:szCs w:val="22"/>
        </w:rPr>
        <w:t xml:space="preserve">объёма </w:t>
      </w:r>
      <w:r w:rsidRPr="00E44746">
        <w:rPr>
          <w:sz w:val="24"/>
          <w:szCs w:val="22"/>
        </w:rPr>
        <w:t>корпоративного кредитного портфеля в отраслевом</w:t>
      </w:r>
      <w:r w:rsidRPr="009A09E8">
        <w:rPr>
          <w:sz w:val="24"/>
          <w:szCs w:val="22"/>
        </w:rPr>
        <w:t xml:space="preserve"> разрезе выступало сокращение остатков </w:t>
      </w:r>
      <w:r>
        <w:rPr>
          <w:sz w:val="24"/>
          <w:szCs w:val="22"/>
        </w:rPr>
        <w:t>задолженности</w:t>
      </w:r>
      <w:r w:rsidRPr="009A09E8">
        <w:rPr>
          <w:sz w:val="24"/>
          <w:szCs w:val="22"/>
        </w:rPr>
        <w:t xml:space="preserve"> предприятий индустриального комплекса (-1</w:t>
      </w:r>
      <w:r>
        <w:rPr>
          <w:sz w:val="24"/>
          <w:szCs w:val="22"/>
        </w:rPr>
        <w:t>6</w:t>
      </w:r>
      <w:r w:rsidRPr="009A09E8">
        <w:rPr>
          <w:sz w:val="24"/>
          <w:szCs w:val="22"/>
        </w:rPr>
        <w:t xml:space="preserve">,2%, или -246,3 млн руб., до 1 277,6 млн руб.). По итогам отчётного года они сформировали 46,9% совокупного показателя (-8,2 п.п.). </w:t>
      </w:r>
      <w:r w:rsidRPr="009A09E8">
        <w:rPr>
          <w:color w:val="000000"/>
          <w:sz w:val="24"/>
          <w:szCs w:val="22"/>
        </w:rPr>
        <w:t xml:space="preserve">В то же время заимствования агрофирм по отношению к уровню </w:t>
      </w:r>
      <w:r w:rsidRPr="009A09E8">
        <w:rPr>
          <w:sz w:val="24"/>
          <w:szCs w:val="22"/>
        </w:rPr>
        <w:t>на 1 января 2018</w:t>
      </w:r>
      <w:r w:rsidRPr="009A09E8">
        <w:rPr>
          <w:color w:val="000000"/>
          <w:sz w:val="24"/>
          <w:szCs w:val="22"/>
        </w:rPr>
        <w:t xml:space="preserve"> года увеличились на 131,5 млн руб. (+26,6%) и на конец отчётного года составили 625,4 млн руб., или 23,0% кредитного портфеля. Задолженность по кредитам организаций торговли </w:t>
      </w:r>
      <w:r>
        <w:rPr>
          <w:color w:val="000000"/>
          <w:sz w:val="24"/>
          <w:szCs w:val="22"/>
        </w:rPr>
        <w:t>возросла</w:t>
      </w:r>
      <w:r w:rsidRPr="009A09E8">
        <w:rPr>
          <w:color w:val="000000"/>
          <w:sz w:val="24"/>
          <w:szCs w:val="22"/>
        </w:rPr>
        <w:t xml:space="preserve"> на </w:t>
      </w:r>
      <w:r>
        <w:rPr>
          <w:color w:val="000000"/>
          <w:sz w:val="24"/>
          <w:szCs w:val="22"/>
        </w:rPr>
        <w:br/>
      </w:r>
      <w:r w:rsidRPr="009A09E8">
        <w:rPr>
          <w:color w:val="000000"/>
          <w:sz w:val="24"/>
          <w:szCs w:val="22"/>
        </w:rPr>
        <w:t>81,1 млн руб. (+14,7%), до 633,8 млн руб., что соответствует 23,3% общей задолженности хозяйствующих субъектов</w:t>
      </w:r>
      <w:r w:rsidRPr="009A09E8">
        <w:rPr>
          <w:sz w:val="24"/>
          <w:szCs w:val="22"/>
        </w:rPr>
        <w:t xml:space="preserve">. </w:t>
      </w:r>
      <w:r w:rsidRPr="009A09E8">
        <w:rPr>
          <w:color w:val="000000"/>
          <w:sz w:val="24"/>
          <w:szCs w:val="22"/>
        </w:rPr>
        <w:t xml:space="preserve">Обязательства строительных предприятий перед коммерческими банками составили </w:t>
      </w:r>
      <w:r w:rsidRPr="009A09E8">
        <w:rPr>
          <w:sz w:val="24"/>
          <w:szCs w:val="22"/>
        </w:rPr>
        <w:t>12,5 млн руб. (-3,0</w:t>
      </w:r>
      <w:r w:rsidRPr="009A09E8">
        <w:rPr>
          <w:color w:val="000000"/>
          <w:sz w:val="24"/>
          <w:szCs w:val="22"/>
        </w:rPr>
        <w:t>%, или</w:t>
      </w:r>
      <w:r w:rsidRPr="009A09E8">
        <w:rPr>
          <w:sz w:val="24"/>
          <w:szCs w:val="22"/>
        </w:rPr>
        <w:t xml:space="preserve"> -0,4 млн руб.).</w:t>
      </w:r>
    </w:p>
    <w:p w:rsidR="00C20988" w:rsidRPr="00F64BAC" w:rsidRDefault="00C20988" w:rsidP="000D5444">
      <w:pPr>
        <w:autoSpaceDE w:val="0"/>
        <w:autoSpaceDN w:val="0"/>
        <w:adjustRightInd w:val="0"/>
        <w:ind w:firstLine="425"/>
        <w:jc w:val="both"/>
        <w:rPr>
          <w:color w:val="000000"/>
          <w:sz w:val="24"/>
          <w:szCs w:val="24"/>
        </w:rPr>
      </w:pPr>
      <w:r>
        <w:rPr>
          <w:sz w:val="24"/>
          <w:szCs w:val="24"/>
        </w:rPr>
        <w:t xml:space="preserve">По итогам года </w:t>
      </w:r>
      <w:r w:rsidRPr="009A09E8">
        <w:rPr>
          <w:sz w:val="24"/>
          <w:szCs w:val="24"/>
        </w:rPr>
        <w:t>улучш</w:t>
      </w:r>
      <w:r>
        <w:rPr>
          <w:sz w:val="24"/>
          <w:szCs w:val="24"/>
        </w:rPr>
        <w:t>илась структура</w:t>
      </w:r>
      <w:r w:rsidRPr="009A09E8">
        <w:rPr>
          <w:sz w:val="24"/>
          <w:szCs w:val="24"/>
        </w:rPr>
        <w:t xml:space="preserve"> кредитного портфеля банков в </w:t>
      </w:r>
      <w:r w:rsidRPr="009E0658">
        <w:rPr>
          <w:sz w:val="24"/>
          <w:szCs w:val="24"/>
        </w:rPr>
        <w:t>части сокращения</w:t>
      </w:r>
      <w:r>
        <w:rPr>
          <w:sz w:val="24"/>
          <w:szCs w:val="24"/>
        </w:rPr>
        <w:t xml:space="preserve"> </w:t>
      </w:r>
      <w:r w:rsidRPr="009A09E8">
        <w:rPr>
          <w:sz w:val="24"/>
          <w:szCs w:val="24"/>
        </w:rPr>
        <w:t xml:space="preserve">«плохих долгов», что в том числе связано с проведением программы оздоровления государственных банков в соответствии с Законом ПМР №201-З-VI от 30 июня 2017 года «О стабилизации банковской системы Приднестровской Молдавской Республики». Просроченная задолженность уменьшилась на 15,7% и на 1 января 2019 года составила </w:t>
      </w:r>
      <w:r>
        <w:rPr>
          <w:sz w:val="24"/>
          <w:szCs w:val="24"/>
        </w:rPr>
        <w:br/>
      </w:r>
      <w:r w:rsidRPr="009A09E8">
        <w:rPr>
          <w:sz w:val="24"/>
          <w:szCs w:val="24"/>
        </w:rPr>
        <w:t xml:space="preserve">168,0 млн руб., что соответствует 4,6% совокупных кредитов реальному сектору и населению (-1,0 п.п.). Данная динамика была обусловлена значительным </w:t>
      </w:r>
      <w:r>
        <w:rPr>
          <w:sz w:val="24"/>
          <w:szCs w:val="24"/>
        </w:rPr>
        <w:t>снижением</w:t>
      </w:r>
      <w:r w:rsidRPr="009A09E8">
        <w:rPr>
          <w:sz w:val="24"/>
          <w:szCs w:val="24"/>
        </w:rPr>
        <w:t xml:space="preserve"> сумм не погашенных в срок обязательств юридических лиц (-18,7%, до 90,5 млн руб.), долевое представление которых в корпоративном кредитном портфеле на 1 января 2019 года составило 3,3% (-0,7 п.п. от значения на 1 января 2018 года). Остаток просроченной задолженности населени</w:t>
      </w:r>
      <w:r>
        <w:rPr>
          <w:sz w:val="24"/>
          <w:szCs w:val="24"/>
        </w:rPr>
        <w:t>я</w:t>
      </w:r>
      <w:r w:rsidRPr="009A09E8">
        <w:rPr>
          <w:sz w:val="24"/>
          <w:szCs w:val="24"/>
        </w:rPr>
        <w:t xml:space="preserve"> </w:t>
      </w:r>
      <w:r w:rsidRPr="00F64BAC">
        <w:rPr>
          <w:sz w:val="24"/>
          <w:szCs w:val="24"/>
        </w:rPr>
        <w:t>по кредитам уменьшился на 11,8%, до 77,5 млн руб., сформировав 8,4% в структуре розничных кредитов (-2,9 п.п.). В результате интегрированный показатель</w:t>
      </w:r>
      <w:r w:rsidRPr="00F64BAC">
        <w:rPr>
          <w:rStyle w:val="FootnoteReference"/>
          <w:color w:val="000000"/>
          <w:sz w:val="24"/>
          <w:szCs w:val="24"/>
        </w:rPr>
        <w:footnoteReference w:id="18"/>
      </w:r>
      <w:r w:rsidRPr="00F64BAC">
        <w:rPr>
          <w:sz w:val="24"/>
          <w:szCs w:val="24"/>
        </w:rPr>
        <w:t xml:space="preserve"> качественных</w:t>
      </w:r>
      <w:r w:rsidRPr="00F64BAC">
        <w:rPr>
          <w:color w:val="000000"/>
          <w:sz w:val="24"/>
          <w:szCs w:val="24"/>
        </w:rPr>
        <w:t xml:space="preserve"> характеристик операций кредитования повысился на 1,0 п.п., до 95,4%.</w:t>
      </w:r>
    </w:p>
    <w:p w:rsidR="00C20988" w:rsidRPr="009A09E8" w:rsidRDefault="00C20988" w:rsidP="000D5444">
      <w:pPr>
        <w:widowControl w:val="0"/>
        <w:ind w:firstLine="425"/>
        <w:jc w:val="both"/>
        <w:rPr>
          <w:sz w:val="24"/>
        </w:rPr>
      </w:pPr>
      <w:r w:rsidRPr="00F64BAC">
        <w:rPr>
          <w:sz w:val="24"/>
        </w:rPr>
        <w:t>Переоценка в связи с изменением требований к классификации кредитов и приравненных к ним средств явилась</w:t>
      </w:r>
      <w:r w:rsidRPr="009A09E8">
        <w:rPr>
          <w:sz w:val="24"/>
        </w:rPr>
        <w:t xml:space="preserve"> одним из факторов существенного роста остатков ссуд, относящихся к категории нестандартных (+718,8 млн руб.), а также проблемных </w:t>
      </w:r>
      <w:r>
        <w:rPr>
          <w:sz w:val="24"/>
        </w:rPr>
        <w:br/>
      </w:r>
      <w:r w:rsidRPr="009A09E8">
        <w:rPr>
          <w:sz w:val="24"/>
        </w:rPr>
        <w:t>(+102,2 млн руб.), что обусловило повышение их удельного веса в структуре совокупного показа</w:t>
      </w:r>
      <w:r>
        <w:rPr>
          <w:sz w:val="24"/>
        </w:rPr>
        <w:t>теля</w:t>
      </w:r>
      <w:r w:rsidRPr="009A09E8">
        <w:rPr>
          <w:sz w:val="24"/>
        </w:rPr>
        <w:t>. Данный факт определил и наращивание резервов на возможные потери по кредитам</w:t>
      </w:r>
      <w:r w:rsidRPr="00636CF3">
        <w:rPr>
          <w:color w:val="000000"/>
          <w:sz w:val="22"/>
          <w:szCs w:val="24"/>
        </w:rPr>
        <w:t xml:space="preserve"> </w:t>
      </w:r>
      <w:r w:rsidRPr="00C02A57">
        <w:rPr>
          <w:sz w:val="24"/>
        </w:rPr>
        <w:t>и приравненным к ним средствам</w:t>
      </w:r>
      <w:r w:rsidRPr="009A09E8">
        <w:rPr>
          <w:sz w:val="24"/>
        </w:rPr>
        <w:t xml:space="preserve">: по отношению к уровню начала 2018 года размер </w:t>
      </w:r>
      <w:r>
        <w:rPr>
          <w:sz w:val="24"/>
        </w:rPr>
        <w:t xml:space="preserve">соответствующего </w:t>
      </w:r>
      <w:r w:rsidRPr="009A09E8">
        <w:rPr>
          <w:sz w:val="24"/>
        </w:rPr>
        <w:t>фонда был увеличен на 6</w:t>
      </w:r>
      <w:r>
        <w:rPr>
          <w:sz w:val="24"/>
        </w:rPr>
        <w:t>,7</w:t>
      </w:r>
      <w:r w:rsidRPr="009A09E8">
        <w:rPr>
          <w:sz w:val="24"/>
        </w:rPr>
        <w:t>%, до 541,</w:t>
      </w:r>
      <w:r>
        <w:rPr>
          <w:sz w:val="24"/>
        </w:rPr>
        <w:t>7</w:t>
      </w:r>
      <w:r w:rsidRPr="009A09E8">
        <w:rPr>
          <w:sz w:val="24"/>
        </w:rPr>
        <w:t xml:space="preserve"> млн руб., составив 11,8% кредитного портфеля. Долевое представление стандартных ссуд сократилось с 63,4% до 54,9% вследствие снижения их суммы на 557,6 млн руб., главным образом в результате сокращения активов, предоставленных с отсрочкой платежа. </w:t>
      </w:r>
    </w:p>
    <w:p w:rsidR="00C20988" w:rsidRPr="00636CF3" w:rsidRDefault="00C20988" w:rsidP="000D5444">
      <w:pPr>
        <w:ind w:firstLine="425"/>
        <w:jc w:val="both"/>
        <w:rPr>
          <w:color w:val="000000"/>
          <w:sz w:val="24"/>
          <w:szCs w:val="24"/>
        </w:rPr>
      </w:pPr>
      <w:r w:rsidRPr="00636CF3">
        <w:rPr>
          <w:color w:val="000000"/>
          <w:sz w:val="24"/>
          <w:szCs w:val="24"/>
        </w:rPr>
        <w:t xml:space="preserve">Тем не менее </w:t>
      </w:r>
      <w:r w:rsidRPr="009A09E8">
        <w:rPr>
          <w:color w:val="000000"/>
          <w:sz w:val="24"/>
          <w:szCs w:val="24"/>
        </w:rPr>
        <w:t xml:space="preserve">наращивание совокупной валюты баланса-нетто в основном выступило отражением накопления ликвидных средств банковскими учреждениями. </w:t>
      </w:r>
      <w:r w:rsidRPr="00636CF3">
        <w:rPr>
          <w:color w:val="000000"/>
          <w:sz w:val="24"/>
          <w:szCs w:val="24"/>
        </w:rPr>
        <w:t xml:space="preserve">Остатки средств, размещённых на корреспондентских счетах в других банках, в анализируемом периоде расширились в 1,6 раза, или на 524,0 млн руб., и на 1 января 2019 года составили </w:t>
      </w:r>
      <w:r>
        <w:rPr>
          <w:color w:val="000000"/>
          <w:sz w:val="24"/>
          <w:szCs w:val="24"/>
        </w:rPr>
        <w:br/>
        <w:t>1 459,3 млн руб. (</w:t>
      </w:r>
      <w:r w:rsidRPr="00636CF3">
        <w:rPr>
          <w:color w:val="000000"/>
          <w:sz w:val="24"/>
          <w:szCs w:val="24"/>
        </w:rPr>
        <w:t>17,1% совокупных активов</w:t>
      </w:r>
      <w:r>
        <w:rPr>
          <w:color w:val="000000"/>
          <w:sz w:val="24"/>
          <w:szCs w:val="24"/>
        </w:rPr>
        <w:t>)</w:t>
      </w:r>
      <w:r w:rsidRPr="00636CF3">
        <w:rPr>
          <w:color w:val="000000"/>
          <w:sz w:val="24"/>
          <w:szCs w:val="24"/>
        </w:rPr>
        <w:t>. Из них счета в</w:t>
      </w:r>
      <w:r w:rsidRPr="00636CF3">
        <w:rPr>
          <w:sz w:val="24"/>
          <w:szCs w:val="24"/>
        </w:rPr>
        <w:t xml:space="preserve"> других коммерческих банках возросли в 1,8 раза (на 227,5 млн руб.), до 520,6 млн руб.; в ПРБ – в 1,5 раза </w:t>
      </w:r>
      <w:r>
        <w:rPr>
          <w:sz w:val="24"/>
          <w:szCs w:val="24"/>
        </w:rPr>
        <w:br/>
      </w:r>
      <w:r w:rsidRPr="00636CF3">
        <w:rPr>
          <w:sz w:val="24"/>
          <w:szCs w:val="24"/>
        </w:rPr>
        <w:t xml:space="preserve">(на 296,6 млн </w:t>
      </w:r>
      <w:r w:rsidRPr="00636CF3">
        <w:rPr>
          <w:color w:val="000000"/>
          <w:sz w:val="24"/>
          <w:szCs w:val="24"/>
        </w:rPr>
        <w:t>руб.), до 938,6 млн руб.</w:t>
      </w:r>
      <w:r>
        <w:rPr>
          <w:color w:val="000000"/>
          <w:sz w:val="24"/>
          <w:szCs w:val="24"/>
        </w:rPr>
        <w:t xml:space="preserve">, из которых </w:t>
      </w:r>
      <w:r w:rsidRPr="00636CF3">
        <w:rPr>
          <w:sz w:val="24"/>
          <w:szCs w:val="24"/>
        </w:rPr>
        <w:t xml:space="preserve">666,6 млн руб. </w:t>
      </w:r>
      <w:r>
        <w:rPr>
          <w:sz w:val="24"/>
          <w:szCs w:val="24"/>
        </w:rPr>
        <w:t xml:space="preserve">– </w:t>
      </w:r>
      <w:r w:rsidRPr="00636CF3">
        <w:rPr>
          <w:sz w:val="24"/>
          <w:szCs w:val="24"/>
        </w:rPr>
        <w:t>неснижаемые остатки в фонде обязательного резервирования и страховом фонде</w:t>
      </w:r>
      <w:r>
        <w:rPr>
          <w:sz w:val="24"/>
          <w:szCs w:val="24"/>
        </w:rPr>
        <w:t>.</w:t>
      </w:r>
      <w:r w:rsidRPr="00636CF3">
        <w:rPr>
          <w:sz w:val="24"/>
          <w:szCs w:val="24"/>
        </w:rPr>
        <w:t xml:space="preserve"> </w:t>
      </w:r>
    </w:p>
    <w:p w:rsidR="00C20988" w:rsidRDefault="00C20988" w:rsidP="000D5444">
      <w:pPr>
        <w:widowControl w:val="0"/>
        <w:ind w:firstLine="425"/>
        <w:jc w:val="both"/>
        <w:rPr>
          <w:sz w:val="24"/>
          <w:szCs w:val="24"/>
        </w:rPr>
      </w:pPr>
      <w:r w:rsidRPr="00636CF3">
        <w:rPr>
          <w:sz w:val="24"/>
          <w:szCs w:val="24"/>
        </w:rPr>
        <w:t>Показатели, характеризующие возможность действующих коммерческих банков своевременно и в полном объёме обеспечивать выполнение своих долговых и финансовых обязательств перед всеми контрагентами,</w:t>
      </w:r>
      <w:r w:rsidRPr="00636CF3">
        <w:rPr>
          <w:color w:val="000000"/>
          <w:sz w:val="24"/>
          <w:szCs w:val="24"/>
        </w:rPr>
        <w:t xml:space="preserve"> в отчётном году </w:t>
      </w:r>
      <w:r w:rsidRPr="00636CF3">
        <w:rPr>
          <w:sz w:val="24"/>
          <w:szCs w:val="24"/>
        </w:rPr>
        <w:t>находились в установленных пределах:</w:t>
      </w:r>
      <w:r w:rsidRPr="00636CF3">
        <w:rPr>
          <w:color w:val="000000"/>
          <w:sz w:val="24"/>
          <w:szCs w:val="24"/>
        </w:rPr>
        <w:t xml:space="preserve"> мгновенн</w:t>
      </w:r>
      <w:r>
        <w:rPr>
          <w:color w:val="000000"/>
          <w:sz w:val="24"/>
          <w:szCs w:val="24"/>
        </w:rPr>
        <w:t>ая</w:t>
      </w:r>
      <w:r w:rsidRPr="00636CF3">
        <w:rPr>
          <w:color w:val="000000"/>
          <w:sz w:val="24"/>
          <w:szCs w:val="24"/>
        </w:rPr>
        <w:t xml:space="preserve"> </w:t>
      </w:r>
      <w:r w:rsidRPr="00636CF3">
        <w:rPr>
          <w:sz w:val="24"/>
          <w:szCs w:val="24"/>
        </w:rPr>
        <w:t>ликвидност</w:t>
      </w:r>
      <w:r>
        <w:rPr>
          <w:sz w:val="24"/>
          <w:szCs w:val="24"/>
        </w:rPr>
        <w:t>ь – 57,6%, текущая</w:t>
      </w:r>
      <w:r w:rsidRPr="00636CF3">
        <w:rPr>
          <w:sz w:val="24"/>
          <w:szCs w:val="24"/>
        </w:rPr>
        <w:t xml:space="preserve"> – 71,8% и долгосрочн</w:t>
      </w:r>
      <w:r>
        <w:rPr>
          <w:sz w:val="24"/>
          <w:szCs w:val="24"/>
        </w:rPr>
        <w:t>ая</w:t>
      </w:r>
      <w:r w:rsidRPr="00636CF3">
        <w:rPr>
          <w:sz w:val="24"/>
          <w:szCs w:val="24"/>
        </w:rPr>
        <w:t xml:space="preserve"> – 60,8%.</w:t>
      </w:r>
    </w:p>
    <w:p w:rsidR="00C20988" w:rsidRDefault="00C20988" w:rsidP="000D5444">
      <w:pPr>
        <w:widowControl w:val="0"/>
        <w:ind w:firstLine="425"/>
        <w:jc w:val="both"/>
        <w:rPr>
          <w:sz w:val="24"/>
          <w:szCs w:val="24"/>
        </w:rPr>
      </w:pPr>
      <w:r w:rsidRPr="00636CF3">
        <w:rPr>
          <w:sz w:val="24"/>
          <w:szCs w:val="24"/>
        </w:rPr>
        <w:t xml:space="preserve">С учётом сумм, относимых на финансовый результат, итоги деятельности коммерческих банков в 2018 году характеризовались </w:t>
      </w:r>
      <w:r w:rsidRPr="00636CF3">
        <w:rPr>
          <w:color w:val="000000"/>
          <w:sz w:val="24"/>
          <w:szCs w:val="24"/>
        </w:rPr>
        <w:t xml:space="preserve">формированием </w:t>
      </w:r>
      <w:r w:rsidRPr="00636CF3">
        <w:rPr>
          <w:sz w:val="24"/>
          <w:szCs w:val="24"/>
        </w:rPr>
        <w:t>чистой прибыли</w:t>
      </w:r>
      <w:r w:rsidRPr="00636CF3">
        <w:rPr>
          <w:rStyle w:val="FootnoteReference"/>
          <w:sz w:val="24"/>
          <w:szCs w:val="24"/>
        </w:rPr>
        <w:footnoteReference w:id="19"/>
      </w:r>
      <w:r w:rsidRPr="00636CF3">
        <w:rPr>
          <w:sz w:val="24"/>
          <w:szCs w:val="24"/>
        </w:rPr>
        <w:t xml:space="preserve"> в размере </w:t>
      </w:r>
      <w:r>
        <w:rPr>
          <w:sz w:val="24"/>
          <w:szCs w:val="24"/>
        </w:rPr>
        <w:br/>
      </w:r>
      <w:r w:rsidRPr="00636CF3">
        <w:rPr>
          <w:sz w:val="24"/>
          <w:szCs w:val="24"/>
        </w:rPr>
        <w:t>102,6 млн руб., что в 1,4 раза больше</w:t>
      </w:r>
      <w:r>
        <w:rPr>
          <w:sz w:val="24"/>
          <w:szCs w:val="24"/>
        </w:rPr>
        <w:t>,</w:t>
      </w:r>
      <w:r w:rsidRPr="00636CF3">
        <w:rPr>
          <w:sz w:val="24"/>
          <w:szCs w:val="24"/>
        </w:rPr>
        <w:t xml:space="preserve"> чем годом ранее. </w:t>
      </w:r>
    </w:p>
    <w:p w:rsidR="00C20988" w:rsidRPr="009A09E8" w:rsidRDefault="00C20988" w:rsidP="000D5444">
      <w:pPr>
        <w:widowControl w:val="0"/>
        <w:ind w:firstLine="425"/>
        <w:jc w:val="both"/>
        <w:rPr>
          <w:color w:val="000000"/>
          <w:sz w:val="24"/>
          <w:szCs w:val="24"/>
        </w:rPr>
      </w:pPr>
      <w:r w:rsidRPr="009A09E8">
        <w:rPr>
          <w:sz w:val="24"/>
          <w:szCs w:val="24"/>
        </w:rPr>
        <w:t xml:space="preserve">Сумма </w:t>
      </w:r>
      <w:r w:rsidRPr="009A09E8">
        <w:rPr>
          <w:color w:val="000000"/>
          <w:sz w:val="24"/>
          <w:szCs w:val="24"/>
        </w:rPr>
        <w:t xml:space="preserve">процентных доходов увеличилась на 22,4 млн руб. (+6,3%), до </w:t>
      </w:r>
      <w:r>
        <w:rPr>
          <w:color w:val="000000"/>
          <w:sz w:val="24"/>
          <w:szCs w:val="24"/>
        </w:rPr>
        <w:br/>
      </w:r>
      <w:r w:rsidRPr="009A09E8">
        <w:rPr>
          <w:color w:val="000000"/>
          <w:sz w:val="24"/>
          <w:szCs w:val="24"/>
        </w:rPr>
        <w:t>376,7 млн руб.,</w:t>
      </w:r>
      <w:r>
        <w:rPr>
          <w:color w:val="000000"/>
          <w:sz w:val="24"/>
          <w:szCs w:val="24"/>
        </w:rPr>
        <w:t xml:space="preserve"> </w:t>
      </w:r>
      <w:r w:rsidRPr="009A09E8">
        <w:rPr>
          <w:sz w:val="24"/>
          <w:szCs w:val="24"/>
        </w:rPr>
        <w:t>п</w:t>
      </w:r>
      <w:r w:rsidRPr="009A09E8">
        <w:rPr>
          <w:color w:val="000000"/>
          <w:sz w:val="24"/>
          <w:szCs w:val="24"/>
        </w:rPr>
        <w:t>роцентных расходов – на 37,5 млн руб. (+21,6</w:t>
      </w:r>
      <w:r>
        <w:rPr>
          <w:color w:val="000000"/>
          <w:sz w:val="24"/>
          <w:szCs w:val="24"/>
        </w:rPr>
        <w:t>%), до 210,7 млн руб.</w:t>
      </w:r>
      <w:r w:rsidRPr="009A09E8">
        <w:rPr>
          <w:color w:val="000000"/>
          <w:sz w:val="24"/>
          <w:szCs w:val="24"/>
        </w:rPr>
        <w:t xml:space="preserve"> Таким образом, </w:t>
      </w:r>
      <w:r>
        <w:rPr>
          <w:color w:val="000000"/>
          <w:sz w:val="24"/>
          <w:szCs w:val="24"/>
        </w:rPr>
        <w:t>от</w:t>
      </w:r>
      <w:r w:rsidRPr="009A09E8">
        <w:rPr>
          <w:color w:val="000000"/>
          <w:sz w:val="24"/>
          <w:szCs w:val="24"/>
        </w:rPr>
        <w:t xml:space="preserve"> </w:t>
      </w:r>
      <w:r w:rsidRPr="009A09E8">
        <w:rPr>
          <w:sz w:val="24"/>
          <w:szCs w:val="24"/>
        </w:rPr>
        <w:t xml:space="preserve">основной банковской деятельности </w:t>
      </w:r>
      <w:r>
        <w:rPr>
          <w:sz w:val="24"/>
          <w:szCs w:val="24"/>
        </w:rPr>
        <w:t>был получен чистый доход</w:t>
      </w:r>
      <w:r w:rsidRPr="009A09E8">
        <w:rPr>
          <w:sz w:val="24"/>
          <w:szCs w:val="24"/>
        </w:rPr>
        <w:t xml:space="preserve"> в объёме </w:t>
      </w:r>
      <w:r>
        <w:rPr>
          <w:sz w:val="24"/>
          <w:szCs w:val="24"/>
        </w:rPr>
        <w:br/>
      </w:r>
      <w:r w:rsidRPr="009A09E8">
        <w:rPr>
          <w:sz w:val="24"/>
          <w:szCs w:val="24"/>
        </w:rPr>
        <w:t>166,0 млн руб., что на 15,1 млн руб., или на 8,3%, ниже прошлогодне</w:t>
      </w:r>
      <w:r>
        <w:rPr>
          <w:sz w:val="24"/>
          <w:szCs w:val="24"/>
        </w:rPr>
        <w:t>го результата</w:t>
      </w:r>
      <w:r w:rsidRPr="009A09E8">
        <w:rPr>
          <w:sz w:val="24"/>
          <w:szCs w:val="24"/>
        </w:rPr>
        <w:t>.</w:t>
      </w:r>
    </w:p>
    <w:p w:rsidR="00C20988" w:rsidRPr="00636CF3" w:rsidRDefault="00C20988" w:rsidP="000D5444">
      <w:pPr>
        <w:pStyle w:val="Header"/>
        <w:widowControl w:val="0"/>
        <w:ind w:firstLine="425"/>
        <w:jc w:val="both"/>
        <w:rPr>
          <w:color w:val="000000"/>
          <w:sz w:val="4"/>
          <w:szCs w:val="2"/>
        </w:rPr>
      </w:pPr>
      <w:r w:rsidRPr="00636CF3">
        <w:rPr>
          <w:sz w:val="24"/>
          <w:szCs w:val="22"/>
        </w:rPr>
        <w:t>Процентные доходы по кредитам</w:t>
      </w:r>
      <w:r>
        <w:rPr>
          <w:sz w:val="24"/>
          <w:szCs w:val="22"/>
        </w:rPr>
        <w:t>, выданным юридическим</w:t>
      </w:r>
      <w:r w:rsidRPr="00636CF3">
        <w:rPr>
          <w:sz w:val="24"/>
          <w:szCs w:val="22"/>
        </w:rPr>
        <w:t xml:space="preserve"> лиц</w:t>
      </w:r>
      <w:r>
        <w:rPr>
          <w:sz w:val="24"/>
          <w:szCs w:val="22"/>
        </w:rPr>
        <w:t>ам,</w:t>
      </w:r>
      <w:r w:rsidRPr="00636CF3">
        <w:rPr>
          <w:sz w:val="24"/>
          <w:szCs w:val="22"/>
        </w:rPr>
        <w:t xml:space="preserve"> возросли на </w:t>
      </w:r>
      <w:r>
        <w:rPr>
          <w:sz w:val="24"/>
          <w:szCs w:val="22"/>
        </w:rPr>
        <w:br/>
      </w:r>
      <w:r w:rsidRPr="00636CF3">
        <w:rPr>
          <w:color w:val="000000"/>
          <w:sz w:val="24"/>
          <w:szCs w:val="22"/>
        </w:rPr>
        <w:t>13,3 млн руб. (+</w:t>
      </w:r>
      <w:r w:rsidRPr="00636CF3">
        <w:rPr>
          <w:sz w:val="24"/>
          <w:szCs w:val="22"/>
        </w:rPr>
        <w:t>6,7</w:t>
      </w:r>
      <w:r w:rsidRPr="00636CF3">
        <w:rPr>
          <w:color w:val="000000"/>
          <w:sz w:val="24"/>
          <w:szCs w:val="22"/>
        </w:rPr>
        <w:t xml:space="preserve">%), до 212,7 млн руб. Вместе с тем затраты на обслуживание корпоративных счетов и депозитов </w:t>
      </w:r>
      <w:r>
        <w:rPr>
          <w:color w:val="000000"/>
          <w:sz w:val="24"/>
          <w:szCs w:val="22"/>
        </w:rPr>
        <w:t>увеличились</w:t>
      </w:r>
      <w:r w:rsidRPr="00636CF3">
        <w:rPr>
          <w:color w:val="000000"/>
          <w:sz w:val="24"/>
          <w:szCs w:val="22"/>
        </w:rPr>
        <w:t xml:space="preserve"> на 23,3 млн руб. (+35,2%), до 89,5 млн руб. Таким образом, положительное сальдо по депозитно-кредитным операциям с хозяйствующими субъектами уменьшилось на 10,0 млн руб. (-7,5%), сложившись в объёме 123,3 млн руб.</w:t>
      </w:r>
    </w:p>
    <w:p w:rsidR="00C20988" w:rsidRPr="00636CF3" w:rsidRDefault="00C20988" w:rsidP="000D5444">
      <w:pPr>
        <w:pStyle w:val="Header"/>
        <w:widowControl w:val="0"/>
        <w:ind w:firstLine="425"/>
        <w:jc w:val="both"/>
        <w:rPr>
          <w:sz w:val="24"/>
          <w:szCs w:val="22"/>
        </w:rPr>
      </w:pPr>
      <w:r w:rsidRPr="00636CF3">
        <w:rPr>
          <w:color w:val="000000"/>
          <w:sz w:val="24"/>
          <w:szCs w:val="22"/>
        </w:rPr>
        <w:t xml:space="preserve">Полученный банками чистый процентный доход от операций с населением </w:t>
      </w:r>
      <w:r>
        <w:rPr>
          <w:color w:val="000000"/>
          <w:sz w:val="24"/>
          <w:szCs w:val="22"/>
        </w:rPr>
        <w:br/>
      </w:r>
      <w:r w:rsidRPr="00636CF3">
        <w:rPr>
          <w:color w:val="000000"/>
          <w:sz w:val="24"/>
          <w:szCs w:val="22"/>
        </w:rPr>
        <w:t>(38,4 млн руб.) уступил базисному значению 32,5%, или 18,5 млн руб.</w:t>
      </w:r>
      <w:r w:rsidRPr="00636CF3">
        <w:rPr>
          <w:noProof/>
          <w:sz w:val="24"/>
          <w:szCs w:val="22"/>
        </w:rPr>
        <w:t xml:space="preserve"> Это стало следствием значительного роста </w:t>
      </w:r>
      <w:r w:rsidRPr="00636CF3">
        <w:rPr>
          <w:color w:val="000000"/>
          <w:sz w:val="24"/>
          <w:szCs w:val="22"/>
        </w:rPr>
        <w:t xml:space="preserve">расходов по счетам и депозитам населения (+25,7 млн руб., или +28,4%, до 116,2 млн руб.). Доходы от кредитования физических лиц характеризовались </w:t>
      </w:r>
      <w:r>
        <w:rPr>
          <w:color w:val="000000"/>
          <w:sz w:val="24"/>
          <w:szCs w:val="22"/>
        </w:rPr>
        <w:t xml:space="preserve">более </w:t>
      </w:r>
      <w:r w:rsidRPr="00636CF3">
        <w:rPr>
          <w:color w:val="000000"/>
          <w:sz w:val="24"/>
          <w:szCs w:val="22"/>
        </w:rPr>
        <w:t>умеренной динамикой (+7,2 млн руб., или +4,9%, до 154,6 млн руб</w:t>
      </w:r>
      <w:r w:rsidRPr="00636CF3">
        <w:rPr>
          <w:sz w:val="24"/>
          <w:szCs w:val="22"/>
        </w:rPr>
        <w:t>.).</w:t>
      </w:r>
    </w:p>
    <w:p w:rsidR="00C20988" w:rsidRPr="00636CF3" w:rsidRDefault="00C20988" w:rsidP="000D5444">
      <w:pPr>
        <w:pStyle w:val="Header"/>
        <w:widowControl w:val="0"/>
        <w:ind w:firstLine="425"/>
        <w:jc w:val="both"/>
        <w:rPr>
          <w:color w:val="000000"/>
          <w:sz w:val="24"/>
          <w:szCs w:val="22"/>
        </w:rPr>
      </w:pPr>
      <w:r w:rsidRPr="00636CF3">
        <w:rPr>
          <w:color w:val="000000"/>
          <w:sz w:val="24"/>
          <w:szCs w:val="22"/>
        </w:rPr>
        <w:t xml:space="preserve">Вследствие </w:t>
      </w:r>
      <w:r>
        <w:rPr>
          <w:color w:val="000000"/>
          <w:sz w:val="24"/>
          <w:szCs w:val="22"/>
        </w:rPr>
        <w:t>опережающего</w:t>
      </w:r>
      <w:r w:rsidRPr="00636CF3">
        <w:rPr>
          <w:color w:val="000000"/>
          <w:sz w:val="24"/>
          <w:szCs w:val="22"/>
        </w:rPr>
        <w:t xml:space="preserve"> роста процентных доходов по сравнению с увеличением работающих активов (+2,1% к среднему уровню предыдущего года) спред процентных доходов и расходов</w:t>
      </w:r>
      <w:r w:rsidRPr="00636CF3">
        <w:rPr>
          <w:rStyle w:val="FootnoteReference"/>
          <w:color w:val="000000"/>
          <w:sz w:val="24"/>
          <w:szCs w:val="22"/>
        </w:rPr>
        <w:footnoteReference w:id="20"/>
      </w:r>
      <w:r w:rsidRPr="00636CF3">
        <w:rPr>
          <w:color w:val="000000"/>
          <w:sz w:val="24"/>
          <w:szCs w:val="22"/>
        </w:rPr>
        <w:t xml:space="preserve"> увеличился с 5,3 п.п. в 2017 год</w:t>
      </w:r>
      <w:r>
        <w:rPr>
          <w:color w:val="000000"/>
          <w:sz w:val="24"/>
          <w:szCs w:val="22"/>
        </w:rPr>
        <w:t>у</w:t>
      </w:r>
      <w:r w:rsidRPr="00636CF3">
        <w:rPr>
          <w:color w:val="000000"/>
          <w:sz w:val="24"/>
          <w:szCs w:val="22"/>
        </w:rPr>
        <w:t xml:space="preserve"> до 5,6 п.п. в </w:t>
      </w:r>
      <w:r>
        <w:rPr>
          <w:color w:val="000000"/>
          <w:sz w:val="24"/>
          <w:szCs w:val="22"/>
        </w:rPr>
        <w:t>отчётном</w:t>
      </w:r>
      <w:r w:rsidRPr="00636CF3">
        <w:rPr>
          <w:color w:val="000000"/>
          <w:sz w:val="24"/>
          <w:szCs w:val="22"/>
        </w:rPr>
        <w:t xml:space="preserve"> году. </w:t>
      </w:r>
    </w:p>
    <w:p w:rsidR="00C20988" w:rsidRPr="00636CF3" w:rsidRDefault="00C20988" w:rsidP="000D5444">
      <w:pPr>
        <w:widowControl w:val="0"/>
        <w:ind w:firstLine="425"/>
        <w:jc w:val="both"/>
        <w:rPr>
          <w:color w:val="000000"/>
          <w:sz w:val="24"/>
          <w:szCs w:val="22"/>
        </w:rPr>
      </w:pPr>
      <w:r w:rsidRPr="00636CF3">
        <w:rPr>
          <w:color w:val="000000"/>
          <w:sz w:val="24"/>
          <w:szCs w:val="22"/>
        </w:rPr>
        <w:t>В условиях стабилизации ситуации на валютном рынке от операций по торговле иностранной валютой банки получили доходов на 10,1% (</w:t>
      </w:r>
      <w:r>
        <w:rPr>
          <w:color w:val="000000"/>
          <w:sz w:val="24"/>
          <w:szCs w:val="22"/>
        </w:rPr>
        <w:t xml:space="preserve">или на </w:t>
      </w:r>
      <w:r w:rsidRPr="00636CF3">
        <w:rPr>
          <w:color w:val="000000"/>
          <w:sz w:val="24"/>
          <w:szCs w:val="22"/>
        </w:rPr>
        <w:t xml:space="preserve">45,4 млн руб.) меньше, чем годом ранее </w:t>
      </w:r>
      <w:r>
        <w:rPr>
          <w:color w:val="000000"/>
          <w:sz w:val="24"/>
          <w:szCs w:val="22"/>
        </w:rPr>
        <w:t xml:space="preserve">– </w:t>
      </w:r>
      <w:r w:rsidRPr="00636CF3">
        <w:rPr>
          <w:color w:val="000000"/>
          <w:sz w:val="24"/>
          <w:szCs w:val="22"/>
        </w:rPr>
        <w:t xml:space="preserve">403,1 млн руб. Соответствующие расходы сократились на 14,7% </w:t>
      </w:r>
      <w:r>
        <w:rPr>
          <w:color w:val="000000"/>
          <w:sz w:val="24"/>
          <w:szCs w:val="22"/>
        </w:rPr>
        <w:br/>
      </w:r>
      <w:r w:rsidRPr="00636CF3">
        <w:rPr>
          <w:color w:val="000000"/>
          <w:sz w:val="24"/>
          <w:szCs w:val="22"/>
        </w:rPr>
        <w:t>(-49,7 млн руб.), до 288,0 млн руб. Таким образом</w:t>
      </w:r>
      <w:r>
        <w:rPr>
          <w:color w:val="000000"/>
          <w:sz w:val="24"/>
          <w:szCs w:val="22"/>
        </w:rPr>
        <w:t>,</w:t>
      </w:r>
      <w:r w:rsidRPr="00636CF3">
        <w:rPr>
          <w:color w:val="000000"/>
          <w:sz w:val="24"/>
          <w:szCs w:val="22"/>
        </w:rPr>
        <w:t xml:space="preserve"> в процессе совершения конверсионных операций банковской системой был получен чистый доход в размере 115,1 млн руб. </w:t>
      </w:r>
      <w:r>
        <w:rPr>
          <w:color w:val="000000"/>
          <w:sz w:val="24"/>
          <w:szCs w:val="22"/>
        </w:rPr>
        <w:br/>
      </w:r>
      <w:r w:rsidRPr="00636CF3">
        <w:rPr>
          <w:color w:val="000000"/>
          <w:sz w:val="24"/>
          <w:szCs w:val="22"/>
        </w:rPr>
        <w:t xml:space="preserve">(110,7 млн руб. в 2017 году). </w:t>
      </w:r>
    </w:p>
    <w:p w:rsidR="00C20988" w:rsidRDefault="00C20988" w:rsidP="000D5444">
      <w:pPr>
        <w:widowControl w:val="0"/>
        <w:ind w:firstLine="425"/>
        <w:jc w:val="both"/>
        <w:rPr>
          <w:color w:val="000000"/>
          <w:sz w:val="24"/>
          <w:szCs w:val="22"/>
        </w:rPr>
      </w:pPr>
      <w:r w:rsidRPr="00636CF3">
        <w:rPr>
          <w:sz w:val="24"/>
          <w:szCs w:val="22"/>
        </w:rPr>
        <w:t xml:space="preserve">Чистый комиссионный доход за отчётный период вырос на 6,7%, до 163,5 млн руб., </w:t>
      </w:r>
      <w:r w:rsidRPr="00636CF3">
        <w:rPr>
          <w:color w:val="000000"/>
          <w:sz w:val="24"/>
          <w:szCs w:val="22"/>
        </w:rPr>
        <w:t>что соответствует 57,</w:t>
      </w:r>
      <w:r>
        <w:rPr>
          <w:color w:val="000000"/>
          <w:sz w:val="24"/>
          <w:szCs w:val="22"/>
        </w:rPr>
        <w:t>1</w:t>
      </w:r>
      <w:r w:rsidRPr="00636CF3">
        <w:rPr>
          <w:color w:val="000000"/>
          <w:sz w:val="24"/>
          <w:szCs w:val="22"/>
        </w:rPr>
        <w:t>% сальдо по непроцентным операциям, которое по итогам 2018 года составило 286,4 млн руб.</w:t>
      </w:r>
      <w:r w:rsidRPr="009A09E8">
        <w:rPr>
          <w:color w:val="000000"/>
          <w:sz w:val="24"/>
          <w:szCs w:val="22"/>
        </w:rPr>
        <w:t xml:space="preserve"> Ключевые направления роста доходов – расчётно-кассовые и «карточные» операции с физическими и юридическими лицами – обусловлены повышением деловой активности и расширением финансовой доступности банковских услуг.</w:t>
      </w:r>
    </w:p>
    <w:p w:rsidR="00C20988" w:rsidRDefault="00C20988" w:rsidP="000D5444">
      <w:pPr>
        <w:widowControl w:val="0"/>
        <w:ind w:firstLine="425"/>
        <w:jc w:val="both"/>
        <w:rPr>
          <w:color w:val="000000"/>
          <w:sz w:val="24"/>
          <w:szCs w:val="22"/>
        </w:rPr>
      </w:pPr>
    </w:p>
    <w:p w:rsidR="00C20988" w:rsidRPr="00EF30AD" w:rsidRDefault="00C20988" w:rsidP="00E44746">
      <w:pPr>
        <w:pStyle w:val="BodyTextIndent"/>
        <w:spacing w:before="120"/>
        <w:ind w:left="425" w:firstLine="1"/>
        <w:rPr>
          <w:i/>
          <w:sz w:val="24"/>
          <w:szCs w:val="24"/>
        </w:rPr>
      </w:pPr>
      <w:r w:rsidRPr="00EF30AD">
        <w:rPr>
          <w:i/>
          <w:sz w:val="24"/>
          <w:szCs w:val="24"/>
        </w:rPr>
        <w:t>Страховой рынок</w:t>
      </w:r>
    </w:p>
    <w:p w:rsidR="00C20988" w:rsidRPr="00EF30AD" w:rsidRDefault="00C20988" w:rsidP="00F17988">
      <w:pPr>
        <w:ind w:firstLine="425"/>
        <w:jc w:val="both"/>
        <w:rPr>
          <w:color w:val="000000"/>
          <w:sz w:val="24"/>
          <w:szCs w:val="22"/>
        </w:rPr>
      </w:pPr>
      <w:r w:rsidRPr="00EF30AD">
        <w:rPr>
          <w:color w:val="000000"/>
          <w:sz w:val="24"/>
          <w:szCs w:val="22"/>
        </w:rPr>
        <w:t xml:space="preserve">По состоянию на 1 января 2019 года на территории республики функционировали три страховые организации. Средняя численность занятых в данной отрасли составила </w:t>
      </w:r>
      <w:r w:rsidRPr="00EF30AD">
        <w:rPr>
          <w:color w:val="000000"/>
          <w:sz w:val="24"/>
          <w:szCs w:val="22"/>
        </w:rPr>
        <w:br/>
        <w:t>64 человека, из которых 11 – страховые агенты.</w:t>
      </w:r>
    </w:p>
    <w:p w:rsidR="00C20988" w:rsidRPr="00EF30AD" w:rsidRDefault="00C20988" w:rsidP="00F17988">
      <w:pPr>
        <w:ind w:firstLine="425"/>
        <w:jc w:val="both"/>
        <w:rPr>
          <w:color w:val="FF0000"/>
          <w:sz w:val="24"/>
          <w:szCs w:val="22"/>
        </w:rPr>
      </w:pPr>
      <w:r w:rsidRPr="00EF30AD">
        <w:rPr>
          <w:color w:val="000000"/>
          <w:sz w:val="24"/>
          <w:szCs w:val="22"/>
        </w:rPr>
        <w:t xml:space="preserve">На конец декабря 2018 года уставный капитал страховых </w:t>
      </w:r>
      <w:r w:rsidRPr="00EF30AD">
        <w:rPr>
          <w:sz w:val="24"/>
          <w:szCs w:val="22"/>
        </w:rPr>
        <w:t xml:space="preserve">организаций составил </w:t>
      </w:r>
      <w:r w:rsidRPr="00EF30AD">
        <w:rPr>
          <w:sz w:val="24"/>
          <w:szCs w:val="22"/>
        </w:rPr>
        <w:br/>
        <w:t>33,9 млн руб., что на 13,4% меньше уровня предыдущего года в связи с сокращением количества действующих организаций</w:t>
      </w:r>
      <w:r w:rsidRPr="00EF30AD">
        <w:rPr>
          <w:color w:val="FF0000"/>
          <w:sz w:val="24"/>
          <w:szCs w:val="22"/>
        </w:rPr>
        <w:t>.</w:t>
      </w:r>
    </w:p>
    <w:p w:rsidR="00C20988" w:rsidRPr="00EF30AD" w:rsidRDefault="00C20988" w:rsidP="00F17988">
      <w:pPr>
        <w:ind w:firstLine="425"/>
        <w:jc w:val="both"/>
        <w:rPr>
          <w:color w:val="000000"/>
          <w:sz w:val="24"/>
          <w:szCs w:val="22"/>
        </w:rPr>
      </w:pPr>
      <w:r w:rsidRPr="00EF30AD">
        <w:rPr>
          <w:color w:val="000000"/>
          <w:sz w:val="24"/>
          <w:szCs w:val="22"/>
        </w:rPr>
        <w:t xml:space="preserve">За 2018 год страховщиками было заключено 153 765 договоров, что на 21,0% меньше, чем год назад. При этом в результате вступления в силу 10 мая 2017 года Закона ПМР «Об обязательном страховании гражданской ответственности владельцев транспортных средств» количество договоров по обязательному страхованию увеличилось на треть, до 80 045 единиц, по добровольному страхованию, напротив, сократилось практически вдвое, до 73 720 единиц. </w:t>
      </w:r>
    </w:p>
    <w:p w:rsidR="00C20988" w:rsidRPr="00EF30AD" w:rsidRDefault="00C20988" w:rsidP="00F17988">
      <w:pPr>
        <w:ind w:firstLine="425"/>
        <w:jc w:val="both"/>
        <w:rPr>
          <w:sz w:val="24"/>
          <w:szCs w:val="22"/>
        </w:rPr>
      </w:pPr>
      <w:r w:rsidRPr="00EF30AD">
        <w:rPr>
          <w:color w:val="000000"/>
          <w:sz w:val="24"/>
          <w:szCs w:val="22"/>
        </w:rPr>
        <w:t xml:space="preserve">Сумма страховых взносов в </w:t>
      </w:r>
      <w:r w:rsidRPr="00EF30AD">
        <w:rPr>
          <w:sz w:val="24"/>
          <w:szCs w:val="22"/>
        </w:rPr>
        <w:t>2018 году составила 55,7 млн руб. (+0,1%), из них по договорам обязательного страхования гражданской ответственности владельцев транспортных средств – 27,5 млн руб. (+33,6%), добровольного страхования имущества юридических лиц – 24,7 млн руб. (-16,3%).</w:t>
      </w:r>
    </w:p>
    <w:p w:rsidR="00C20988" w:rsidRPr="00EF30AD" w:rsidRDefault="00C20988" w:rsidP="00F17988">
      <w:pPr>
        <w:ind w:firstLine="425"/>
        <w:jc w:val="both"/>
        <w:rPr>
          <w:color w:val="000000"/>
          <w:sz w:val="24"/>
          <w:szCs w:val="22"/>
        </w:rPr>
      </w:pPr>
      <w:r w:rsidRPr="00EF30AD">
        <w:rPr>
          <w:color w:val="000000"/>
          <w:sz w:val="24"/>
          <w:szCs w:val="22"/>
        </w:rPr>
        <w:t xml:space="preserve">Объём страховых выплат страховщиков по всем видам страхования составил </w:t>
      </w:r>
      <w:r w:rsidRPr="00EF30AD">
        <w:rPr>
          <w:color w:val="000000"/>
          <w:sz w:val="24"/>
          <w:szCs w:val="22"/>
        </w:rPr>
        <w:br/>
        <w:t>12,1 млн руб. (+15,9% к значению 2017 года), большинство из которых (72,4% совокупного показателя) – это выплаты по договорам обязательного страхования гражданской ответственности владельцев транспортных средств – 8,8 млн руб. (рост в 3,4 раза).</w:t>
      </w:r>
    </w:p>
    <w:p w:rsidR="00C20988" w:rsidRPr="00EF30AD" w:rsidRDefault="00C20988" w:rsidP="00F17988">
      <w:pPr>
        <w:ind w:firstLine="425"/>
        <w:jc w:val="both"/>
        <w:rPr>
          <w:color w:val="000000"/>
          <w:sz w:val="24"/>
          <w:szCs w:val="22"/>
        </w:rPr>
      </w:pPr>
      <w:r w:rsidRPr="00EF30AD">
        <w:rPr>
          <w:color w:val="000000"/>
          <w:sz w:val="24"/>
          <w:szCs w:val="22"/>
        </w:rPr>
        <w:t>Коэффициент выплат (отношение страховых выплат к страховым взносам) в целом по всем видам страхования сложился на уровне 21,7%, в том числе по добровольному страхованию – 11,9%, по обязательному – 31,9%.</w:t>
      </w:r>
    </w:p>
    <w:p w:rsidR="00C20988" w:rsidRPr="00EF30AD" w:rsidRDefault="00C20988" w:rsidP="00F17988">
      <w:pPr>
        <w:ind w:firstLine="425"/>
        <w:jc w:val="both"/>
        <w:rPr>
          <w:color w:val="000000"/>
          <w:sz w:val="24"/>
          <w:szCs w:val="22"/>
        </w:rPr>
      </w:pPr>
      <w:r w:rsidRPr="00EF30AD">
        <w:rPr>
          <w:color w:val="000000"/>
          <w:sz w:val="24"/>
          <w:szCs w:val="22"/>
        </w:rPr>
        <w:t xml:space="preserve">Страховые резервы страховщиков на конец декабря 2018 года достигли </w:t>
      </w:r>
      <w:r w:rsidRPr="00EF30AD">
        <w:rPr>
          <w:color w:val="000000"/>
          <w:sz w:val="24"/>
          <w:szCs w:val="22"/>
        </w:rPr>
        <w:br/>
        <w:t xml:space="preserve">37,6 млн руб., увеличившись за год на 15,6% (+5,1 млн руб.). </w:t>
      </w:r>
    </w:p>
    <w:p w:rsidR="00C20988" w:rsidRPr="00EB7F6F" w:rsidRDefault="00C20988" w:rsidP="00F17988">
      <w:pPr>
        <w:ind w:firstLine="425"/>
        <w:jc w:val="both"/>
        <w:rPr>
          <w:color w:val="000000"/>
          <w:sz w:val="24"/>
          <w:szCs w:val="22"/>
        </w:rPr>
      </w:pPr>
      <w:r w:rsidRPr="00EF30AD">
        <w:rPr>
          <w:color w:val="000000"/>
          <w:sz w:val="24"/>
          <w:szCs w:val="22"/>
        </w:rPr>
        <w:t xml:space="preserve">Финансовые итоги деятельности страховых компаний республики в 2018 году характеризовались получением прибыли в размере 3,8 млн руб., тогда как годом ранее ими был допущен убыток в сумме 4,7 млн руб. После расчётов с бюджетом по налогам в распоряжении страховых организаций осталась чистая прибыль в размере 0,8 млн руб. </w:t>
      </w:r>
      <w:r w:rsidRPr="00EF30AD">
        <w:rPr>
          <w:color w:val="000000"/>
          <w:sz w:val="24"/>
          <w:szCs w:val="22"/>
        </w:rPr>
        <w:br/>
        <w:t>(-7,7 млн руб. в базисном периоде).</w:t>
      </w:r>
    </w:p>
    <w:p w:rsidR="00C20988" w:rsidRPr="00844210" w:rsidRDefault="00C20988" w:rsidP="00DC0A7D">
      <w:pPr>
        <w:widowControl w:val="0"/>
        <w:ind w:firstLine="425"/>
        <w:jc w:val="both"/>
        <w:rPr>
          <w:sz w:val="24"/>
          <w:szCs w:val="24"/>
        </w:rPr>
      </w:pPr>
    </w:p>
    <w:p w:rsidR="00C20988" w:rsidRDefault="00C20988" w:rsidP="00715F41">
      <w:pPr>
        <w:widowControl w:val="0"/>
        <w:numPr>
          <w:ilvl w:val="1"/>
          <w:numId w:val="1"/>
        </w:numPr>
        <w:jc w:val="both"/>
        <w:rPr>
          <w:b/>
          <w:bCs/>
          <w:noProof/>
          <w:sz w:val="24"/>
          <w:szCs w:val="24"/>
        </w:rPr>
      </w:pPr>
      <w:r w:rsidRPr="00E85DD7">
        <w:rPr>
          <w:b/>
          <w:bCs/>
          <w:noProof/>
          <w:sz w:val="24"/>
          <w:szCs w:val="24"/>
        </w:rPr>
        <w:t>ПЛАТЁЖНАЯ СИСТЕМА</w:t>
      </w:r>
    </w:p>
    <w:p w:rsidR="00C20988" w:rsidRPr="0020538B" w:rsidRDefault="00C20988" w:rsidP="00172879">
      <w:pPr>
        <w:spacing w:before="120"/>
        <w:ind w:firstLine="425"/>
        <w:jc w:val="both"/>
        <w:rPr>
          <w:sz w:val="24"/>
          <w:szCs w:val="24"/>
          <w:highlight w:val="yellow"/>
        </w:rPr>
      </w:pPr>
      <w:r w:rsidRPr="00456434">
        <w:rPr>
          <w:sz w:val="24"/>
          <w:szCs w:val="24"/>
        </w:rPr>
        <w:t xml:space="preserve">Расчётные операции между кредитными организациями осуществлялись посредством поддержания корреспондентских отношений. Количество корреспондентских счетов </w:t>
      </w:r>
      <w:r>
        <w:rPr>
          <w:sz w:val="24"/>
          <w:szCs w:val="24"/>
        </w:rPr>
        <w:t xml:space="preserve">коммерческих банков Приднестровья </w:t>
      </w:r>
      <w:r w:rsidRPr="00456434">
        <w:rPr>
          <w:sz w:val="24"/>
          <w:szCs w:val="24"/>
        </w:rPr>
        <w:t>на</w:t>
      </w:r>
      <w:r>
        <w:rPr>
          <w:sz w:val="24"/>
          <w:szCs w:val="24"/>
        </w:rPr>
        <w:t xml:space="preserve"> </w:t>
      </w:r>
      <w:r w:rsidRPr="00456434">
        <w:rPr>
          <w:sz w:val="24"/>
          <w:szCs w:val="24"/>
        </w:rPr>
        <w:t>1 января 2019 года составило 217. Основная их часть (174 счета, или 80,2% общего числа) была открыта в зарубежных банках.</w:t>
      </w:r>
    </w:p>
    <w:p w:rsidR="00C20988" w:rsidRPr="00456434" w:rsidRDefault="00C20988" w:rsidP="00456434">
      <w:pPr>
        <w:ind w:firstLine="425"/>
        <w:jc w:val="both"/>
        <w:rPr>
          <w:sz w:val="24"/>
          <w:szCs w:val="24"/>
        </w:rPr>
      </w:pPr>
      <w:r w:rsidRPr="00456434">
        <w:rPr>
          <w:sz w:val="24"/>
          <w:szCs w:val="24"/>
        </w:rPr>
        <w:t xml:space="preserve">По состоянию на 1 января 2019 года на приднестровском рынке действуют две отечественные («Радуга», «Национальная платёжная система») и три международные («Виза карт», «Мастер карт», «Мир») платёжные карточные системы (ПС). </w:t>
      </w:r>
    </w:p>
    <w:p w:rsidR="00C20988" w:rsidRPr="00456434" w:rsidRDefault="00C20988" w:rsidP="00456434">
      <w:pPr>
        <w:ind w:firstLine="425"/>
        <w:jc w:val="both"/>
        <w:rPr>
          <w:sz w:val="24"/>
          <w:szCs w:val="24"/>
        </w:rPr>
      </w:pPr>
      <w:r>
        <w:rPr>
          <w:sz w:val="24"/>
          <w:szCs w:val="24"/>
        </w:rPr>
        <w:t>К</w:t>
      </w:r>
      <w:r w:rsidRPr="00456434">
        <w:rPr>
          <w:sz w:val="24"/>
          <w:szCs w:val="24"/>
        </w:rPr>
        <w:t>оличество банковских карт в обращении, выпущенных приднестровскими банками, по состоянию на 1 января 2019 года составило 224,6 шт., что на 22,8% выше уровня, зафиксированного на 1 января 2018 года. Соотношение их количества к совокупной численности населения на конец 2018 года превысило 48% (годом ранее – около 39%).</w:t>
      </w:r>
    </w:p>
    <w:p w:rsidR="00C20988" w:rsidRPr="00456434" w:rsidRDefault="00C20988" w:rsidP="00CA0491">
      <w:pPr>
        <w:ind w:firstLine="425"/>
        <w:jc w:val="both"/>
        <w:rPr>
          <w:sz w:val="24"/>
          <w:szCs w:val="24"/>
        </w:rPr>
      </w:pPr>
      <w:r w:rsidRPr="00456434">
        <w:rPr>
          <w:sz w:val="24"/>
          <w:szCs w:val="24"/>
        </w:rPr>
        <w:t xml:space="preserve">Подавляющее большинство (95,7%) платёжных карт было представлено картами внутренних платёжных систем, количество которых за год увеличилось на 22,8%, до </w:t>
      </w:r>
      <w:r>
        <w:rPr>
          <w:sz w:val="24"/>
          <w:szCs w:val="24"/>
        </w:rPr>
        <w:br/>
      </w:r>
      <w:r w:rsidRPr="00456434">
        <w:rPr>
          <w:sz w:val="24"/>
          <w:szCs w:val="24"/>
        </w:rPr>
        <w:t xml:space="preserve">215,1 тыс. штук. На одного пользователя </w:t>
      </w:r>
      <w:r>
        <w:rPr>
          <w:sz w:val="24"/>
          <w:szCs w:val="24"/>
        </w:rPr>
        <w:t>данных</w:t>
      </w:r>
      <w:r w:rsidRPr="00456434">
        <w:rPr>
          <w:sz w:val="24"/>
          <w:szCs w:val="24"/>
        </w:rPr>
        <w:t xml:space="preserve"> систем приходилось </w:t>
      </w:r>
      <w:r>
        <w:rPr>
          <w:sz w:val="24"/>
          <w:szCs w:val="24"/>
        </w:rPr>
        <w:br/>
      </w:r>
      <w:r w:rsidRPr="00456434">
        <w:rPr>
          <w:sz w:val="24"/>
          <w:szCs w:val="24"/>
        </w:rPr>
        <w:t xml:space="preserve">1,21 карты (1,17 на начало 2018 года), что объясняется наличием у отдельных держателей карт двух локальных платёжных систем и обладанием как дебетовыми, так и кредитными картами. Количество операций, совершённых с использованием локальных карт, возросло за период на 32,4%, до 12 237,7 тысяч. Количество банковских карт ПС «Радуга» расширилось за отчётный год на 28,9% (в 2,5 раза относительно показателя на 01.01.2017), «НПС» – на 8,6% (+14,4% соответственно). </w:t>
      </w:r>
    </w:p>
    <w:p w:rsidR="00C20988" w:rsidRPr="00456434" w:rsidRDefault="00C20988" w:rsidP="00CA0491">
      <w:pPr>
        <w:ind w:firstLine="425"/>
        <w:jc w:val="both"/>
        <w:rPr>
          <w:sz w:val="24"/>
          <w:szCs w:val="24"/>
        </w:rPr>
      </w:pPr>
      <w:r w:rsidRPr="00456434">
        <w:rPr>
          <w:sz w:val="24"/>
          <w:szCs w:val="24"/>
        </w:rPr>
        <w:t xml:space="preserve">Наряду с активным развитием внутренних платёжных систем повышательной динамикой характеризовались операции по картам международных операторов «Виза карт» и «Мастер карт», эмиссию и эквайринг которых осуществляют приднестровские банки. По состоянию на 1 января 2019 года количество эмитированных банками ПМР данных международных карт составило 9,5 тыс. шт., или 4,3% общего числа выпущенных в </w:t>
      </w:r>
      <w:r>
        <w:rPr>
          <w:sz w:val="24"/>
          <w:szCs w:val="24"/>
        </w:rPr>
        <w:t>Приднестровье</w:t>
      </w:r>
      <w:r w:rsidRPr="00456434">
        <w:rPr>
          <w:sz w:val="24"/>
          <w:szCs w:val="24"/>
        </w:rPr>
        <w:t xml:space="preserve"> карт, и по сравнению с</w:t>
      </w:r>
      <w:r>
        <w:rPr>
          <w:sz w:val="24"/>
          <w:szCs w:val="24"/>
        </w:rPr>
        <w:t xml:space="preserve"> </w:t>
      </w:r>
      <w:r w:rsidRPr="00456434">
        <w:rPr>
          <w:sz w:val="24"/>
          <w:szCs w:val="24"/>
        </w:rPr>
        <w:t>1 января 2018 г</w:t>
      </w:r>
      <w:r>
        <w:rPr>
          <w:sz w:val="24"/>
          <w:szCs w:val="24"/>
        </w:rPr>
        <w:t xml:space="preserve">ода возросло на 23,2%. Также в республике </w:t>
      </w:r>
      <w:r w:rsidRPr="00456434">
        <w:rPr>
          <w:sz w:val="24"/>
          <w:szCs w:val="24"/>
        </w:rPr>
        <w:t xml:space="preserve">производились операции с использованием банковских карт ПС «Мир», эквайринг которых на территории республики осуществляется с конца 2017 года. В отчётном периоде отмечено увеличение количества операций по международным картам на 45,7%, до 375,6 тысяч, из которых количество транзакций через ПС «Мир» </w:t>
      </w:r>
      <w:r>
        <w:rPr>
          <w:sz w:val="24"/>
          <w:szCs w:val="24"/>
        </w:rPr>
        <w:t>составило</w:t>
      </w:r>
      <w:r w:rsidRPr="00456434">
        <w:rPr>
          <w:sz w:val="24"/>
          <w:szCs w:val="24"/>
        </w:rPr>
        <w:t xml:space="preserve"> 29,7 тысяч. </w:t>
      </w:r>
    </w:p>
    <w:p w:rsidR="00C20988" w:rsidRPr="00456434" w:rsidRDefault="00C20988" w:rsidP="00456434">
      <w:pPr>
        <w:ind w:firstLine="425"/>
        <w:jc w:val="both"/>
        <w:rPr>
          <w:sz w:val="24"/>
          <w:szCs w:val="24"/>
        </w:rPr>
      </w:pPr>
      <w:r w:rsidRPr="00456434">
        <w:rPr>
          <w:sz w:val="24"/>
          <w:szCs w:val="24"/>
        </w:rPr>
        <w:t xml:space="preserve">В целом в отчётном году количество операций, совершённых с использованием карт </w:t>
      </w:r>
      <w:r>
        <w:rPr>
          <w:sz w:val="24"/>
          <w:szCs w:val="24"/>
        </w:rPr>
        <w:br/>
      </w:r>
      <w:r w:rsidRPr="00456434">
        <w:rPr>
          <w:sz w:val="24"/>
          <w:szCs w:val="24"/>
        </w:rPr>
        <w:t xml:space="preserve">(с учётом операций по выдаче наличных денежных средств), возросло на 32,8%, до </w:t>
      </w:r>
      <w:r>
        <w:rPr>
          <w:sz w:val="24"/>
          <w:szCs w:val="24"/>
        </w:rPr>
        <w:br/>
      </w:r>
      <w:r w:rsidRPr="00456434">
        <w:rPr>
          <w:sz w:val="24"/>
          <w:szCs w:val="24"/>
        </w:rPr>
        <w:t xml:space="preserve">12,6 млн транзакций. При этом 83,8% операций приходилось на ПС «Радуга», 13,2% – на </w:t>
      </w:r>
      <w:r>
        <w:rPr>
          <w:sz w:val="24"/>
          <w:szCs w:val="24"/>
        </w:rPr>
        <w:br/>
      </w:r>
      <w:r w:rsidRPr="00456434">
        <w:rPr>
          <w:sz w:val="24"/>
          <w:szCs w:val="24"/>
        </w:rPr>
        <w:t>ПС «Национальная платёжная система», 3,0% – на карты международных операторов. В денежном выражении совокупный объём операций по картам увеличился на 34,7%, сложившись на уровне 6 197,6 млн руб., из которых 62,2% было проведено через ПС «Радуга». В среднем сумма одной транзакции составила 491,4 руб., что на 1,5% выше уровня 2017 года. Среднемесячные остатки денежных средств на картах (счетах) с начала 2018 года увеличились на 37,5%, до 342,8 млн руб., или 1 526,3 руб. в расчёте на 1 карту (в 2017 году – 1 362,8 руб.).</w:t>
      </w:r>
    </w:p>
    <w:p w:rsidR="00C20988" w:rsidRPr="00456434" w:rsidRDefault="00C20988" w:rsidP="00456434">
      <w:pPr>
        <w:ind w:firstLine="425"/>
        <w:jc w:val="both"/>
        <w:rPr>
          <w:sz w:val="24"/>
          <w:szCs w:val="24"/>
        </w:rPr>
      </w:pPr>
      <w:r w:rsidRPr="00456434">
        <w:rPr>
          <w:sz w:val="24"/>
          <w:szCs w:val="24"/>
        </w:rPr>
        <w:t xml:space="preserve">В разрезе направлений использования средств в количественном представлении процентное соотношение между операциями по оплате товаров и выдаче наличных сложилось на уровне 57,9% против 42,1% (54,4% против 45,6% годом ранее). Вместе с тем в денежном выражении операции по снятию наличности продолжают превалировать: 82,3% от общего объёма, или 5 102,8 млн руб., из которых 37,2% было обналичено с использованием банкоматов. В среднем за одну транзакцию обналичивалось 964,8 руб. (906,3 руб. в </w:t>
      </w:r>
      <w:r>
        <w:rPr>
          <w:sz w:val="24"/>
          <w:szCs w:val="24"/>
        </w:rPr>
        <w:br/>
      </w:r>
      <w:r w:rsidRPr="00456434">
        <w:rPr>
          <w:sz w:val="24"/>
          <w:szCs w:val="24"/>
        </w:rPr>
        <w:t>2017 году). Всего же с использованием банкоматов и других программно-технических комплексов было совершено 3 405,1 тысяч (+21,4%) операций по выдаче наличных на сумму 1 898,8 млн руб. (+19,3%). В целом по республике количество подобных технических устройств возросло на 1,9%, до 438 единиц.</w:t>
      </w:r>
    </w:p>
    <w:p w:rsidR="00C20988" w:rsidRPr="00456434" w:rsidRDefault="00C20988" w:rsidP="00456434">
      <w:pPr>
        <w:ind w:firstLine="425"/>
        <w:jc w:val="both"/>
        <w:rPr>
          <w:sz w:val="24"/>
          <w:szCs w:val="24"/>
        </w:rPr>
      </w:pPr>
      <w:r w:rsidRPr="00456434">
        <w:rPr>
          <w:sz w:val="24"/>
          <w:szCs w:val="24"/>
        </w:rPr>
        <w:t xml:space="preserve">Объём операций по оплате товаров (работ, услуг) на территории республики, совершённых с использованием банковских карт, возрос на </w:t>
      </w:r>
      <w:r>
        <w:rPr>
          <w:sz w:val="24"/>
          <w:szCs w:val="24"/>
        </w:rPr>
        <w:t>55,5</w:t>
      </w:r>
      <w:r w:rsidRPr="00456434">
        <w:rPr>
          <w:sz w:val="24"/>
          <w:szCs w:val="24"/>
        </w:rPr>
        <w:t>%, сложившись на уровне 899,3 млн руб. (или 127,2 руб. в среднем на одну покупку), что составляет порядка 9,3% к объёму потребительского рынка ПМР (6,3% по итогам 2017 года).</w:t>
      </w:r>
    </w:p>
    <w:p w:rsidR="00C20988" w:rsidRPr="00456434" w:rsidRDefault="00C20988" w:rsidP="00CA0491">
      <w:pPr>
        <w:ind w:firstLine="425"/>
        <w:jc w:val="both"/>
        <w:rPr>
          <w:sz w:val="24"/>
          <w:szCs w:val="24"/>
        </w:rPr>
      </w:pPr>
      <w:r w:rsidRPr="00456434">
        <w:rPr>
          <w:sz w:val="24"/>
          <w:szCs w:val="24"/>
        </w:rPr>
        <w:t>За последние годы растёт количество операций по переводу денежных средств с карты на карту. Если в 2017 году было зафиксировано 4,6 тысяч таких транзакций, то за 2018 год – уже 29,8 тысяч. При этом объём переведённых средств в денежном выражении увеличился с 4,1 млн руб. за 2017 год до 17,8 млн руб. за 2018 год.</w:t>
      </w:r>
    </w:p>
    <w:p w:rsidR="00C20988" w:rsidRPr="00456434" w:rsidRDefault="00C20988" w:rsidP="00456434">
      <w:pPr>
        <w:ind w:firstLine="425"/>
        <w:jc w:val="both"/>
        <w:rPr>
          <w:sz w:val="24"/>
          <w:szCs w:val="24"/>
        </w:rPr>
      </w:pPr>
      <w:r>
        <w:rPr>
          <w:sz w:val="24"/>
          <w:szCs w:val="24"/>
        </w:rPr>
        <w:t>Р</w:t>
      </w:r>
      <w:r w:rsidRPr="00456434">
        <w:rPr>
          <w:sz w:val="24"/>
          <w:szCs w:val="24"/>
        </w:rPr>
        <w:t xml:space="preserve">азвитию сферы безналичных платежей способствует </w:t>
      </w:r>
      <w:r>
        <w:rPr>
          <w:sz w:val="24"/>
          <w:szCs w:val="24"/>
        </w:rPr>
        <w:t xml:space="preserve">и </w:t>
      </w:r>
      <w:r w:rsidRPr="00456434">
        <w:rPr>
          <w:sz w:val="24"/>
          <w:szCs w:val="24"/>
        </w:rPr>
        <w:t xml:space="preserve">расширение перечня предлагаемых банками услуг и повышение их доступности в республике. Количество клиентов </w:t>
      </w:r>
      <w:r>
        <w:rPr>
          <w:sz w:val="24"/>
          <w:szCs w:val="24"/>
        </w:rPr>
        <w:t>–</w:t>
      </w:r>
      <w:r w:rsidRPr="00456434">
        <w:rPr>
          <w:sz w:val="24"/>
          <w:szCs w:val="24"/>
        </w:rPr>
        <w:t xml:space="preserve"> физических лиц, которым открыты счета в банках ПМР (с учётом того, что одно и то же физическое лицо может иметь счета в нескольких банках), на конец 2018 составило</w:t>
      </w:r>
      <w:r>
        <w:rPr>
          <w:sz w:val="24"/>
          <w:szCs w:val="24"/>
        </w:rPr>
        <w:t xml:space="preserve"> </w:t>
      </w:r>
      <w:r w:rsidRPr="00456434">
        <w:rPr>
          <w:sz w:val="24"/>
          <w:szCs w:val="24"/>
        </w:rPr>
        <w:t>542,1 тыс. человек, в то время как по итогам 2017 года – 440,8 тыс. человек. Таким образом, практически всё взрослое население республики пользуется банковскими услугами.</w:t>
      </w:r>
    </w:p>
    <w:p w:rsidR="00C20988" w:rsidRPr="00456434" w:rsidRDefault="00C20988" w:rsidP="00456434">
      <w:pPr>
        <w:ind w:firstLine="425"/>
        <w:jc w:val="both"/>
        <w:rPr>
          <w:sz w:val="24"/>
          <w:szCs w:val="24"/>
        </w:rPr>
      </w:pPr>
      <w:r w:rsidRPr="00456434">
        <w:rPr>
          <w:sz w:val="24"/>
          <w:szCs w:val="24"/>
        </w:rPr>
        <w:t xml:space="preserve">Количество клиентов, подключённых к интернет-банку, на 31.12.2018 </w:t>
      </w:r>
      <w:r>
        <w:rPr>
          <w:sz w:val="24"/>
          <w:szCs w:val="24"/>
        </w:rPr>
        <w:t xml:space="preserve">достигло </w:t>
      </w:r>
      <w:r>
        <w:rPr>
          <w:sz w:val="24"/>
          <w:szCs w:val="24"/>
        </w:rPr>
        <w:br/>
      </w:r>
      <w:r w:rsidRPr="00456434">
        <w:rPr>
          <w:sz w:val="24"/>
          <w:szCs w:val="24"/>
        </w:rPr>
        <w:t>204,4 тыс. человек (в 2,2 раза больше, чем год назад), или 37,7% от общего количества клиентов</w:t>
      </w:r>
      <w:r>
        <w:rPr>
          <w:sz w:val="24"/>
          <w:szCs w:val="24"/>
        </w:rPr>
        <w:t xml:space="preserve"> – </w:t>
      </w:r>
      <w:r w:rsidRPr="00456434">
        <w:rPr>
          <w:sz w:val="24"/>
          <w:szCs w:val="24"/>
        </w:rPr>
        <w:t>физических лиц, имеющих счета в банках ПМР.</w:t>
      </w:r>
    </w:p>
    <w:p w:rsidR="00C20988" w:rsidRPr="00B42A7F" w:rsidRDefault="00C20988" w:rsidP="00B42A7F">
      <w:pPr>
        <w:ind w:firstLine="425"/>
        <w:jc w:val="both"/>
        <w:rPr>
          <w:sz w:val="24"/>
          <w:szCs w:val="24"/>
        </w:rPr>
      </w:pPr>
      <w:r w:rsidRPr="00B42A7F">
        <w:rPr>
          <w:sz w:val="24"/>
          <w:szCs w:val="24"/>
        </w:rPr>
        <w:t xml:space="preserve">Значительный объём межстрановых финансовых потоков аккумулирован в системах международных денежных переводов (СМДП). В республике функционируют 10 систем денежных переводов, 7 из которых международные («Золотая корона», «Контакт», </w:t>
      </w:r>
      <w:r>
        <w:rPr>
          <w:sz w:val="24"/>
          <w:szCs w:val="24"/>
        </w:rPr>
        <w:br/>
      </w:r>
      <w:r w:rsidRPr="00B42A7F">
        <w:rPr>
          <w:sz w:val="24"/>
          <w:szCs w:val="24"/>
        </w:rPr>
        <w:t xml:space="preserve">«Western Union», «MoneyGram», «Юнистрим», «Близко», «Форсаж») и 3 системы, осуществляющие денежные переводы по республике («Переводы по Приднестровью», «Ракета» и «Мгновенные переводы»). </w:t>
      </w:r>
    </w:p>
    <w:p w:rsidR="00C20988" w:rsidRPr="00B42A7F" w:rsidRDefault="00C20988" w:rsidP="00B42A7F">
      <w:pPr>
        <w:ind w:firstLine="425"/>
        <w:jc w:val="both"/>
        <w:rPr>
          <w:sz w:val="24"/>
          <w:szCs w:val="24"/>
        </w:rPr>
      </w:pPr>
      <w:r w:rsidRPr="00B42A7F">
        <w:rPr>
          <w:sz w:val="24"/>
          <w:szCs w:val="24"/>
        </w:rPr>
        <w:t>За 2018 год объём средств, поступивших в Приднестровье по системам международных денежных переводов, увеличился на 17,1%, составив 94,8 млн в долларовом эквиваленте, что является максимальной величиной за последние четыре года</w:t>
      </w:r>
      <w:r>
        <w:rPr>
          <w:sz w:val="24"/>
          <w:szCs w:val="24"/>
        </w:rPr>
        <w:t xml:space="preserve">. </w:t>
      </w:r>
      <w:r w:rsidRPr="00B42A7F">
        <w:rPr>
          <w:sz w:val="24"/>
          <w:szCs w:val="24"/>
        </w:rPr>
        <w:t xml:space="preserve">Сумма средств, отправленных из республики за границу, сократилась за отчётный год на 5,0%, до 27,5 млн долл. в эквиваленте, сформировав минимальный показатель с 2010 года. В результате сальдо по денежным переводам сложилось на уровне 67,3 млн долл., что на 29,4% превысило уровень 2017 года и также явилось четырёхлетним максимумом. </w:t>
      </w:r>
    </w:p>
    <w:p w:rsidR="00C20988" w:rsidRPr="00BF5336" w:rsidRDefault="00C20988" w:rsidP="00A23422">
      <w:pPr>
        <w:ind w:firstLine="425"/>
        <w:jc w:val="both"/>
        <w:rPr>
          <w:sz w:val="24"/>
          <w:szCs w:val="24"/>
        </w:rPr>
      </w:pPr>
      <w:r w:rsidRPr="00B42A7F">
        <w:rPr>
          <w:sz w:val="24"/>
          <w:szCs w:val="24"/>
        </w:rPr>
        <w:t>Услуги по переводу денежных средств, а также по приёму коммунальных платежей наряду с кредитными организациями предоставля</w:t>
      </w:r>
      <w:r>
        <w:rPr>
          <w:sz w:val="24"/>
          <w:szCs w:val="24"/>
        </w:rPr>
        <w:t>ет</w:t>
      </w:r>
      <w:r w:rsidRPr="00B42A7F">
        <w:rPr>
          <w:sz w:val="24"/>
          <w:szCs w:val="24"/>
        </w:rPr>
        <w:t xml:space="preserve"> ГУП «Почта Приднестровья». За отчётный год через сеть почтовых отделений было переведено 7,7 млн руб. (-15,4%), из которых 68,8%, или 5,3 млн руб., было представлено операциями внутри республики. </w:t>
      </w:r>
    </w:p>
    <w:p w:rsidR="00C20988" w:rsidRPr="00BA7BAA" w:rsidRDefault="00C20988" w:rsidP="00BA7BAA">
      <w:pPr>
        <w:widowControl w:val="0"/>
        <w:ind w:firstLine="425"/>
        <w:jc w:val="both"/>
        <w:rPr>
          <w:sz w:val="24"/>
          <w:szCs w:val="24"/>
        </w:rPr>
      </w:pPr>
    </w:p>
    <w:p w:rsidR="00C20988" w:rsidRDefault="00C20988" w:rsidP="004855D6">
      <w:pPr>
        <w:widowControl w:val="0"/>
        <w:rPr>
          <w:b/>
          <w:bCs/>
          <w:noProof/>
          <w:sz w:val="28"/>
          <w:szCs w:val="28"/>
        </w:rPr>
      </w:pPr>
    </w:p>
    <w:p w:rsidR="00C20988" w:rsidRDefault="00C20988">
      <w:pPr>
        <w:rPr>
          <w:b/>
          <w:bCs/>
          <w:noProof/>
          <w:sz w:val="28"/>
          <w:szCs w:val="28"/>
        </w:rPr>
      </w:pPr>
      <w:r>
        <w:rPr>
          <w:b/>
          <w:bCs/>
          <w:noProof/>
          <w:sz w:val="28"/>
          <w:szCs w:val="28"/>
        </w:rPr>
        <w:br w:type="page"/>
      </w:r>
    </w:p>
    <w:p w:rsidR="00C20988" w:rsidRPr="00E85DD7" w:rsidRDefault="00C20988" w:rsidP="008512DA">
      <w:pPr>
        <w:widowControl w:val="0"/>
        <w:jc w:val="center"/>
        <w:rPr>
          <w:b/>
          <w:bCs/>
          <w:noProof/>
          <w:sz w:val="28"/>
          <w:szCs w:val="28"/>
        </w:rPr>
      </w:pPr>
      <w:r w:rsidRPr="006C30A7">
        <w:rPr>
          <w:b/>
          <w:bCs/>
          <w:noProof/>
          <w:sz w:val="28"/>
          <w:szCs w:val="28"/>
        </w:rPr>
        <w:t>РАЗДЕЛ 2. ДЕЯТЕЛЬНОСТЬ ПРИДНЕСТРОВСКОГО РЕСПУБЛИКАНСКОГО БАНКА В 2018 ГОДУ</w:t>
      </w:r>
    </w:p>
    <w:p w:rsidR="00C20988" w:rsidRPr="00E85DD7" w:rsidRDefault="00C20988" w:rsidP="008512DA">
      <w:pPr>
        <w:widowControl w:val="0"/>
        <w:jc w:val="center"/>
        <w:rPr>
          <w:b/>
          <w:bCs/>
          <w:noProof/>
          <w:sz w:val="24"/>
          <w:szCs w:val="28"/>
        </w:rPr>
      </w:pPr>
    </w:p>
    <w:p w:rsidR="00C20988" w:rsidRPr="00E85DD7" w:rsidRDefault="00C20988" w:rsidP="00E90743">
      <w:pPr>
        <w:widowControl w:val="0"/>
        <w:numPr>
          <w:ilvl w:val="1"/>
          <w:numId w:val="2"/>
        </w:numPr>
        <w:jc w:val="both"/>
        <w:rPr>
          <w:b/>
          <w:bCs/>
          <w:noProof/>
          <w:sz w:val="24"/>
          <w:szCs w:val="24"/>
        </w:rPr>
      </w:pPr>
      <w:r w:rsidRPr="00E85DD7">
        <w:rPr>
          <w:b/>
          <w:bCs/>
          <w:noProof/>
          <w:sz w:val="24"/>
          <w:szCs w:val="24"/>
        </w:rPr>
        <w:t xml:space="preserve"> ДЕНЕЖНО-КРЕДИТНАЯ ПОЛИТИКА</w:t>
      </w:r>
    </w:p>
    <w:p w:rsidR="00C20988" w:rsidRDefault="00C20988" w:rsidP="008471CC">
      <w:pPr>
        <w:widowControl w:val="0"/>
        <w:spacing w:before="120" w:after="120"/>
        <w:ind w:left="425" w:firstLine="1"/>
        <w:jc w:val="both"/>
        <w:rPr>
          <w:i/>
          <w:iCs/>
          <w:sz w:val="24"/>
          <w:szCs w:val="24"/>
        </w:rPr>
      </w:pPr>
      <w:r w:rsidRPr="00E85DD7">
        <w:rPr>
          <w:i/>
          <w:iCs/>
          <w:sz w:val="24"/>
          <w:szCs w:val="24"/>
        </w:rPr>
        <w:t>Цели и результаты денежно-кредитной политики</w:t>
      </w:r>
    </w:p>
    <w:p w:rsidR="00C20988" w:rsidRDefault="00C20988" w:rsidP="000D5444">
      <w:pPr>
        <w:widowControl w:val="0"/>
        <w:shd w:val="clear" w:color="auto" w:fill="FFFFFF"/>
        <w:ind w:firstLine="425"/>
        <w:jc w:val="both"/>
        <w:rPr>
          <w:sz w:val="24"/>
          <w:szCs w:val="24"/>
        </w:rPr>
      </w:pPr>
      <w:r>
        <w:rPr>
          <w:sz w:val="24"/>
          <w:szCs w:val="24"/>
        </w:rPr>
        <w:t xml:space="preserve">Реализация денежно-кредитной политики производилась в соответствии с целями и задачами, изложенными в Основных направлениях единой государственной денежно-кредитной политики на 2018 год, сохранившими принцип преемственности с предыдущим годом. </w:t>
      </w:r>
    </w:p>
    <w:p w:rsidR="00C20988" w:rsidRDefault="00C20988" w:rsidP="000D5444">
      <w:pPr>
        <w:widowControl w:val="0"/>
        <w:shd w:val="clear" w:color="auto" w:fill="FFFFFF"/>
        <w:ind w:firstLine="425"/>
        <w:jc w:val="both"/>
        <w:rPr>
          <w:sz w:val="24"/>
          <w:szCs w:val="24"/>
        </w:rPr>
      </w:pPr>
      <w:r>
        <w:rPr>
          <w:sz w:val="24"/>
          <w:szCs w:val="24"/>
        </w:rPr>
        <w:t xml:space="preserve">Денежно-кредитная политика строилась на модели таргетирования курса доллара США по отношению к рублю ПМР в рамках объявленного коридора его изменений в течение отчётного года. В качестве базового критерия принятия решений по курсовой политике была принята динамика индекса </w:t>
      </w:r>
      <w:r w:rsidRPr="0069341A">
        <w:rPr>
          <w:sz w:val="24"/>
          <w:szCs w:val="24"/>
        </w:rPr>
        <w:t>реального эффективного курса приднестровского рубля.</w:t>
      </w:r>
      <w:r>
        <w:rPr>
          <w:sz w:val="24"/>
          <w:szCs w:val="24"/>
        </w:rPr>
        <w:t xml:space="preserve"> В условиях высокой степени открытости экономики республики поддержание индикативного значения индекса в пределах 1 обосновано необходимостью обеспечения внутреннего баланса относительных ценовых условий для импорта и экспорта товаров и сырья в/из республики.</w:t>
      </w:r>
    </w:p>
    <w:p w:rsidR="00C20988" w:rsidRPr="0069341A" w:rsidRDefault="00C20988" w:rsidP="000D5444">
      <w:pPr>
        <w:widowControl w:val="0"/>
        <w:shd w:val="clear" w:color="auto" w:fill="FFFFFF"/>
        <w:ind w:firstLine="425"/>
        <w:jc w:val="both"/>
        <w:rPr>
          <w:sz w:val="24"/>
          <w:szCs w:val="24"/>
        </w:rPr>
      </w:pPr>
      <w:r>
        <w:rPr>
          <w:sz w:val="24"/>
          <w:szCs w:val="24"/>
        </w:rPr>
        <w:t>Исходя из предварительных прогнозных макроэкономических данных в ПМР и странах – основных торговых партнёрах, с учётом обозначенных целей Банковским советом Приднестровского республиканского банка был утверждён валютный коридор 16,0-16,5 рублей ПМР за доллар США.</w:t>
      </w:r>
    </w:p>
    <w:p w:rsidR="00C20988" w:rsidRPr="00351C82" w:rsidRDefault="00C20988" w:rsidP="000D5444">
      <w:pPr>
        <w:widowControl w:val="0"/>
        <w:shd w:val="clear" w:color="auto" w:fill="FFFFFF"/>
        <w:ind w:firstLine="425"/>
        <w:jc w:val="both"/>
        <w:rPr>
          <w:bCs/>
          <w:sz w:val="24"/>
          <w:szCs w:val="24"/>
        </w:rPr>
      </w:pPr>
      <w:r w:rsidRPr="00351C82">
        <w:rPr>
          <w:bCs/>
          <w:sz w:val="24"/>
          <w:szCs w:val="24"/>
        </w:rPr>
        <w:t>Во второй декаде января 2018 года официальный курс доллара США был установлен на уровне 16,0 руб. ПМР (на нижней границе целевого диапазона)</w:t>
      </w:r>
      <w:r>
        <w:rPr>
          <w:bCs/>
          <w:sz w:val="24"/>
          <w:szCs w:val="24"/>
        </w:rPr>
        <w:t>.</w:t>
      </w:r>
      <w:r w:rsidRPr="00351C82">
        <w:rPr>
          <w:bCs/>
          <w:sz w:val="24"/>
          <w:szCs w:val="24"/>
        </w:rPr>
        <w:t xml:space="preserve"> При этом </w:t>
      </w:r>
      <w:r>
        <w:rPr>
          <w:bCs/>
          <w:sz w:val="24"/>
          <w:szCs w:val="24"/>
        </w:rPr>
        <w:t xml:space="preserve">в данный период </w:t>
      </w:r>
      <w:r w:rsidRPr="00351C82">
        <w:rPr>
          <w:bCs/>
          <w:sz w:val="24"/>
          <w:szCs w:val="24"/>
        </w:rPr>
        <w:t xml:space="preserve">средняя стоимость американской валюты в обменных кассах </w:t>
      </w:r>
      <w:r>
        <w:rPr>
          <w:bCs/>
          <w:sz w:val="24"/>
          <w:szCs w:val="24"/>
        </w:rPr>
        <w:t xml:space="preserve">кредитных организаций </w:t>
      </w:r>
      <w:r w:rsidRPr="00351C82">
        <w:rPr>
          <w:bCs/>
          <w:sz w:val="24"/>
          <w:szCs w:val="24"/>
        </w:rPr>
        <w:t xml:space="preserve">при продаже клиентам составляла 16,85 руб. ПМР. </w:t>
      </w:r>
      <w:r>
        <w:rPr>
          <w:bCs/>
          <w:sz w:val="24"/>
          <w:szCs w:val="24"/>
        </w:rPr>
        <w:t>Таким образом</w:t>
      </w:r>
      <w:r w:rsidRPr="00351C82">
        <w:rPr>
          <w:bCs/>
          <w:sz w:val="24"/>
          <w:szCs w:val="24"/>
        </w:rPr>
        <w:t>, разница между коммерческим и официальным курсами сложилась в пределах 5,3%, при рекомендуемом центральным банком отклонении</w:t>
      </w:r>
      <w:r>
        <w:rPr>
          <w:bCs/>
          <w:sz w:val="24"/>
          <w:szCs w:val="24"/>
        </w:rPr>
        <w:t xml:space="preserve"> не более 10%</w:t>
      </w:r>
      <w:r w:rsidRPr="00351C82">
        <w:rPr>
          <w:bCs/>
          <w:sz w:val="24"/>
          <w:szCs w:val="24"/>
        </w:rPr>
        <w:t>. К концу I квартала ввиду отсутствия повышенного спроса на наличную иностранную валюту и ажиотажных настроений на рынке, а также под влиянием традиционных для начала года факторов она снизилась до 3,3% (в среднем за март).</w:t>
      </w:r>
    </w:p>
    <w:p w:rsidR="00C20988" w:rsidRPr="00351C82" w:rsidRDefault="00C20988" w:rsidP="000D5444">
      <w:pPr>
        <w:widowControl w:val="0"/>
        <w:shd w:val="clear" w:color="auto" w:fill="FFFFFF"/>
        <w:ind w:firstLine="425"/>
        <w:jc w:val="both"/>
        <w:rPr>
          <w:bCs/>
          <w:sz w:val="24"/>
          <w:szCs w:val="24"/>
        </w:rPr>
      </w:pPr>
      <w:r w:rsidRPr="00351C82">
        <w:rPr>
          <w:bCs/>
          <w:sz w:val="24"/>
          <w:szCs w:val="24"/>
        </w:rPr>
        <w:t xml:space="preserve">5 апреля 2018 года центральный банк повысил курс доллара до 16,1 руб. ПМР, который находился на этой отметке до конца отчётного года. При этом синхронного удорожания иностранных валют на наличном и безналичном сегментах не произошло. Напротив, было обеспечено дальнейшее сближение курсов, формирующихся на первом и втором уровнях банковской системы. В итоге в декабре курс продажи доллара США в обменных пунктах превысил официальный курс лишь на 1,6%. </w:t>
      </w:r>
    </w:p>
    <w:p w:rsidR="00C20988" w:rsidRPr="00351C82" w:rsidRDefault="00C20988" w:rsidP="000D5444">
      <w:pPr>
        <w:widowControl w:val="0"/>
        <w:shd w:val="clear" w:color="auto" w:fill="FFFFFF"/>
        <w:ind w:firstLine="425"/>
        <w:jc w:val="both"/>
        <w:rPr>
          <w:bCs/>
          <w:sz w:val="24"/>
          <w:szCs w:val="24"/>
        </w:rPr>
      </w:pPr>
      <w:r w:rsidRPr="00351C82">
        <w:rPr>
          <w:bCs/>
          <w:sz w:val="24"/>
          <w:szCs w:val="24"/>
        </w:rPr>
        <w:t xml:space="preserve">В целом за 2018 год курс доллара США, установленный Приднестровским республиканским банком, </w:t>
      </w:r>
      <w:r>
        <w:rPr>
          <w:bCs/>
          <w:sz w:val="24"/>
          <w:szCs w:val="24"/>
        </w:rPr>
        <w:t>повысился</w:t>
      </w:r>
      <w:r w:rsidRPr="00351C82">
        <w:rPr>
          <w:bCs/>
          <w:sz w:val="24"/>
          <w:szCs w:val="24"/>
        </w:rPr>
        <w:t xml:space="preserve"> на 3,9%, а его средневзвешенное значение сложилось на отметке 16,0592 руб. ПМР. </w:t>
      </w:r>
    </w:p>
    <w:p w:rsidR="00C20988" w:rsidRPr="00F64BAC" w:rsidRDefault="00C20988" w:rsidP="000D5444">
      <w:pPr>
        <w:widowControl w:val="0"/>
        <w:shd w:val="clear" w:color="auto" w:fill="FFFFFF"/>
        <w:ind w:firstLine="425"/>
        <w:jc w:val="both"/>
        <w:rPr>
          <w:bCs/>
          <w:sz w:val="24"/>
          <w:szCs w:val="24"/>
        </w:rPr>
      </w:pPr>
      <w:r>
        <w:rPr>
          <w:bCs/>
          <w:sz w:val="24"/>
          <w:szCs w:val="24"/>
        </w:rPr>
        <w:t xml:space="preserve">Необходимо отметить, что макроэкономические показатели, которые определяют динамику реального эффективного обменного курса приднестровского рубля, в отчётном году были подвержены сильному влиянию не столько внутренней конъюнктуры (инфляция в республике сложилась в пределах прогнозных параметров </w:t>
      </w:r>
      <w:r>
        <w:rPr>
          <w:sz w:val="24"/>
          <w:szCs w:val="24"/>
        </w:rPr>
        <w:t xml:space="preserve">Приднестровского республиканского </w:t>
      </w:r>
      <w:r w:rsidRPr="00F64BAC">
        <w:rPr>
          <w:sz w:val="24"/>
          <w:szCs w:val="24"/>
        </w:rPr>
        <w:t>банка</w:t>
      </w:r>
      <w:r w:rsidRPr="00F64BAC">
        <w:rPr>
          <w:bCs/>
          <w:sz w:val="24"/>
          <w:szCs w:val="24"/>
        </w:rPr>
        <w:t>, курс приднестровского рубля соответствовал утверждённому коридору), сколько значительным шокам в мировой экономике в целом и в странах – торговых партнёрах ПМР. В частности, в значительной мере отклонилась от прогнозной динамика курса российского рубля и евро к доллару США, реагируя на санкционные меры США и волатильность нефтяных котировок. Фактическая девальвации российского рубля и евро составила 17,1% и 5,1% соответственно.</w:t>
      </w:r>
    </w:p>
    <w:p w:rsidR="00C20988" w:rsidRDefault="00C20988" w:rsidP="000D5444">
      <w:pPr>
        <w:widowControl w:val="0"/>
        <w:shd w:val="clear" w:color="auto" w:fill="FFFFFF"/>
        <w:ind w:firstLine="425"/>
        <w:jc w:val="both"/>
        <w:rPr>
          <w:bCs/>
          <w:sz w:val="24"/>
          <w:szCs w:val="24"/>
        </w:rPr>
      </w:pPr>
      <w:r w:rsidRPr="00F64BAC">
        <w:rPr>
          <w:bCs/>
          <w:sz w:val="24"/>
          <w:szCs w:val="24"/>
        </w:rPr>
        <w:t>В результате за 2018 год приднестровский рубль укрепился на 3,5% (индекс реального эффективного обменного курса рубля составил 1,035),</w:t>
      </w:r>
      <w:r>
        <w:rPr>
          <w:bCs/>
          <w:sz w:val="24"/>
          <w:szCs w:val="24"/>
        </w:rPr>
        <w:t xml:space="preserve"> что несколько не соответствует целевым параметрам, но не является критичным для экономики республики.</w:t>
      </w:r>
    </w:p>
    <w:p w:rsidR="00C20988" w:rsidRPr="00E85DD7" w:rsidRDefault="00C20988" w:rsidP="000D5444">
      <w:pPr>
        <w:widowControl w:val="0"/>
        <w:spacing w:before="120" w:after="120"/>
        <w:ind w:firstLine="425"/>
        <w:jc w:val="both"/>
        <w:rPr>
          <w:i/>
          <w:iCs/>
          <w:sz w:val="24"/>
          <w:szCs w:val="24"/>
        </w:rPr>
      </w:pPr>
      <w:r w:rsidRPr="006C30A7">
        <w:rPr>
          <w:i/>
          <w:iCs/>
          <w:sz w:val="24"/>
          <w:szCs w:val="24"/>
        </w:rPr>
        <w:t>Инструменты денежно-кредитной политики</w:t>
      </w:r>
      <w:r w:rsidRPr="00E85DD7">
        <w:rPr>
          <w:i/>
          <w:iCs/>
          <w:sz w:val="24"/>
          <w:szCs w:val="24"/>
        </w:rPr>
        <w:t xml:space="preserve"> </w:t>
      </w:r>
    </w:p>
    <w:p w:rsidR="00C20988" w:rsidRPr="007C774C" w:rsidRDefault="00C20988" w:rsidP="000D5444">
      <w:pPr>
        <w:ind w:firstLine="425"/>
        <w:jc w:val="both"/>
        <w:rPr>
          <w:sz w:val="24"/>
          <w:szCs w:val="24"/>
        </w:rPr>
      </w:pPr>
      <w:r w:rsidRPr="00B27036">
        <w:rPr>
          <w:sz w:val="24"/>
          <w:szCs w:val="24"/>
        </w:rPr>
        <w:t xml:space="preserve">Центральный банк в своей деятельности </w:t>
      </w:r>
      <w:r>
        <w:rPr>
          <w:sz w:val="24"/>
          <w:szCs w:val="24"/>
        </w:rPr>
        <w:t xml:space="preserve">применял инструменты, соответствующие целям и задачам, стоящим перед регулятором в отчётном году. С учётом проведения политики таргетирования валютного курса основным инструментом денежно-кредитной политики являлись валютные интервенции, </w:t>
      </w:r>
      <w:r w:rsidRPr="007C774C">
        <w:rPr>
          <w:sz w:val="24"/>
          <w:szCs w:val="24"/>
        </w:rPr>
        <w:t xml:space="preserve">главным каналом проведения которых </w:t>
      </w:r>
      <w:r>
        <w:rPr>
          <w:sz w:val="24"/>
          <w:szCs w:val="24"/>
        </w:rPr>
        <w:t>был</w:t>
      </w:r>
      <w:r w:rsidRPr="007C774C">
        <w:rPr>
          <w:sz w:val="24"/>
          <w:szCs w:val="24"/>
        </w:rPr>
        <w:t xml:space="preserve"> безналичный сегмент валютного рынка</w:t>
      </w:r>
      <w:r>
        <w:rPr>
          <w:sz w:val="24"/>
          <w:szCs w:val="24"/>
        </w:rPr>
        <w:t>. Реализация иностранной валюты производилась</w:t>
      </w:r>
      <w:r w:rsidRPr="007C774C">
        <w:rPr>
          <w:sz w:val="24"/>
          <w:szCs w:val="24"/>
        </w:rPr>
        <w:t xml:space="preserve"> посредством межбанковских сделок с обязательством коммерческих банков продавать валюту своим клиентам </w:t>
      </w:r>
      <w:r w:rsidRPr="008D45F7">
        <w:rPr>
          <w:sz w:val="24"/>
          <w:szCs w:val="24"/>
        </w:rPr>
        <w:t>под импортные контракты</w:t>
      </w:r>
      <w:r w:rsidRPr="006A4BA9">
        <w:rPr>
          <w:color w:val="FF0000"/>
          <w:sz w:val="24"/>
          <w:szCs w:val="24"/>
        </w:rPr>
        <w:t xml:space="preserve"> </w:t>
      </w:r>
      <w:r w:rsidRPr="008D45F7">
        <w:rPr>
          <w:sz w:val="24"/>
          <w:szCs w:val="24"/>
        </w:rPr>
        <w:t>(по мере возможности центральный банк проводил валютные интервенции и под погашение кредитов)</w:t>
      </w:r>
      <w:r>
        <w:rPr>
          <w:sz w:val="24"/>
          <w:szCs w:val="24"/>
        </w:rPr>
        <w:t xml:space="preserve"> </w:t>
      </w:r>
      <w:r w:rsidRPr="007C774C">
        <w:rPr>
          <w:sz w:val="24"/>
          <w:szCs w:val="24"/>
        </w:rPr>
        <w:t xml:space="preserve">с использованием механизма поставки валюты с отсрочкой. </w:t>
      </w:r>
    </w:p>
    <w:p w:rsidR="00C20988" w:rsidRPr="00EC2A7E" w:rsidRDefault="00C20988" w:rsidP="000D5444">
      <w:pPr>
        <w:ind w:firstLine="425"/>
        <w:jc w:val="both"/>
        <w:rPr>
          <w:color w:val="000000"/>
          <w:sz w:val="24"/>
          <w:szCs w:val="24"/>
        </w:rPr>
      </w:pPr>
      <w:r w:rsidRPr="007C774C">
        <w:rPr>
          <w:sz w:val="24"/>
          <w:szCs w:val="24"/>
        </w:rPr>
        <w:t xml:space="preserve">Безналичные валютные интервенции </w:t>
      </w:r>
      <w:r>
        <w:rPr>
          <w:sz w:val="24"/>
          <w:szCs w:val="24"/>
        </w:rPr>
        <w:t xml:space="preserve">производились </w:t>
      </w:r>
      <w:r w:rsidRPr="007C774C">
        <w:rPr>
          <w:sz w:val="24"/>
          <w:szCs w:val="24"/>
        </w:rPr>
        <w:t>на постоянной основе посредством продажи иностранной валюты в установленном порядке не реже двух раз в неделю с отсрочкой поставки валюты до 60 дней</w:t>
      </w:r>
      <w:r>
        <w:rPr>
          <w:sz w:val="24"/>
          <w:szCs w:val="24"/>
        </w:rPr>
        <w:t>.</w:t>
      </w:r>
      <w:r w:rsidRPr="007C774C">
        <w:rPr>
          <w:sz w:val="24"/>
          <w:szCs w:val="24"/>
        </w:rPr>
        <w:t xml:space="preserve"> В целях стимулирования экспортных поставок для нетто-экспортёров </w:t>
      </w:r>
      <w:r>
        <w:rPr>
          <w:sz w:val="24"/>
          <w:szCs w:val="24"/>
        </w:rPr>
        <w:t xml:space="preserve">были </w:t>
      </w:r>
      <w:r w:rsidRPr="007C774C">
        <w:rPr>
          <w:sz w:val="24"/>
          <w:szCs w:val="24"/>
        </w:rPr>
        <w:t>созданы более привлекательные условия</w:t>
      </w:r>
      <w:r>
        <w:rPr>
          <w:sz w:val="24"/>
          <w:szCs w:val="24"/>
        </w:rPr>
        <w:t>:</w:t>
      </w:r>
      <w:r w:rsidRPr="007C774C">
        <w:rPr>
          <w:sz w:val="24"/>
          <w:szCs w:val="24"/>
        </w:rPr>
        <w:t xml:space="preserve"> </w:t>
      </w:r>
      <w:r>
        <w:rPr>
          <w:sz w:val="24"/>
          <w:szCs w:val="24"/>
        </w:rPr>
        <w:t xml:space="preserve">в первой </w:t>
      </w:r>
      <w:r w:rsidRPr="00A4681D">
        <w:rPr>
          <w:sz w:val="24"/>
          <w:szCs w:val="24"/>
        </w:rPr>
        <w:t xml:space="preserve">половине года </w:t>
      </w:r>
      <w:r w:rsidRPr="006C2E9A">
        <w:rPr>
          <w:sz w:val="24"/>
          <w:szCs w:val="24"/>
        </w:rPr>
        <w:t xml:space="preserve">поставка для них осуществлялась через 14 дней, начиная с 15 июня 2018 года – </w:t>
      </w:r>
      <w:r w:rsidRPr="006C2E9A">
        <w:rPr>
          <w:color w:val="000000"/>
          <w:sz w:val="24"/>
          <w:szCs w:val="24"/>
        </w:rPr>
        <w:t>в день</w:t>
      </w:r>
      <w:r>
        <w:rPr>
          <w:color w:val="000000"/>
          <w:sz w:val="24"/>
          <w:szCs w:val="24"/>
        </w:rPr>
        <w:t xml:space="preserve"> проведения интервенции</w:t>
      </w:r>
      <w:r w:rsidRPr="00A4681D">
        <w:rPr>
          <w:color w:val="000000"/>
          <w:sz w:val="24"/>
          <w:szCs w:val="24"/>
        </w:rPr>
        <w:t>.</w:t>
      </w:r>
      <w:r w:rsidRPr="00EC2A7E">
        <w:rPr>
          <w:color w:val="000000"/>
          <w:sz w:val="24"/>
          <w:szCs w:val="24"/>
        </w:rPr>
        <w:t xml:space="preserve"> </w:t>
      </w:r>
    </w:p>
    <w:p w:rsidR="00C20988" w:rsidRPr="00445B44" w:rsidRDefault="00C20988" w:rsidP="000D5444">
      <w:pPr>
        <w:ind w:firstLine="425"/>
        <w:jc w:val="both"/>
        <w:rPr>
          <w:sz w:val="24"/>
          <w:szCs w:val="24"/>
        </w:rPr>
      </w:pPr>
      <w:r>
        <w:rPr>
          <w:sz w:val="24"/>
          <w:szCs w:val="24"/>
        </w:rPr>
        <w:t xml:space="preserve"> Основные инструменты регулирования банковской ликвидности в </w:t>
      </w:r>
      <w:r w:rsidRPr="00B27036">
        <w:rPr>
          <w:sz w:val="24"/>
          <w:szCs w:val="24"/>
        </w:rPr>
        <w:t>201</w:t>
      </w:r>
      <w:r>
        <w:rPr>
          <w:sz w:val="24"/>
          <w:szCs w:val="24"/>
        </w:rPr>
        <w:t>8</w:t>
      </w:r>
      <w:r w:rsidRPr="00B27036">
        <w:rPr>
          <w:sz w:val="24"/>
          <w:szCs w:val="24"/>
        </w:rPr>
        <w:t xml:space="preserve"> год</w:t>
      </w:r>
      <w:r>
        <w:rPr>
          <w:sz w:val="24"/>
          <w:szCs w:val="24"/>
        </w:rPr>
        <w:t>у не претерпели изменений.</w:t>
      </w:r>
      <w:r w:rsidRPr="00B27036">
        <w:rPr>
          <w:sz w:val="24"/>
          <w:szCs w:val="24"/>
        </w:rPr>
        <w:t xml:space="preserve"> Нормы обя</w:t>
      </w:r>
      <w:r>
        <w:rPr>
          <w:sz w:val="24"/>
          <w:szCs w:val="24"/>
        </w:rPr>
        <w:t>зательного резервирования в 2018</w:t>
      </w:r>
      <w:r w:rsidRPr="00B27036">
        <w:rPr>
          <w:sz w:val="24"/>
          <w:szCs w:val="24"/>
        </w:rPr>
        <w:t xml:space="preserve"> году поддерживались на уровне, адекватном развитию экономической ситуации</w:t>
      </w:r>
      <w:r>
        <w:rPr>
          <w:sz w:val="24"/>
          <w:szCs w:val="24"/>
        </w:rPr>
        <w:t>, и</w:t>
      </w:r>
      <w:r w:rsidRPr="000D6AC7">
        <w:rPr>
          <w:sz w:val="24"/>
          <w:szCs w:val="24"/>
        </w:rPr>
        <w:t xml:space="preserve"> </w:t>
      </w:r>
      <w:r>
        <w:rPr>
          <w:sz w:val="24"/>
          <w:szCs w:val="24"/>
        </w:rPr>
        <w:t>не изменялись</w:t>
      </w:r>
      <w:r w:rsidRPr="000D6AC7">
        <w:rPr>
          <w:sz w:val="24"/>
          <w:szCs w:val="24"/>
        </w:rPr>
        <w:t xml:space="preserve"> с 1 февраля 2017 года: 15% – по отношению к обязательствам кредитных организаций перед юридическими лицами в рублях и 12% – к обязательствам в валюте. При этом депонирование осуществлялось исключительно в национальной валюте.</w:t>
      </w:r>
      <w:r>
        <w:rPr>
          <w:sz w:val="24"/>
          <w:szCs w:val="24"/>
        </w:rPr>
        <w:t xml:space="preserve"> </w:t>
      </w:r>
      <w:r w:rsidRPr="000D6AC7">
        <w:rPr>
          <w:sz w:val="24"/>
          <w:szCs w:val="24"/>
        </w:rPr>
        <w:t xml:space="preserve">Общий объём средств, аккумулированных по состоянию на 1 января 2019 года в центральном банке в </w:t>
      </w:r>
      <w:r w:rsidRPr="00445B44">
        <w:rPr>
          <w:sz w:val="24"/>
          <w:szCs w:val="24"/>
        </w:rPr>
        <w:t xml:space="preserve">качестве обязательных резервов, по сравнению с данными на 1 января 2018 года увеличился на </w:t>
      </w:r>
      <w:r>
        <w:rPr>
          <w:sz w:val="24"/>
          <w:szCs w:val="24"/>
        </w:rPr>
        <w:br/>
      </w:r>
      <w:r w:rsidRPr="00445B44">
        <w:rPr>
          <w:sz w:val="24"/>
          <w:szCs w:val="24"/>
        </w:rPr>
        <w:t xml:space="preserve">57,3 млн руб., </w:t>
      </w:r>
      <w:r>
        <w:rPr>
          <w:sz w:val="24"/>
          <w:szCs w:val="24"/>
        </w:rPr>
        <w:t xml:space="preserve">или на 22,7%, </w:t>
      </w:r>
      <w:r w:rsidRPr="00445B44">
        <w:rPr>
          <w:sz w:val="24"/>
          <w:szCs w:val="24"/>
        </w:rPr>
        <w:t xml:space="preserve">составив по действующим банкам 309,2 млн руб. </w:t>
      </w:r>
    </w:p>
    <w:p w:rsidR="00C20988" w:rsidRDefault="00C20988" w:rsidP="000D5444">
      <w:pPr>
        <w:widowControl w:val="0"/>
        <w:ind w:firstLine="425"/>
        <w:jc w:val="both"/>
        <w:rPr>
          <w:sz w:val="24"/>
          <w:szCs w:val="24"/>
        </w:rPr>
      </w:pPr>
      <w:r w:rsidRPr="00445B44">
        <w:rPr>
          <w:sz w:val="24"/>
          <w:szCs w:val="24"/>
        </w:rPr>
        <w:t>Ставка страховых взносов</w:t>
      </w:r>
      <w:r>
        <w:rPr>
          <w:sz w:val="24"/>
          <w:szCs w:val="24"/>
        </w:rPr>
        <w:t>,</w:t>
      </w:r>
      <w:r w:rsidRPr="00454E0D">
        <w:rPr>
          <w:sz w:val="24"/>
          <w:szCs w:val="24"/>
        </w:rPr>
        <w:t xml:space="preserve"> </w:t>
      </w:r>
      <w:r w:rsidRPr="00620DB8">
        <w:rPr>
          <w:sz w:val="24"/>
          <w:szCs w:val="24"/>
        </w:rPr>
        <w:t xml:space="preserve">депонируемых в Приднестровском республиканском банке, </w:t>
      </w:r>
      <w:r w:rsidRPr="00445B44">
        <w:rPr>
          <w:sz w:val="24"/>
          <w:szCs w:val="24"/>
        </w:rPr>
        <w:t xml:space="preserve">составляла 12% от обязательств банка перед физическими лицами в рублях и 14% – в иностранной валюте. За период с 1 января 2018 года по 1 января 2019 года объём страховых фондов действующих банков, депонируемых в ПРБ исключительно в национальной валюте, </w:t>
      </w:r>
      <w:r w:rsidRPr="006C2E9A">
        <w:rPr>
          <w:sz w:val="24"/>
          <w:szCs w:val="24"/>
        </w:rPr>
        <w:t>увеличился на 69,4 млн руб., или на 24,1%, до 357,3 млн руб.</w:t>
      </w:r>
      <w:r w:rsidRPr="00A20E17">
        <w:rPr>
          <w:sz w:val="24"/>
          <w:szCs w:val="24"/>
        </w:rPr>
        <w:t xml:space="preserve"> </w:t>
      </w:r>
    </w:p>
    <w:p w:rsidR="00C20988" w:rsidRPr="00A674EA" w:rsidRDefault="00C20988" w:rsidP="000D5444">
      <w:pPr>
        <w:widowControl w:val="0"/>
        <w:ind w:firstLine="425"/>
        <w:jc w:val="both"/>
        <w:rPr>
          <w:sz w:val="24"/>
          <w:szCs w:val="24"/>
        </w:rPr>
      </w:pPr>
      <w:r w:rsidRPr="00A674EA">
        <w:rPr>
          <w:sz w:val="24"/>
          <w:szCs w:val="24"/>
        </w:rPr>
        <w:t xml:space="preserve">Ставка рефинансирования центрального банка, установленная с 16 февраля 2017 года в размере 7% годовых, в отчётном </w:t>
      </w:r>
      <w:r>
        <w:rPr>
          <w:sz w:val="24"/>
          <w:szCs w:val="24"/>
        </w:rPr>
        <w:t>году</w:t>
      </w:r>
      <w:r w:rsidRPr="00A674EA">
        <w:rPr>
          <w:sz w:val="24"/>
          <w:szCs w:val="24"/>
        </w:rPr>
        <w:t xml:space="preserve"> не изменилась.</w:t>
      </w:r>
    </w:p>
    <w:p w:rsidR="00C20988" w:rsidRDefault="00C20988" w:rsidP="0087739C">
      <w:pPr>
        <w:ind w:firstLine="425"/>
        <w:jc w:val="both"/>
        <w:rPr>
          <w:sz w:val="24"/>
          <w:szCs w:val="24"/>
        </w:rPr>
      </w:pPr>
    </w:p>
    <w:p w:rsidR="00C20988" w:rsidRPr="001318A7" w:rsidRDefault="00C20988" w:rsidP="001318A7">
      <w:pPr>
        <w:widowControl w:val="0"/>
        <w:numPr>
          <w:ilvl w:val="1"/>
          <w:numId w:val="2"/>
        </w:numPr>
        <w:spacing w:after="120"/>
        <w:ind w:left="357" w:hanging="357"/>
        <w:jc w:val="both"/>
        <w:rPr>
          <w:b/>
          <w:bCs/>
          <w:noProof/>
          <w:sz w:val="24"/>
          <w:szCs w:val="24"/>
        </w:rPr>
      </w:pPr>
      <w:r w:rsidRPr="001318A7">
        <w:rPr>
          <w:b/>
          <w:bCs/>
          <w:noProof/>
          <w:sz w:val="24"/>
          <w:szCs w:val="24"/>
        </w:rPr>
        <w:t xml:space="preserve"> ДИНАМИКА ЗОЛОТОВАЛЮТНЫХ РЕЗЕРВОВ</w:t>
      </w:r>
    </w:p>
    <w:p w:rsidR="00C20988" w:rsidRPr="00FD2481" w:rsidRDefault="00C20988" w:rsidP="00472843">
      <w:pPr>
        <w:pStyle w:val="a1"/>
        <w:spacing w:line="240" w:lineRule="auto"/>
        <w:ind w:firstLine="426"/>
      </w:pPr>
      <w:r>
        <w:t>Относительная с</w:t>
      </w:r>
      <w:r w:rsidRPr="00C25187">
        <w:t xml:space="preserve">табилизация ситуации на валютном рынке определила позитивные тенденции в части сокращения обязательств центрального банка в иностранной валюте, сформированных в конце 2016-2017 гг. в период снятия «денежного навеса» с рынка. </w:t>
      </w:r>
      <w:r>
        <w:t xml:space="preserve">Отрицательное значение </w:t>
      </w:r>
      <w:r w:rsidRPr="00C25187">
        <w:t>валютных</w:t>
      </w:r>
      <w:r>
        <w:t xml:space="preserve"> резервов</w:t>
      </w:r>
      <w:r w:rsidRPr="00C25187">
        <w:t xml:space="preserve"> </w:t>
      </w:r>
      <w:r>
        <w:t xml:space="preserve">за 2018 </w:t>
      </w:r>
      <w:r w:rsidRPr="00FD2481">
        <w:t>год сократилось на 2</w:t>
      </w:r>
      <w:r>
        <w:t>3</w:t>
      </w:r>
      <w:r w:rsidRPr="00FD2481">
        <w:t>,2 млн долл.</w:t>
      </w:r>
    </w:p>
    <w:p w:rsidR="00C20988" w:rsidRDefault="00C20988" w:rsidP="00AC33C2">
      <w:pPr>
        <w:pStyle w:val="NormalWeb"/>
        <w:spacing w:before="0" w:beforeAutospacing="0" w:after="0" w:afterAutospacing="0"/>
        <w:ind w:firstLine="357"/>
        <w:jc w:val="both"/>
        <w:rPr>
          <w:highlight w:val="lightGray"/>
        </w:rPr>
      </w:pPr>
    </w:p>
    <w:p w:rsidR="00C20988" w:rsidRPr="00553A54" w:rsidRDefault="00C20988" w:rsidP="00553A54">
      <w:pPr>
        <w:widowControl w:val="0"/>
        <w:numPr>
          <w:ilvl w:val="1"/>
          <w:numId w:val="2"/>
        </w:numPr>
        <w:jc w:val="both"/>
        <w:rPr>
          <w:b/>
          <w:bCs/>
          <w:noProof/>
          <w:sz w:val="24"/>
          <w:szCs w:val="24"/>
        </w:rPr>
      </w:pPr>
      <w:r>
        <w:rPr>
          <w:b/>
          <w:bCs/>
          <w:noProof/>
          <w:sz w:val="24"/>
          <w:szCs w:val="24"/>
        </w:rPr>
        <w:t xml:space="preserve"> </w:t>
      </w:r>
      <w:r w:rsidRPr="00553A54">
        <w:rPr>
          <w:b/>
          <w:bCs/>
          <w:noProof/>
          <w:sz w:val="24"/>
          <w:szCs w:val="24"/>
        </w:rPr>
        <w:t>РЕГУЛИРОВАНИЕ И НАДЗОР В БАНКОВСКОЙ И СТРАХОВОЙ СФЕРАХ</w:t>
      </w:r>
    </w:p>
    <w:p w:rsidR="00C20988" w:rsidRPr="00553A54" w:rsidRDefault="00C20988" w:rsidP="00553A54">
      <w:pPr>
        <w:widowControl w:val="0"/>
        <w:spacing w:before="120" w:after="120"/>
        <w:ind w:left="425"/>
        <w:jc w:val="both"/>
        <w:rPr>
          <w:i/>
          <w:iCs/>
          <w:sz w:val="24"/>
          <w:szCs w:val="24"/>
        </w:rPr>
      </w:pPr>
      <w:r w:rsidRPr="00553A54">
        <w:rPr>
          <w:i/>
          <w:iCs/>
          <w:sz w:val="24"/>
          <w:szCs w:val="24"/>
        </w:rPr>
        <w:t>Регистрация и лицензирование банковской деятельности</w:t>
      </w:r>
    </w:p>
    <w:p w:rsidR="00C20988" w:rsidRDefault="00C20988" w:rsidP="00553A54">
      <w:pPr>
        <w:ind w:firstLine="425"/>
        <w:jc w:val="both"/>
        <w:rPr>
          <w:sz w:val="24"/>
          <w:szCs w:val="22"/>
        </w:rPr>
      </w:pPr>
      <w:r w:rsidRPr="00553A54">
        <w:rPr>
          <w:sz w:val="24"/>
          <w:szCs w:val="24"/>
        </w:rPr>
        <w:t xml:space="preserve">В 2018 году общее количество действующих банков, обладающих генеральной лицензией на осуществление банковских операций, не изменилось. </w:t>
      </w:r>
      <w:r w:rsidRPr="00553A54">
        <w:rPr>
          <w:sz w:val="24"/>
          <w:szCs w:val="22"/>
        </w:rPr>
        <w:t xml:space="preserve">По состоянию на </w:t>
      </w:r>
      <w:r>
        <w:rPr>
          <w:sz w:val="24"/>
          <w:szCs w:val="22"/>
        </w:rPr>
        <w:br/>
      </w:r>
      <w:r w:rsidRPr="00553A54">
        <w:rPr>
          <w:sz w:val="24"/>
          <w:szCs w:val="22"/>
        </w:rPr>
        <w:t>1 января 2019 года банковская система Приднестровья была представлена тремя коммерческими банками (табл. 2.1), два из которых (ЗАО «Агропромбанк» и ЗАО «Приднестровский сберегательный банк») осуществляют деятельность в форме закрытого акционерного общества, один банк (ОАО «Эксимбанк») – в форме открытого.</w:t>
      </w:r>
    </w:p>
    <w:p w:rsidR="00C20988" w:rsidRDefault="00C20988" w:rsidP="00553A54">
      <w:pPr>
        <w:ind w:firstLine="425"/>
        <w:jc w:val="both"/>
        <w:rPr>
          <w:sz w:val="24"/>
          <w:szCs w:val="22"/>
        </w:rPr>
      </w:pPr>
    </w:p>
    <w:p w:rsidR="00C20988" w:rsidRDefault="00C20988" w:rsidP="00553A54">
      <w:pPr>
        <w:ind w:firstLine="425"/>
        <w:jc w:val="both"/>
        <w:rPr>
          <w:sz w:val="24"/>
          <w:szCs w:val="22"/>
        </w:rPr>
      </w:pPr>
    </w:p>
    <w:p w:rsidR="00C20988" w:rsidRPr="00553A54" w:rsidRDefault="00C20988" w:rsidP="00553A54">
      <w:pPr>
        <w:widowControl w:val="0"/>
        <w:spacing w:before="120" w:after="120"/>
        <w:ind w:firstLine="709"/>
        <w:jc w:val="right"/>
        <w:rPr>
          <w:b/>
          <w:bCs/>
          <w:i/>
          <w:iCs/>
          <w:sz w:val="24"/>
          <w:szCs w:val="24"/>
        </w:rPr>
      </w:pPr>
      <w:r w:rsidRPr="00553A54">
        <w:rPr>
          <w:b/>
          <w:bCs/>
          <w:i/>
          <w:iCs/>
          <w:sz w:val="24"/>
          <w:szCs w:val="24"/>
        </w:rPr>
        <w:t xml:space="preserve">Таблица 2.1 </w:t>
      </w:r>
    </w:p>
    <w:p w:rsidR="00C20988" w:rsidRPr="00553A54" w:rsidRDefault="00C20988" w:rsidP="00553A54">
      <w:pPr>
        <w:pStyle w:val="PlainText"/>
        <w:widowControl w:val="0"/>
        <w:spacing w:after="120"/>
        <w:ind w:firstLine="709"/>
        <w:jc w:val="center"/>
        <w:rPr>
          <w:rFonts w:ascii="Times New Roman" w:hAnsi="Times New Roman" w:cs="Times New Roman"/>
          <w:b/>
          <w:bCs/>
          <w:i/>
          <w:iCs/>
          <w:sz w:val="24"/>
          <w:szCs w:val="24"/>
          <w:lang w:val="ru-RU" w:eastAsia="ru-RU"/>
        </w:rPr>
      </w:pPr>
      <w:r w:rsidRPr="00553A54">
        <w:rPr>
          <w:rFonts w:ascii="Times New Roman" w:hAnsi="Times New Roman" w:cs="Times New Roman"/>
          <w:b/>
          <w:bCs/>
          <w:i/>
          <w:iCs/>
          <w:sz w:val="24"/>
          <w:szCs w:val="24"/>
          <w:lang w:val="ru-RU" w:eastAsia="ru-RU"/>
        </w:rPr>
        <w:t>Структура банковского сектора, ед.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9"/>
        <w:gridCol w:w="2180"/>
        <w:gridCol w:w="2180"/>
      </w:tblGrid>
      <w:tr w:rsidR="00C20988" w:rsidRPr="00553A54" w:rsidTr="00790507">
        <w:trPr>
          <w:trHeight w:val="284"/>
        </w:trPr>
        <w:tc>
          <w:tcPr>
            <w:tcW w:w="5279" w:type="dxa"/>
            <w:tcBorders>
              <w:bottom w:val="double" w:sz="4" w:space="0" w:color="auto"/>
            </w:tcBorders>
            <w:shd w:val="clear" w:color="auto" w:fill="CCCCCC"/>
          </w:tcPr>
          <w:p w:rsidR="00C20988" w:rsidRPr="00553A54" w:rsidRDefault="00C20988" w:rsidP="00553A54">
            <w:pPr>
              <w:pStyle w:val="BodyTextIndent"/>
              <w:widowControl w:val="0"/>
              <w:spacing w:after="0"/>
              <w:ind w:left="284" w:right="-96" w:firstLine="709"/>
              <w:jc w:val="center"/>
              <w:rPr>
                <w:sz w:val="22"/>
                <w:szCs w:val="22"/>
              </w:rPr>
            </w:pPr>
          </w:p>
        </w:tc>
        <w:tc>
          <w:tcPr>
            <w:tcW w:w="2180" w:type="dxa"/>
            <w:tcBorders>
              <w:bottom w:val="double" w:sz="4" w:space="0" w:color="auto"/>
            </w:tcBorders>
            <w:shd w:val="clear" w:color="auto" w:fill="CCCCCC"/>
            <w:vAlign w:val="center"/>
          </w:tcPr>
          <w:p w:rsidR="00C20988" w:rsidRPr="00553A54" w:rsidRDefault="00C20988" w:rsidP="00553A54">
            <w:pPr>
              <w:pStyle w:val="BodyTextIndent"/>
              <w:widowControl w:val="0"/>
              <w:spacing w:after="0"/>
              <w:ind w:left="-102"/>
              <w:jc w:val="center"/>
              <w:rPr>
                <w:sz w:val="22"/>
                <w:szCs w:val="22"/>
              </w:rPr>
            </w:pPr>
            <w:r w:rsidRPr="00553A54">
              <w:rPr>
                <w:sz w:val="22"/>
                <w:szCs w:val="22"/>
              </w:rPr>
              <w:t>на 01.01.2018</w:t>
            </w:r>
          </w:p>
        </w:tc>
        <w:tc>
          <w:tcPr>
            <w:tcW w:w="2180" w:type="dxa"/>
            <w:tcBorders>
              <w:bottom w:val="double" w:sz="4" w:space="0" w:color="auto"/>
            </w:tcBorders>
            <w:shd w:val="clear" w:color="auto" w:fill="CCCCCC"/>
            <w:vAlign w:val="center"/>
          </w:tcPr>
          <w:p w:rsidR="00C20988" w:rsidRPr="00553A54" w:rsidRDefault="00C20988" w:rsidP="00553A54">
            <w:pPr>
              <w:pStyle w:val="BodyTextIndent"/>
              <w:widowControl w:val="0"/>
              <w:spacing w:after="0"/>
              <w:ind w:left="-125" w:firstLine="11"/>
              <w:jc w:val="center"/>
              <w:rPr>
                <w:sz w:val="22"/>
                <w:szCs w:val="22"/>
              </w:rPr>
            </w:pPr>
            <w:r w:rsidRPr="00553A54">
              <w:rPr>
                <w:sz w:val="22"/>
                <w:szCs w:val="22"/>
              </w:rPr>
              <w:t>на 01.01.2019</w:t>
            </w:r>
          </w:p>
        </w:tc>
      </w:tr>
      <w:tr w:rsidR="00C20988" w:rsidRPr="00553A54" w:rsidTr="00790507">
        <w:trPr>
          <w:trHeight w:val="114"/>
        </w:trPr>
        <w:tc>
          <w:tcPr>
            <w:tcW w:w="5279" w:type="dxa"/>
            <w:tcBorders>
              <w:top w:val="double" w:sz="4" w:space="0" w:color="auto"/>
            </w:tcBorders>
            <w:vAlign w:val="center"/>
          </w:tcPr>
          <w:p w:rsidR="00C20988" w:rsidRPr="00553A54" w:rsidRDefault="00C20988" w:rsidP="00553A54">
            <w:pPr>
              <w:pStyle w:val="CharChar"/>
              <w:widowControl w:val="0"/>
              <w:ind w:right="-96"/>
              <w:rPr>
                <w:rFonts w:ascii="Times New Roman" w:hAnsi="Times New Roman" w:cs="Times New Roman"/>
                <w:sz w:val="22"/>
                <w:szCs w:val="22"/>
                <w:lang w:val="ru-RU"/>
              </w:rPr>
            </w:pPr>
            <w:r w:rsidRPr="00553A54">
              <w:rPr>
                <w:rFonts w:ascii="Times New Roman" w:hAnsi="Times New Roman" w:cs="Times New Roman"/>
                <w:sz w:val="22"/>
                <w:szCs w:val="22"/>
                <w:lang w:val="ru-RU"/>
              </w:rPr>
              <w:t xml:space="preserve">Коммерческие банки (действующие) </w:t>
            </w:r>
          </w:p>
        </w:tc>
        <w:tc>
          <w:tcPr>
            <w:tcW w:w="2180" w:type="dxa"/>
            <w:tcBorders>
              <w:top w:val="double" w:sz="4" w:space="0" w:color="auto"/>
            </w:tcBorders>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3</w:t>
            </w:r>
          </w:p>
        </w:tc>
        <w:tc>
          <w:tcPr>
            <w:tcW w:w="2180" w:type="dxa"/>
            <w:tcBorders>
              <w:top w:val="double" w:sz="4" w:space="0" w:color="auto"/>
            </w:tcBorders>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3</w:t>
            </w:r>
          </w:p>
        </w:tc>
      </w:tr>
      <w:tr w:rsidR="00C20988" w:rsidRPr="00553A54" w:rsidTr="00790507">
        <w:trPr>
          <w:trHeight w:val="96"/>
        </w:trPr>
        <w:tc>
          <w:tcPr>
            <w:tcW w:w="5279" w:type="dxa"/>
            <w:tcBorders>
              <w:top w:val="nil"/>
              <w:bottom w:val="nil"/>
            </w:tcBorders>
            <w:vAlign w:val="center"/>
          </w:tcPr>
          <w:p w:rsidR="00C20988" w:rsidRPr="00553A54" w:rsidRDefault="00C20988" w:rsidP="00553A54">
            <w:pPr>
              <w:pStyle w:val="CharChar"/>
              <w:widowControl w:val="0"/>
              <w:ind w:left="162" w:right="-96"/>
              <w:rPr>
                <w:rFonts w:ascii="Times New Roman" w:hAnsi="Times New Roman" w:cs="Times New Roman"/>
                <w:sz w:val="22"/>
                <w:szCs w:val="22"/>
                <w:lang w:val="ru-RU"/>
              </w:rPr>
            </w:pPr>
            <w:r w:rsidRPr="00553A54">
              <w:rPr>
                <w:rFonts w:ascii="Times New Roman" w:hAnsi="Times New Roman" w:cs="Times New Roman"/>
                <w:sz w:val="22"/>
                <w:szCs w:val="22"/>
                <w:lang w:val="ru-RU"/>
              </w:rPr>
              <w:t>из них:</w:t>
            </w:r>
          </w:p>
        </w:tc>
        <w:tc>
          <w:tcPr>
            <w:tcW w:w="2180" w:type="dxa"/>
            <w:tcBorders>
              <w:top w:val="nil"/>
              <w:bottom w:val="nil"/>
            </w:tcBorders>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p>
        </w:tc>
        <w:tc>
          <w:tcPr>
            <w:tcW w:w="2180" w:type="dxa"/>
            <w:tcBorders>
              <w:top w:val="nil"/>
              <w:bottom w:val="nil"/>
            </w:tcBorders>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p>
        </w:tc>
      </w:tr>
      <w:tr w:rsidR="00C20988" w:rsidRPr="00553A54" w:rsidTr="00790507">
        <w:trPr>
          <w:trHeight w:val="96"/>
        </w:trPr>
        <w:tc>
          <w:tcPr>
            <w:tcW w:w="5279" w:type="dxa"/>
            <w:tcBorders>
              <w:top w:val="nil"/>
              <w:bottom w:val="nil"/>
            </w:tcBorders>
            <w:vAlign w:val="center"/>
          </w:tcPr>
          <w:p w:rsidR="00C20988" w:rsidRPr="00553A54" w:rsidRDefault="00C20988" w:rsidP="00553A54">
            <w:pPr>
              <w:pStyle w:val="CharChar"/>
              <w:widowControl w:val="0"/>
              <w:ind w:left="162" w:right="-96"/>
              <w:rPr>
                <w:rFonts w:ascii="Times New Roman" w:hAnsi="Times New Roman" w:cs="Times New Roman"/>
                <w:sz w:val="22"/>
                <w:szCs w:val="22"/>
                <w:lang w:val="ru-RU"/>
              </w:rPr>
            </w:pPr>
            <w:r w:rsidRPr="00553A54">
              <w:rPr>
                <w:rFonts w:ascii="Times New Roman" w:hAnsi="Times New Roman" w:cs="Times New Roman"/>
                <w:sz w:val="22"/>
                <w:szCs w:val="22"/>
                <w:lang w:val="ru-RU"/>
              </w:rPr>
              <w:t>- с государственным участием</w:t>
            </w:r>
          </w:p>
        </w:tc>
        <w:tc>
          <w:tcPr>
            <w:tcW w:w="2180" w:type="dxa"/>
            <w:tcBorders>
              <w:top w:val="nil"/>
              <w:bottom w:val="nil"/>
            </w:tcBorders>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2</w:t>
            </w:r>
          </w:p>
        </w:tc>
        <w:tc>
          <w:tcPr>
            <w:tcW w:w="2180" w:type="dxa"/>
            <w:tcBorders>
              <w:top w:val="nil"/>
              <w:bottom w:val="nil"/>
            </w:tcBorders>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2</w:t>
            </w:r>
          </w:p>
        </w:tc>
      </w:tr>
      <w:tr w:rsidR="00C20988" w:rsidRPr="00553A54" w:rsidTr="00790507">
        <w:trPr>
          <w:trHeight w:val="62"/>
        </w:trPr>
        <w:tc>
          <w:tcPr>
            <w:tcW w:w="5279" w:type="dxa"/>
            <w:tcBorders>
              <w:top w:val="nil"/>
            </w:tcBorders>
            <w:vAlign w:val="center"/>
          </w:tcPr>
          <w:p w:rsidR="00C20988" w:rsidRPr="00553A54" w:rsidRDefault="00C20988" w:rsidP="00553A54">
            <w:pPr>
              <w:pStyle w:val="CharChar"/>
              <w:widowControl w:val="0"/>
              <w:ind w:left="162" w:right="-96"/>
              <w:rPr>
                <w:rFonts w:ascii="Times New Roman" w:hAnsi="Times New Roman" w:cs="Times New Roman"/>
                <w:sz w:val="22"/>
                <w:szCs w:val="22"/>
                <w:lang w:val="ru-RU"/>
              </w:rPr>
            </w:pPr>
            <w:r w:rsidRPr="00553A54">
              <w:rPr>
                <w:rFonts w:ascii="Times New Roman" w:hAnsi="Times New Roman" w:cs="Times New Roman"/>
                <w:sz w:val="22"/>
                <w:szCs w:val="22"/>
                <w:lang w:val="ru-RU"/>
              </w:rPr>
              <w:t>- с иностранным участием</w:t>
            </w:r>
          </w:p>
        </w:tc>
        <w:tc>
          <w:tcPr>
            <w:tcW w:w="2180" w:type="dxa"/>
            <w:tcBorders>
              <w:top w:val="nil"/>
            </w:tcBorders>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w:t>
            </w:r>
          </w:p>
        </w:tc>
        <w:tc>
          <w:tcPr>
            <w:tcW w:w="2180" w:type="dxa"/>
            <w:tcBorders>
              <w:top w:val="nil"/>
            </w:tcBorders>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w:t>
            </w:r>
          </w:p>
        </w:tc>
      </w:tr>
      <w:tr w:rsidR="00C20988" w:rsidRPr="00553A54" w:rsidTr="00790507">
        <w:trPr>
          <w:trHeight w:val="284"/>
        </w:trPr>
        <w:tc>
          <w:tcPr>
            <w:tcW w:w="5279" w:type="dxa"/>
            <w:vAlign w:val="center"/>
          </w:tcPr>
          <w:p w:rsidR="00C20988" w:rsidRPr="00553A54" w:rsidRDefault="00C20988" w:rsidP="00553A54">
            <w:pPr>
              <w:pStyle w:val="CharChar"/>
              <w:widowControl w:val="0"/>
              <w:ind w:right="-96"/>
              <w:rPr>
                <w:rFonts w:ascii="Times New Roman" w:hAnsi="Times New Roman" w:cs="Times New Roman"/>
                <w:sz w:val="22"/>
                <w:szCs w:val="22"/>
              </w:rPr>
            </w:pPr>
            <w:r w:rsidRPr="00553A54">
              <w:rPr>
                <w:rFonts w:ascii="Times New Roman" w:hAnsi="Times New Roman" w:cs="Times New Roman"/>
                <w:sz w:val="22"/>
                <w:szCs w:val="22"/>
                <w:lang w:val="ru-RU"/>
              </w:rPr>
              <w:t>Филиалы коммерч</w:t>
            </w:r>
            <w:r w:rsidRPr="00553A54">
              <w:rPr>
                <w:rFonts w:ascii="Times New Roman" w:hAnsi="Times New Roman" w:cs="Times New Roman"/>
                <w:sz w:val="22"/>
                <w:szCs w:val="22"/>
              </w:rPr>
              <w:t>еских банков</w:t>
            </w:r>
          </w:p>
        </w:tc>
        <w:tc>
          <w:tcPr>
            <w:tcW w:w="2180" w:type="dxa"/>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15</w:t>
            </w:r>
          </w:p>
        </w:tc>
        <w:tc>
          <w:tcPr>
            <w:tcW w:w="2180" w:type="dxa"/>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14</w:t>
            </w:r>
          </w:p>
        </w:tc>
      </w:tr>
      <w:tr w:rsidR="00C20988" w:rsidRPr="00553A54" w:rsidTr="00790507">
        <w:trPr>
          <w:trHeight w:val="54"/>
        </w:trPr>
        <w:tc>
          <w:tcPr>
            <w:tcW w:w="5279" w:type="dxa"/>
            <w:vAlign w:val="center"/>
          </w:tcPr>
          <w:p w:rsidR="00C20988" w:rsidRPr="00553A54" w:rsidRDefault="00C20988" w:rsidP="00553A54">
            <w:pPr>
              <w:pStyle w:val="CharChar"/>
              <w:widowControl w:val="0"/>
              <w:ind w:right="-96"/>
              <w:rPr>
                <w:rFonts w:ascii="Times New Roman" w:hAnsi="Times New Roman" w:cs="Times New Roman"/>
                <w:sz w:val="22"/>
                <w:szCs w:val="22"/>
              </w:rPr>
            </w:pPr>
            <w:r w:rsidRPr="00553A54">
              <w:rPr>
                <w:rFonts w:ascii="Times New Roman" w:hAnsi="Times New Roman" w:cs="Times New Roman"/>
                <w:sz w:val="22"/>
                <w:szCs w:val="22"/>
              </w:rPr>
              <w:t>Отделения коммерческих банков</w:t>
            </w:r>
          </w:p>
        </w:tc>
        <w:tc>
          <w:tcPr>
            <w:tcW w:w="2180" w:type="dxa"/>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207</w:t>
            </w:r>
          </w:p>
        </w:tc>
        <w:tc>
          <w:tcPr>
            <w:tcW w:w="2180" w:type="dxa"/>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219</w:t>
            </w:r>
          </w:p>
        </w:tc>
      </w:tr>
      <w:tr w:rsidR="00C20988" w:rsidRPr="00553A54" w:rsidTr="00790507">
        <w:trPr>
          <w:trHeight w:val="214"/>
        </w:trPr>
        <w:tc>
          <w:tcPr>
            <w:tcW w:w="5279" w:type="dxa"/>
            <w:vAlign w:val="center"/>
          </w:tcPr>
          <w:p w:rsidR="00C20988" w:rsidRPr="00553A54" w:rsidRDefault="00C20988" w:rsidP="00553A54">
            <w:pPr>
              <w:pStyle w:val="CharChar"/>
              <w:widowControl w:val="0"/>
              <w:ind w:right="-96"/>
              <w:rPr>
                <w:rFonts w:ascii="Times New Roman" w:hAnsi="Times New Roman" w:cs="Times New Roman"/>
                <w:sz w:val="22"/>
                <w:szCs w:val="22"/>
                <w:lang w:val="ru-RU"/>
              </w:rPr>
            </w:pPr>
            <w:r w:rsidRPr="00553A54">
              <w:rPr>
                <w:rFonts w:ascii="Times New Roman" w:hAnsi="Times New Roman" w:cs="Times New Roman"/>
                <w:sz w:val="22"/>
                <w:szCs w:val="22"/>
                <w:lang w:val="ru-RU"/>
              </w:rPr>
              <w:t xml:space="preserve">Небанковские кредитные организации (действующие) </w:t>
            </w:r>
          </w:p>
        </w:tc>
        <w:tc>
          <w:tcPr>
            <w:tcW w:w="2180" w:type="dxa"/>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2</w:t>
            </w:r>
          </w:p>
        </w:tc>
        <w:tc>
          <w:tcPr>
            <w:tcW w:w="2180" w:type="dxa"/>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1</w:t>
            </w:r>
          </w:p>
        </w:tc>
      </w:tr>
      <w:tr w:rsidR="00C20988" w:rsidRPr="00553A54" w:rsidTr="00790507">
        <w:trPr>
          <w:trHeight w:val="52"/>
        </w:trPr>
        <w:tc>
          <w:tcPr>
            <w:tcW w:w="5279" w:type="dxa"/>
            <w:vAlign w:val="center"/>
          </w:tcPr>
          <w:p w:rsidR="00C20988" w:rsidRPr="00553A54" w:rsidRDefault="00C20988" w:rsidP="00553A54">
            <w:pPr>
              <w:pStyle w:val="CharChar"/>
              <w:widowControl w:val="0"/>
              <w:tabs>
                <w:tab w:val="left" w:pos="283"/>
              </w:tabs>
              <w:ind w:left="162" w:right="-96"/>
              <w:rPr>
                <w:rFonts w:ascii="Times New Roman" w:hAnsi="Times New Roman" w:cs="Times New Roman"/>
                <w:sz w:val="22"/>
                <w:szCs w:val="22"/>
                <w:lang w:val="ru-RU"/>
              </w:rPr>
            </w:pPr>
            <w:r w:rsidRPr="00553A54">
              <w:rPr>
                <w:rFonts w:ascii="Times New Roman" w:hAnsi="Times New Roman" w:cs="Times New Roman"/>
                <w:sz w:val="22"/>
                <w:szCs w:val="22"/>
                <w:lang w:val="ru-RU"/>
              </w:rPr>
              <w:t xml:space="preserve"> - из них с иностранным участием</w:t>
            </w:r>
          </w:p>
        </w:tc>
        <w:tc>
          <w:tcPr>
            <w:tcW w:w="2180" w:type="dxa"/>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w:t>
            </w:r>
          </w:p>
        </w:tc>
        <w:tc>
          <w:tcPr>
            <w:tcW w:w="2180" w:type="dxa"/>
            <w:vAlign w:val="center"/>
          </w:tcPr>
          <w:p w:rsidR="00C20988" w:rsidRPr="00553A54" w:rsidRDefault="00C20988" w:rsidP="00553A54">
            <w:pPr>
              <w:pStyle w:val="BodyTextIndent"/>
              <w:widowControl w:val="0"/>
              <w:tabs>
                <w:tab w:val="left" w:pos="2148"/>
              </w:tabs>
              <w:spacing w:after="0"/>
              <w:ind w:left="-374" w:right="-20" w:firstLine="238"/>
              <w:jc w:val="center"/>
              <w:rPr>
                <w:sz w:val="22"/>
                <w:szCs w:val="22"/>
              </w:rPr>
            </w:pPr>
            <w:r w:rsidRPr="00553A54">
              <w:rPr>
                <w:sz w:val="22"/>
                <w:szCs w:val="22"/>
              </w:rPr>
              <w:t>-</w:t>
            </w:r>
          </w:p>
        </w:tc>
      </w:tr>
    </w:tbl>
    <w:p w:rsidR="00C20988" w:rsidRPr="00553A54" w:rsidRDefault="00C20988" w:rsidP="000D5444">
      <w:pPr>
        <w:widowControl w:val="0"/>
        <w:spacing w:before="120"/>
        <w:ind w:firstLine="425"/>
        <w:jc w:val="both"/>
        <w:rPr>
          <w:sz w:val="24"/>
          <w:szCs w:val="24"/>
        </w:rPr>
      </w:pPr>
      <w:r w:rsidRPr="00553A54">
        <w:rPr>
          <w:sz w:val="24"/>
          <w:szCs w:val="24"/>
        </w:rPr>
        <w:t>Суммарная величина зарегистрированного уставного капитала действующих банков по состоянию на 1 января 2019 года составила 1 438,1 млн руб., что на 26,5 млн руб. больше показателя на</w:t>
      </w:r>
      <w:r>
        <w:rPr>
          <w:sz w:val="24"/>
          <w:szCs w:val="24"/>
        </w:rPr>
        <w:t xml:space="preserve"> начало 2018 года. Данный рост </w:t>
      </w:r>
      <w:r w:rsidRPr="00553A54">
        <w:rPr>
          <w:sz w:val="24"/>
          <w:szCs w:val="24"/>
        </w:rPr>
        <w:t xml:space="preserve">был обеспечен исключительно </w:t>
      </w:r>
      <w:r>
        <w:rPr>
          <w:sz w:val="24"/>
          <w:szCs w:val="24"/>
        </w:rPr>
        <w:t>переоценкой</w:t>
      </w:r>
      <w:r w:rsidRPr="00553A54">
        <w:rPr>
          <w:sz w:val="24"/>
          <w:szCs w:val="24"/>
        </w:rPr>
        <w:t xml:space="preserve"> валютной части акционерного капитала.</w:t>
      </w:r>
    </w:p>
    <w:p w:rsidR="00C20988" w:rsidRPr="00553A54" w:rsidRDefault="00C20988" w:rsidP="000D5444">
      <w:pPr>
        <w:widowControl w:val="0"/>
        <w:ind w:firstLine="425"/>
        <w:jc w:val="both"/>
        <w:rPr>
          <w:sz w:val="24"/>
        </w:rPr>
      </w:pPr>
      <w:r w:rsidRPr="00553A54">
        <w:rPr>
          <w:sz w:val="24"/>
          <w:szCs w:val="24"/>
        </w:rPr>
        <w:t xml:space="preserve">Количество небанковских кредитных организаций, действующих на основании лицензии на право совершения отдельных банковских операций, сократилось. В 2018 году лицензии трёх кредитных организаций </w:t>
      </w:r>
      <w:r>
        <w:rPr>
          <w:sz w:val="24"/>
          <w:szCs w:val="24"/>
        </w:rPr>
        <w:t>(</w:t>
      </w:r>
      <w:r w:rsidRPr="00553A54">
        <w:rPr>
          <w:sz w:val="24"/>
          <w:szCs w:val="24"/>
        </w:rPr>
        <w:t>ООО «КО «ЭКЮ», ООО «КО «Трэйд Стар» и ООО КО «Интерфинанс»</w:t>
      </w:r>
      <w:r>
        <w:rPr>
          <w:sz w:val="24"/>
          <w:szCs w:val="24"/>
        </w:rPr>
        <w:t>) утратили юридическую силу</w:t>
      </w:r>
      <w:r w:rsidRPr="00553A54">
        <w:rPr>
          <w:sz w:val="24"/>
        </w:rPr>
        <w:t xml:space="preserve">. Также прекращён статус кредитной организации </w:t>
      </w:r>
      <w:r w:rsidRPr="00553A54">
        <w:rPr>
          <w:sz w:val="24"/>
          <w:szCs w:val="24"/>
        </w:rPr>
        <w:t>ДООО КО «Европлюс</w:t>
      </w:r>
      <w:r w:rsidRPr="00553A54">
        <w:rPr>
          <w:sz w:val="24"/>
        </w:rPr>
        <w:t>», лицензия которого утратила юридическую силу в</w:t>
      </w:r>
      <w:r w:rsidRPr="00553A54">
        <w:rPr>
          <w:sz w:val="24"/>
          <w:szCs w:val="24"/>
        </w:rPr>
        <w:t xml:space="preserve"> декабре 2017 года</w:t>
      </w:r>
      <w:r w:rsidRPr="00553A54">
        <w:rPr>
          <w:sz w:val="24"/>
        </w:rPr>
        <w:t>.</w:t>
      </w:r>
      <w:r>
        <w:rPr>
          <w:sz w:val="24"/>
        </w:rPr>
        <w:t xml:space="preserve"> </w:t>
      </w:r>
      <w:r w:rsidRPr="00553A54">
        <w:rPr>
          <w:sz w:val="24"/>
          <w:szCs w:val="24"/>
        </w:rPr>
        <w:t>В результате суммарная величина зарегистрированного уставного капитала небанковских кредитных организаций сократилась на 45,4 млн руб. и на 1 января 2019 года составила</w:t>
      </w:r>
      <w:r>
        <w:rPr>
          <w:sz w:val="24"/>
          <w:szCs w:val="24"/>
        </w:rPr>
        <w:t xml:space="preserve"> </w:t>
      </w:r>
      <w:r w:rsidRPr="00553A54">
        <w:rPr>
          <w:sz w:val="24"/>
          <w:szCs w:val="24"/>
        </w:rPr>
        <w:t xml:space="preserve">9,5 млн руб. </w:t>
      </w:r>
    </w:p>
    <w:p w:rsidR="00C20988" w:rsidRPr="00553A54" w:rsidRDefault="00C20988" w:rsidP="000D5444">
      <w:pPr>
        <w:ind w:firstLine="425"/>
        <w:jc w:val="both"/>
        <w:rPr>
          <w:sz w:val="24"/>
          <w:szCs w:val="24"/>
        </w:rPr>
      </w:pPr>
      <w:r w:rsidRPr="00553A54">
        <w:rPr>
          <w:sz w:val="24"/>
          <w:szCs w:val="24"/>
        </w:rPr>
        <w:t>В 2018 году коммерческими банками было открыто 35 отделений, закрыто – 7 отделений. Процедуру перерегистрации прошло 260 отделений. Таким образом, на 1 января 2019 года действует 219 отделений коммерческих банков против 207 – на 1 января 2018 года.</w:t>
      </w:r>
      <w:r>
        <w:rPr>
          <w:sz w:val="24"/>
          <w:szCs w:val="24"/>
        </w:rPr>
        <w:t xml:space="preserve"> Кроме того,</w:t>
      </w:r>
      <w:r w:rsidRPr="00553A54">
        <w:rPr>
          <w:sz w:val="24"/>
          <w:szCs w:val="24"/>
        </w:rPr>
        <w:t xml:space="preserve"> коммерческими банками и небанковск</w:t>
      </w:r>
      <w:r>
        <w:rPr>
          <w:sz w:val="24"/>
          <w:szCs w:val="24"/>
        </w:rPr>
        <w:t>ой</w:t>
      </w:r>
      <w:r w:rsidRPr="00553A54">
        <w:rPr>
          <w:sz w:val="24"/>
          <w:szCs w:val="24"/>
        </w:rPr>
        <w:t xml:space="preserve"> кредитн</w:t>
      </w:r>
      <w:r>
        <w:rPr>
          <w:sz w:val="24"/>
          <w:szCs w:val="24"/>
        </w:rPr>
        <w:t>ой</w:t>
      </w:r>
      <w:r w:rsidRPr="00553A54">
        <w:rPr>
          <w:sz w:val="24"/>
          <w:szCs w:val="24"/>
        </w:rPr>
        <w:t xml:space="preserve"> организаци</w:t>
      </w:r>
      <w:r>
        <w:rPr>
          <w:sz w:val="24"/>
          <w:szCs w:val="24"/>
        </w:rPr>
        <w:t>ей</w:t>
      </w:r>
      <w:r w:rsidRPr="00553A54">
        <w:rPr>
          <w:sz w:val="24"/>
          <w:szCs w:val="24"/>
        </w:rPr>
        <w:t xml:space="preserve"> было открыто 63 и закрыто 102 обменных пункт</w:t>
      </w:r>
      <w:r>
        <w:rPr>
          <w:sz w:val="24"/>
          <w:szCs w:val="24"/>
        </w:rPr>
        <w:t>а</w:t>
      </w:r>
      <w:r w:rsidRPr="00553A54">
        <w:rPr>
          <w:sz w:val="24"/>
          <w:szCs w:val="24"/>
        </w:rPr>
        <w:t>. Процедуру перерегистрации прошло 216 обменных пунктов. В итоге на 1 января 2019 года действует 322</w:t>
      </w:r>
      <w:r>
        <w:rPr>
          <w:sz w:val="24"/>
          <w:szCs w:val="24"/>
        </w:rPr>
        <w:t xml:space="preserve"> обменных пункта (361 </w:t>
      </w:r>
      <w:r w:rsidRPr="00553A54">
        <w:rPr>
          <w:sz w:val="24"/>
          <w:szCs w:val="24"/>
        </w:rPr>
        <w:t>– на 1 января 2018 года).</w:t>
      </w:r>
    </w:p>
    <w:p w:rsidR="00C20988" w:rsidRDefault="00C20988" w:rsidP="000D5444">
      <w:pPr>
        <w:ind w:firstLine="425"/>
        <w:jc w:val="both"/>
        <w:rPr>
          <w:sz w:val="24"/>
          <w:szCs w:val="24"/>
        </w:rPr>
      </w:pPr>
      <w:r w:rsidRPr="00384D3D">
        <w:rPr>
          <w:sz w:val="24"/>
          <w:szCs w:val="24"/>
        </w:rPr>
        <w:t xml:space="preserve">В </w:t>
      </w:r>
      <w:r>
        <w:rPr>
          <w:sz w:val="24"/>
          <w:szCs w:val="24"/>
        </w:rPr>
        <w:t>отчётном</w:t>
      </w:r>
      <w:r w:rsidRPr="00384D3D">
        <w:rPr>
          <w:sz w:val="24"/>
          <w:szCs w:val="24"/>
        </w:rPr>
        <w:t xml:space="preserve"> году была осуществлена регистрация (постановка на учёт) </w:t>
      </w:r>
      <w:r w:rsidRPr="00384D3D">
        <w:rPr>
          <w:sz w:val="24"/>
          <w:szCs w:val="24"/>
        </w:rPr>
        <w:br/>
        <w:t xml:space="preserve">ЗАО «Агропромбанк» в качестве </w:t>
      </w:r>
      <w:r w:rsidRPr="00F56CF8">
        <w:rPr>
          <w:sz w:val="24"/>
          <w:szCs w:val="24"/>
        </w:rPr>
        <w:t>банка-эмитента</w:t>
      </w:r>
      <w:r w:rsidRPr="00384D3D">
        <w:rPr>
          <w:sz w:val="24"/>
          <w:szCs w:val="24"/>
        </w:rPr>
        <w:t xml:space="preserve"> банковских карт платёжной системы «Мир» и ОАО «Эксимбанк» в качестве банка-эквайрера карт платёжной системы «Мир», а также в качестве банка-эмитента и банка-эквайрера международных платёжны</w:t>
      </w:r>
      <w:r>
        <w:rPr>
          <w:sz w:val="24"/>
          <w:szCs w:val="24"/>
        </w:rPr>
        <w:t xml:space="preserve">х систем «VISA» и «MasterCard», что было </w:t>
      </w:r>
      <w:r w:rsidRPr="00384D3D">
        <w:rPr>
          <w:sz w:val="24"/>
          <w:szCs w:val="24"/>
        </w:rPr>
        <w:t>внесен</w:t>
      </w:r>
      <w:r>
        <w:rPr>
          <w:sz w:val="24"/>
          <w:szCs w:val="24"/>
        </w:rPr>
        <w:t>о</w:t>
      </w:r>
      <w:r w:rsidRPr="00384D3D">
        <w:rPr>
          <w:sz w:val="24"/>
          <w:szCs w:val="24"/>
        </w:rPr>
        <w:t xml:space="preserve"> в Реестр банков-эмитентов и банков-эквайреров.</w:t>
      </w:r>
    </w:p>
    <w:p w:rsidR="00C20988" w:rsidRDefault="00C20988" w:rsidP="000D5444">
      <w:pPr>
        <w:ind w:firstLine="425"/>
        <w:jc w:val="both"/>
        <w:rPr>
          <w:sz w:val="24"/>
          <w:szCs w:val="24"/>
        </w:rPr>
      </w:pPr>
      <w:r w:rsidRPr="009873EE">
        <w:rPr>
          <w:color w:val="000000"/>
          <w:sz w:val="24"/>
          <w:szCs w:val="24"/>
        </w:rPr>
        <w:t>Во исполнение законодательно установленных функций в сфере регистрации и лицензирования Приднестровским республиканским банком были также приняты:</w:t>
      </w:r>
      <w:r w:rsidRPr="009873EE">
        <w:rPr>
          <w:sz w:val="24"/>
          <w:szCs w:val="24"/>
        </w:rPr>
        <w:t xml:space="preserve"> </w:t>
      </w:r>
    </w:p>
    <w:p w:rsidR="00C20988" w:rsidRDefault="00C20988" w:rsidP="000D5444">
      <w:pPr>
        <w:ind w:firstLine="425"/>
        <w:jc w:val="both"/>
        <w:rPr>
          <w:sz w:val="24"/>
          <w:szCs w:val="24"/>
        </w:rPr>
      </w:pPr>
      <w:r>
        <w:rPr>
          <w:sz w:val="24"/>
          <w:szCs w:val="24"/>
        </w:rPr>
        <w:t xml:space="preserve">– 4 </w:t>
      </w:r>
      <w:r w:rsidRPr="0069247F">
        <w:rPr>
          <w:sz w:val="24"/>
          <w:szCs w:val="24"/>
        </w:rPr>
        <w:t>решения о прекращении статуса кредитной организации и исключения из Книги государственной ре</w:t>
      </w:r>
      <w:r>
        <w:rPr>
          <w:sz w:val="24"/>
          <w:szCs w:val="24"/>
        </w:rPr>
        <w:t>гистрации кредитных организаций;</w:t>
      </w:r>
    </w:p>
    <w:p w:rsidR="00C20988" w:rsidRDefault="00C20988" w:rsidP="000D5444">
      <w:pPr>
        <w:ind w:firstLine="425"/>
        <w:jc w:val="both"/>
        <w:rPr>
          <w:sz w:val="24"/>
          <w:szCs w:val="24"/>
        </w:rPr>
      </w:pPr>
      <w:r>
        <w:rPr>
          <w:sz w:val="24"/>
          <w:szCs w:val="24"/>
        </w:rPr>
        <w:t>– 5</w:t>
      </w:r>
      <w:r w:rsidRPr="0069247F">
        <w:rPr>
          <w:sz w:val="24"/>
          <w:szCs w:val="24"/>
        </w:rPr>
        <w:t xml:space="preserve"> решений о государственной регистрации изменений в учредительных документах кредитных организаций;</w:t>
      </w:r>
    </w:p>
    <w:p w:rsidR="00C20988" w:rsidRDefault="00C20988" w:rsidP="000D5444">
      <w:pPr>
        <w:ind w:firstLine="425"/>
        <w:jc w:val="both"/>
        <w:rPr>
          <w:sz w:val="24"/>
          <w:szCs w:val="24"/>
        </w:rPr>
      </w:pPr>
      <w:r>
        <w:rPr>
          <w:sz w:val="24"/>
          <w:szCs w:val="24"/>
        </w:rPr>
        <w:t xml:space="preserve">– </w:t>
      </w:r>
      <w:r w:rsidRPr="0069247F">
        <w:rPr>
          <w:sz w:val="24"/>
          <w:szCs w:val="24"/>
        </w:rPr>
        <w:t>7 решений о согласовании в должности руко</w:t>
      </w:r>
      <w:r>
        <w:rPr>
          <w:sz w:val="24"/>
          <w:szCs w:val="24"/>
        </w:rPr>
        <w:t>водителей кредитных организаций.</w:t>
      </w:r>
    </w:p>
    <w:p w:rsidR="00C20988" w:rsidRDefault="00C20988" w:rsidP="000D5444">
      <w:pPr>
        <w:widowControl w:val="0"/>
        <w:ind w:firstLine="425"/>
        <w:jc w:val="both"/>
        <w:rPr>
          <w:sz w:val="24"/>
          <w:szCs w:val="24"/>
        </w:rPr>
      </w:pPr>
      <w:r w:rsidRPr="00553A54">
        <w:rPr>
          <w:sz w:val="24"/>
          <w:szCs w:val="24"/>
        </w:rPr>
        <w:t xml:space="preserve">В течение 2018 года в результате проведения камерального надзора (контроля) в сфере регистрации и лицензирования по фактам нарушения действующего законодательства, в том числе нормативно-правовых актов Приднестровского республиканского банка, были составлены и направлены кредитным организациям 14 актов и 4 предписания. </w:t>
      </w:r>
    </w:p>
    <w:p w:rsidR="00C20988" w:rsidRPr="00553A54" w:rsidRDefault="00C20988" w:rsidP="00414A0B">
      <w:pPr>
        <w:widowControl w:val="0"/>
        <w:spacing w:before="120" w:after="120"/>
        <w:ind w:left="11" w:firstLine="425"/>
        <w:jc w:val="both"/>
        <w:rPr>
          <w:i/>
          <w:iCs/>
          <w:sz w:val="24"/>
          <w:szCs w:val="24"/>
        </w:rPr>
      </w:pPr>
      <w:r w:rsidRPr="00553A54">
        <w:rPr>
          <w:i/>
          <w:iCs/>
          <w:sz w:val="24"/>
          <w:szCs w:val="24"/>
        </w:rPr>
        <w:t>Дистанционный надзор</w:t>
      </w:r>
    </w:p>
    <w:p w:rsidR="00C20988" w:rsidRPr="00384D3D" w:rsidRDefault="00C20988" w:rsidP="000D5444">
      <w:pPr>
        <w:spacing w:before="120"/>
        <w:ind w:firstLine="425"/>
        <w:jc w:val="both"/>
        <w:rPr>
          <w:sz w:val="24"/>
          <w:szCs w:val="24"/>
        </w:rPr>
      </w:pPr>
      <w:r w:rsidRPr="00384D3D">
        <w:rPr>
          <w:rFonts w:eastAsia="Times-Roman"/>
          <w:sz w:val="24"/>
          <w:szCs w:val="24"/>
        </w:rPr>
        <w:t xml:space="preserve">Одним из методов надзорной деятельности является </w:t>
      </w:r>
      <w:r w:rsidRPr="00384D3D">
        <w:rPr>
          <w:rFonts w:eastAsia="Times-BoldItalic"/>
          <w:bCs/>
          <w:iCs/>
          <w:sz w:val="24"/>
          <w:szCs w:val="24"/>
        </w:rPr>
        <w:t xml:space="preserve">дистанционный (документарный) надзор, </w:t>
      </w:r>
      <w:r w:rsidRPr="00384D3D">
        <w:rPr>
          <w:rFonts w:eastAsia="Times-Roman"/>
          <w:sz w:val="24"/>
          <w:szCs w:val="24"/>
        </w:rPr>
        <w:t xml:space="preserve">основанный на проверке форм отчётности, предоставляемых кредитными организациями на постоянной основе в центральный банк, что позволяет заранее обнаружить проблемы, которые могут вызвать риск неплатёжеспособности банков. В ходе осуществления указанных мероприятий </w:t>
      </w:r>
      <w:r w:rsidRPr="00384D3D">
        <w:rPr>
          <w:sz w:val="24"/>
          <w:szCs w:val="24"/>
        </w:rPr>
        <w:t>Приднестровский республиканский банк</w:t>
      </w:r>
      <w:r w:rsidRPr="00384D3D">
        <w:rPr>
          <w:rFonts w:eastAsia="Times-Roman"/>
          <w:sz w:val="24"/>
          <w:szCs w:val="24"/>
        </w:rPr>
        <w:t xml:space="preserve"> определял </w:t>
      </w:r>
      <w:r w:rsidRPr="00384D3D">
        <w:rPr>
          <w:sz w:val="24"/>
          <w:szCs w:val="24"/>
        </w:rPr>
        <w:t>соответствие проводимых кредитными организациями операций функциям и задачам, свойственным непосредственно банковским учреждениям, а также требованиям законодательства.</w:t>
      </w:r>
      <w:r w:rsidRPr="00384D3D">
        <w:rPr>
          <w:rFonts w:eastAsia="Times-Roman"/>
          <w:sz w:val="24"/>
          <w:szCs w:val="24"/>
        </w:rPr>
        <w:t xml:space="preserve"> </w:t>
      </w:r>
      <w:r w:rsidRPr="00384D3D">
        <w:rPr>
          <w:sz w:val="24"/>
          <w:szCs w:val="24"/>
        </w:rPr>
        <w:t xml:space="preserve">Проводилась работа по усилению дистанционного надзора в части совершенствования анализа показателей деятельности банков и соблюдения установленных нормативов. </w:t>
      </w:r>
    </w:p>
    <w:p w:rsidR="00C20988" w:rsidRPr="00384D3D" w:rsidRDefault="00C20988" w:rsidP="000D5444">
      <w:pPr>
        <w:ind w:firstLine="425"/>
        <w:jc w:val="both"/>
        <w:rPr>
          <w:rFonts w:eastAsia="Times-Roman"/>
          <w:sz w:val="24"/>
          <w:szCs w:val="24"/>
        </w:rPr>
      </w:pPr>
      <w:r w:rsidRPr="00384D3D">
        <w:rPr>
          <w:rFonts w:eastAsia="Times-Roman"/>
          <w:sz w:val="24"/>
          <w:szCs w:val="24"/>
        </w:rPr>
        <w:t xml:space="preserve">По результатам анализа отчётности </w:t>
      </w:r>
      <w:r>
        <w:rPr>
          <w:rFonts w:eastAsia="Times-Roman"/>
          <w:sz w:val="24"/>
          <w:szCs w:val="24"/>
        </w:rPr>
        <w:t>были</w:t>
      </w:r>
      <w:r w:rsidRPr="00384D3D">
        <w:rPr>
          <w:rFonts w:eastAsia="Times-Roman"/>
          <w:sz w:val="24"/>
          <w:szCs w:val="24"/>
        </w:rPr>
        <w:t xml:space="preserve"> составлены и направлены 24 акта и 6 предписаний по устранению выявленных нарушений</w:t>
      </w:r>
      <w:r w:rsidRPr="00F56CF8">
        <w:rPr>
          <w:rFonts w:eastAsia="Times-Roman"/>
          <w:sz w:val="24"/>
          <w:szCs w:val="24"/>
        </w:rPr>
        <w:t xml:space="preserve"> </w:t>
      </w:r>
      <w:r w:rsidRPr="00384D3D">
        <w:rPr>
          <w:rFonts w:eastAsia="Times-Roman"/>
          <w:sz w:val="24"/>
          <w:szCs w:val="24"/>
        </w:rPr>
        <w:t xml:space="preserve">действующего законодательства республики, в том числе нормативных актов Приднестровского республиканского банка. </w:t>
      </w:r>
    </w:p>
    <w:p w:rsidR="00C20988" w:rsidRPr="00553A54" w:rsidRDefault="00C20988" w:rsidP="000D5444">
      <w:pPr>
        <w:ind w:firstLine="425"/>
        <w:jc w:val="both"/>
        <w:rPr>
          <w:rFonts w:eastAsia="Times-Roman"/>
          <w:sz w:val="24"/>
          <w:szCs w:val="24"/>
        </w:rPr>
      </w:pPr>
      <w:r w:rsidRPr="00384D3D">
        <w:rPr>
          <w:rFonts w:eastAsia="Times-Roman"/>
          <w:sz w:val="24"/>
          <w:szCs w:val="24"/>
        </w:rPr>
        <w:t xml:space="preserve">В ходе осуществления дистанционного надзора была выявлена необходимость внесения дополнений и изменений в нормативные акты Приднестровского республиканского банка </w:t>
      </w:r>
      <w:r>
        <w:rPr>
          <w:rFonts w:eastAsia="Times-Roman"/>
          <w:sz w:val="24"/>
          <w:szCs w:val="24"/>
        </w:rPr>
        <w:t>в целях</w:t>
      </w:r>
      <w:r w:rsidRPr="00384D3D">
        <w:rPr>
          <w:rFonts w:eastAsia="Times-Roman"/>
          <w:sz w:val="24"/>
          <w:szCs w:val="24"/>
        </w:rPr>
        <w:t xml:space="preserve"> совершенствовани</w:t>
      </w:r>
      <w:r>
        <w:rPr>
          <w:rFonts w:eastAsia="Times-Roman"/>
          <w:sz w:val="24"/>
          <w:szCs w:val="24"/>
        </w:rPr>
        <w:t>я</w:t>
      </w:r>
      <w:r w:rsidRPr="00384D3D">
        <w:rPr>
          <w:rFonts w:eastAsia="Times-Roman"/>
          <w:sz w:val="24"/>
          <w:szCs w:val="24"/>
        </w:rPr>
        <w:t xml:space="preserve"> регулирования банковской деятельности.</w:t>
      </w:r>
      <w:r w:rsidRPr="00553A54">
        <w:rPr>
          <w:rFonts w:eastAsia="Times-Roman"/>
          <w:sz w:val="24"/>
          <w:szCs w:val="24"/>
        </w:rPr>
        <w:t xml:space="preserve"> </w:t>
      </w:r>
    </w:p>
    <w:p w:rsidR="00C20988" w:rsidRPr="00553A54" w:rsidRDefault="00C20988" w:rsidP="000D5444">
      <w:pPr>
        <w:widowControl w:val="0"/>
        <w:spacing w:before="120" w:after="120"/>
        <w:ind w:firstLine="425"/>
        <w:jc w:val="both"/>
        <w:rPr>
          <w:i/>
          <w:iCs/>
          <w:sz w:val="24"/>
          <w:szCs w:val="24"/>
        </w:rPr>
      </w:pPr>
      <w:r w:rsidRPr="00553A54">
        <w:rPr>
          <w:i/>
          <w:iCs/>
          <w:sz w:val="24"/>
          <w:szCs w:val="24"/>
        </w:rPr>
        <w:t>Банковское регулирование</w:t>
      </w:r>
    </w:p>
    <w:p w:rsidR="00C20988" w:rsidRPr="008D6CE0" w:rsidRDefault="00C20988" w:rsidP="000D5444">
      <w:pPr>
        <w:spacing w:before="120"/>
        <w:ind w:firstLine="425"/>
        <w:jc w:val="both"/>
        <w:rPr>
          <w:sz w:val="24"/>
          <w:szCs w:val="24"/>
        </w:rPr>
      </w:pPr>
      <w:r w:rsidRPr="008D6CE0">
        <w:rPr>
          <w:sz w:val="24"/>
          <w:szCs w:val="24"/>
        </w:rPr>
        <w:t>В 2018 году Приднестровский республиканский банк продолжил работу по совершенствованию банковского регулирования, направленного на повышение финансовой устойчивости кредитных организаций и сосредоточенного на реализации предусмотренных законодательством целей развития и поддержания стабильности банковского сектора ПМР, защиты интересов кредиторов и вкладчиков.</w:t>
      </w:r>
    </w:p>
    <w:p w:rsidR="00C20988" w:rsidRPr="000E32BD" w:rsidRDefault="00C20988" w:rsidP="000D5444">
      <w:pPr>
        <w:ind w:firstLine="425"/>
        <w:jc w:val="both"/>
        <w:rPr>
          <w:sz w:val="24"/>
          <w:szCs w:val="24"/>
        </w:rPr>
      </w:pPr>
      <w:r w:rsidRPr="008D6CE0">
        <w:rPr>
          <w:sz w:val="24"/>
          <w:szCs w:val="24"/>
        </w:rPr>
        <w:t>Особое внимание по-прежнему уделялось организации регулирования деятельности кредитных организаций, основанного на содержательных принципах</w:t>
      </w:r>
      <w:r>
        <w:rPr>
          <w:sz w:val="24"/>
          <w:szCs w:val="24"/>
        </w:rPr>
        <w:t>,</w:t>
      </w:r>
      <w:r w:rsidRPr="008D6CE0">
        <w:rPr>
          <w:sz w:val="24"/>
          <w:szCs w:val="24"/>
        </w:rPr>
        <w:t xml:space="preserve"> с целью выявления проблем в деятельности кредитных организаций на ранних стадиях их возникновения и своевременного и адекватного применения корректирующих мер.</w:t>
      </w:r>
      <w:r w:rsidRPr="000E32BD">
        <w:rPr>
          <w:sz w:val="24"/>
          <w:szCs w:val="24"/>
        </w:rPr>
        <w:t xml:space="preserve"> </w:t>
      </w:r>
    </w:p>
    <w:p w:rsidR="00C20988" w:rsidRPr="005C0CF5" w:rsidRDefault="00C20988" w:rsidP="000D5444">
      <w:pPr>
        <w:ind w:firstLine="425"/>
        <w:jc w:val="both"/>
        <w:rPr>
          <w:rFonts w:eastAsia="Times-Roman"/>
          <w:sz w:val="24"/>
          <w:szCs w:val="24"/>
        </w:rPr>
      </w:pPr>
      <w:r w:rsidRPr="005C0CF5">
        <w:rPr>
          <w:rFonts w:eastAsia="Times-Roman"/>
          <w:sz w:val="24"/>
          <w:szCs w:val="24"/>
        </w:rPr>
        <w:t>Основным инструментом исполнения функций надзора и регулирования является сочетание внешнего надзора с проведением комплексных и специализированных проверок.</w:t>
      </w:r>
    </w:p>
    <w:p w:rsidR="00C20988" w:rsidRPr="00553A54" w:rsidRDefault="00C20988" w:rsidP="000D5444">
      <w:pPr>
        <w:ind w:firstLine="425"/>
        <w:jc w:val="both"/>
        <w:rPr>
          <w:sz w:val="24"/>
          <w:szCs w:val="24"/>
        </w:rPr>
      </w:pPr>
      <w:r>
        <w:rPr>
          <w:sz w:val="24"/>
          <w:szCs w:val="24"/>
        </w:rPr>
        <w:t>В</w:t>
      </w:r>
      <w:r w:rsidRPr="00553A54">
        <w:rPr>
          <w:sz w:val="24"/>
          <w:szCs w:val="24"/>
        </w:rPr>
        <w:t xml:space="preserve"> течение 2018 года был внес</w:t>
      </w:r>
      <w:r>
        <w:rPr>
          <w:sz w:val="24"/>
          <w:szCs w:val="24"/>
        </w:rPr>
        <w:t>ё</w:t>
      </w:r>
      <w:r w:rsidRPr="00553A54">
        <w:rPr>
          <w:sz w:val="24"/>
          <w:szCs w:val="24"/>
        </w:rPr>
        <w:t>н ряд изменений и дополнений в нормативные акты центрального банка, регулирующие банковские риски</w:t>
      </w:r>
      <w:r>
        <w:rPr>
          <w:sz w:val="24"/>
          <w:szCs w:val="24"/>
        </w:rPr>
        <w:t>, необходимость которых была</w:t>
      </w:r>
      <w:r w:rsidRPr="00CF7E60">
        <w:rPr>
          <w:sz w:val="24"/>
          <w:szCs w:val="24"/>
        </w:rPr>
        <w:t xml:space="preserve"> </w:t>
      </w:r>
      <w:r w:rsidRPr="00553A54">
        <w:rPr>
          <w:sz w:val="24"/>
          <w:szCs w:val="24"/>
        </w:rPr>
        <w:t>выявлен</w:t>
      </w:r>
      <w:r>
        <w:rPr>
          <w:sz w:val="24"/>
          <w:szCs w:val="24"/>
        </w:rPr>
        <w:t>а</w:t>
      </w:r>
      <w:r w:rsidRPr="00553A54">
        <w:rPr>
          <w:sz w:val="24"/>
          <w:szCs w:val="24"/>
        </w:rPr>
        <w:t xml:space="preserve"> в ходе практического применения</w:t>
      </w:r>
      <w:r>
        <w:rPr>
          <w:sz w:val="24"/>
          <w:szCs w:val="24"/>
        </w:rPr>
        <w:t>:</w:t>
      </w:r>
    </w:p>
    <w:p w:rsidR="00C20988" w:rsidRPr="00920F87" w:rsidRDefault="00C20988" w:rsidP="00920F87">
      <w:pPr>
        <w:pStyle w:val="ListParagraph"/>
        <w:numPr>
          <w:ilvl w:val="0"/>
          <w:numId w:val="43"/>
        </w:numPr>
        <w:tabs>
          <w:tab w:val="left" w:pos="567"/>
        </w:tabs>
        <w:ind w:left="0" w:firstLine="426"/>
        <w:jc w:val="both"/>
        <w:rPr>
          <w:sz w:val="24"/>
          <w:szCs w:val="24"/>
        </w:rPr>
      </w:pPr>
      <w:r w:rsidRPr="00920F87">
        <w:rPr>
          <w:sz w:val="24"/>
          <w:szCs w:val="24"/>
        </w:rPr>
        <w:t>В Положение ПРБ от 10 ноября 2009 года № 91-П «О порядке формирования и использования кредитными организациями фонда риска» были внесены изменения, направленные на:</w:t>
      </w:r>
    </w:p>
    <w:p w:rsidR="00C20988" w:rsidRPr="00305E15" w:rsidRDefault="00C20988" w:rsidP="00553A54">
      <w:pPr>
        <w:pStyle w:val="ListParagraph"/>
        <w:numPr>
          <w:ilvl w:val="0"/>
          <w:numId w:val="31"/>
        </w:numPr>
        <w:tabs>
          <w:tab w:val="left" w:pos="567"/>
        </w:tabs>
        <w:ind w:left="567" w:hanging="283"/>
        <w:jc w:val="both"/>
        <w:rPr>
          <w:sz w:val="24"/>
          <w:szCs w:val="24"/>
        </w:rPr>
      </w:pPr>
      <w:r w:rsidRPr="00553A54">
        <w:rPr>
          <w:sz w:val="24"/>
          <w:szCs w:val="24"/>
        </w:rPr>
        <w:t xml:space="preserve">уменьшение нагрузки на банки республики в части формирования фонда риска по кредитам, предоставленным исполнительным органам государственной власти ПМР, в ведении которых находятся вопросы </w:t>
      </w:r>
      <w:r w:rsidRPr="00305E15">
        <w:rPr>
          <w:sz w:val="24"/>
          <w:szCs w:val="24"/>
        </w:rPr>
        <w:t>финансов;</w:t>
      </w:r>
    </w:p>
    <w:p w:rsidR="00C20988" w:rsidRPr="00553A54" w:rsidRDefault="00C20988" w:rsidP="00553A54">
      <w:pPr>
        <w:pStyle w:val="ListParagraph"/>
        <w:numPr>
          <w:ilvl w:val="0"/>
          <w:numId w:val="31"/>
        </w:numPr>
        <w:tabs>
          <w:tab w:val="left" w:pos="567"/>
        </w:tabs>
        <w:ind w:left="567" w:hanging="283"/>
        <w:jc w:val="both"/>
        <w:rPr>
          <w:sz w:val="24"/>
          <w:szCs w:val="24"/>
        </w:rPr>
      </w:pPr>
      <w:r w:rsidRPr="00553A54">
        <w:rPr>
          <w:sz w:val="24"/>
          <w:szCs w:val="24"/>
        </w:rPr>
        <w:t>смягчение пруденциальных требований к кредитным организациям:</w:t>
      </w:r>
    </w:p>
    <w:p w:rsidR="00C20988" w:rsidRPr="00553A54" w:rsidRDefault="00C20988" w:rsidP="00DE0BBF">
      <w:pPr>
        <w:pStyle w:val="ListParagraph"/>
        <w:tabs>
          <w:tab w:val="left" w:pos="851"/>
        </w:tabs>
        <w:ind w:left="567" w:firstLine="284"/>
        <w:jc w:val="both"/>
        <w:rPr>
          <w:sz w:val="24"/>
          <w:szCs w:val="24"/>
        </w:rPr>
      </w:pPr>
      <w:r w:rsidRPr="00553A54">
        <w:rPr>
          <w:sz w:val="24"/>
          <w:szCs w:val="24"/>
        </w:rPr>
        <w:t>а) для целей определения справедливой стоимости залога предельный срок его реализации был увеличен с 180 до 270 календарных дней. Одновременно увеличены сроки, по истечении которых с момента возникновения основания для обращения взыскания на залог обеспечение учитывается с дисконтом: 180-дневневный срок замен</w:t>
      </w:r>
      <w:r>
        <w:rPr>
          <w:sz w:val="24"/>
          <w:szCs w:val="24"/>
        </w:rPr>
        <w:t>ё</w:t>
      </w:r>
      <w:r w:rsidRPr="00553A54">
        <w:rPr>
          <w:sz w:val="24"/>
          <w:szCs w:val="24"/>
        </w:rPr>
        <w:t xml:space="preserve">н 270-дневным сроком, срок «свыше 270 календарных дней» увеличен до 365 календарных дней, срок «свыше 365 календарных дней» увеличен до 545 календарных дней; </w:t>
      </w:r>
    </w:p>
    <w:p w:rsidR="00C20988" w:rsidRPr="00553A54" w:rsidRDefault="00C20988" w:rsidP="00BA38DE">
      <w:pPr>
        <w:tabs>
          <w:tab w:val="left" w:pos="709"/>
          <w:tab w:val="left" w:pos="851"/>
        </w:tabs>
        <w:ind w:left="567" w:firstLine="284"/>
        <w:jc w:val="both"/>
        <w:rPr>
          <w:sz w:val="24"/>
          <w:szCs w:val="24"/>
        </w:rPr>
      </w:pPr>
      <w:r w:rsidRPr="00553A54">
        <w:rPr>
          <w:sz w:val="24"/>
          <w:szCs w:val="24"/>
        </w:rPr>
        <w:t xml:space="preserve">б) требование к оценке финансового положения заёмщика </w:t>
      </w:r>
      <w:r>
        <w:rPr>
          <w:sz w:val="24"/>
          <w:szCs w:val="24"/>
        </w:rPr>
        <w:t>–</w:t>
      </w:r>
      <w:r w:rsidRPr="00553A54">
        <w:rPr>
          <w:sz w:val="24"/>
          <w:szCs w:val="24"/>
        </w:rPr>
        <w:t xml:space="preserve"> физического лица (финансовое положение оценивается с учётом процентного соотношения сумм фактических расходов заёмщика </w:t>
      </w:r>
      <w:r>
        <w:rPr>
          <w:sz w:val="24"/>
          <w:szCs w:val="24"/>
        </w:rPr>
        <w:t>–</w:t>
      </w:r>
      <w:r w:rsidRPr="00553A54">
        <w:rPr>
          <w:sz w:val="24"/>
          <w:szCs w:val="24"/>
        </w:rPr>
        <w:t xml:space="preserve"> физического лица, связанных с обслуживанием долга по кредиту, к сумме заработной платы и других документально подтвержд</w:t>
      </w:r>
      <w:r>
        <w:rPr>
          <w:sz w:val="24"/>
          <w:szCs w:val="24"/>
        </w:rPr>
        <w:t>ё</w:t>
      </w:r>
      <w:r w:rsidRPr="00553A54">
        <w:rPr>
          <w:sz w:val="24"/>
          <w:szCs w:val="24"/>
        </w:rPr>
        <w:t xml:space="preserve">нных доходов), относящееся к кредитам, </w:t>
      </w:r>
      <w:r w:rsidRPr="00BA38DE">
        <w:rPr>
          <w:sz w:val="24"/>
          <w:szCs w:val="24"/>
        </w:rPr>
        <w:t>выданным с 1 января 2018 года, не распространяется на кредиты овердрафт. При отсутствии</w:t>
      </w:r>
      <w:r w:rsidRPr="00553A54">
        <w:rPr>
          <w:sz w:val="24"/>
          <w:szCs w:val="24"/>
        </w:rPr>
        <w:t xml:space="preserve"> документов, необходимых для оценки финансового положения заёмщика – физического лица, кредитным организациям разрешено учитывать обеспечение, но при условии ежеквартального определения справедливой стоимости залога. </w:t>
      </w:r>
    </w:p>
    <w:p w:rsidR="00C20988" w:rsidRPr="00553A54" w:rsidRDefault="00C20988" w:rsidP="00553A54">
      <w:pPr>
        <w:ind w:firstLine="426"/>
        <w:jc w:val="both"/>
        <w:rPr>
          <w:sz w:val="24"/>
          <w:szCs w:val="24"/>
        </w:rPr>
      </w:pPr>
      <w:r w:rsidRPr="00553A54">
        <w:rPr>
          <w:sz w:val="24"/>
          <w:szCs w:val="24"/>
        </w:rPr>
        <w:t xml:space="preserve">Также в Положение № 91-П внесено дополнение, уточняющее порядок классификации кредитов, предоставленных заёмщику </w:t>
      </w:r>
      <w:r>
        <w:rPr>
          <w:sz w:val="24"/>
          <w:szCs w:val="24"/>
        </w:rPr>
        <w:t>–</w:t>
      </w:r>
      <w:r w:rsidRPr="00553A54">
        <w:rPr>
          <w:sz w:val="24"/>
          <w:szCs w:val="24"/>
        </w:rPr>
        <w:t xml:space="preserve"> физическому лицу, а именно, кредитная организация при классификации кредитов, </w:t>
      </w:r>
      <w:r w:rsidRPr="008D6CE0">
        <w:rPr>
          <w:sz w:val="24"/>
          <w:szCs w:val="24"/>
        </w:rPr>
        <w:t>предоставленных до 1 января 2018 года, вправе не понижать категорию качества данных кредитов, если кредиты, выданные данному физическому лицу</w:t>
      </w:r>
      <w:r>
        <w:rPr>
          <w:sz w:val="24"/>
          <w:szCs w:val="24"/>
        </w:rPr>
        <w:t>,</w:t>
      </w:r>
      <w:r w:rsidRPr="008D6CE0">
        <w:rPr>
          <w:sz w:val="24"/>
          <w:szCs w:val="24"/>
        </w:rPr>
        <w:t xml:space="preserve"> с 1 января 2018 года классифицируются в более низкую категорию качества в связи с оценкой финансового положения за</w:t>
      </w:r>
      <w:r>
        <w:rPr>
          <w:sz w:val="24"/>
          <w:szCs w:val="24"/>
        </w:rPr>
        <w:t>ё</w:t>
      </w:r>
      <w:r w:rsidRPr="008D6CE0">
        <w:rPr>
          <w:sz w:val="24"/>
          <w:szCs w:val="24"/>
        </w:rPr>
        <w:t>мщика по новым требованиям.</w:t>
      </w:r>
    </w:p>
    <w:p w:rsidR="00C20988" w:rsidRPr="00553A54" w:rsidRDefault="00C20988" w:rsidP="00553A54">
      <w:pPr>
        <w:tabs>
          <w:tab w:val="left" w:pos="567"/>
        </w:tabs>
        <w:ind w:firstLine="426"/>
        <w:jc w:val="both"/>
        <w:rPr>
          <w:sz w:val="24"/>
          <w:szCs w:val="24"/>
        </w:rPr>
      </w:pPr>
      <w:r>
        <w:rPr>
          <w:sz w:val="24"/>
          <w:szCs w:val="24"/>
        </w:rPr>
        <w:t>В</w:t>
      </w:r>
      <w:r w:rsidRPr="00553A54">
        <w:rPr>
          <w:sz w:val="24"/>
          <w:szCs w:val="24"/>
        </w:rPr>
        <w:t xml:space="preserve"> Положение ПРБ от 9 февраля 2011 года № 102-П «О порядке формирования и использования кредитными организациями фонда риска по прочим операциям» внесены изменения в порядок формирования кредитными организациями резервов на возможные потери. По не</w:t>
      </w:r>
      <w:r>
        <w:rPr>
          <w:sz w:val="24"/>
          <w:szCs w:val="24"/>
        </w:rPr>
        <w:t xml:space="preserve"> </w:t>
      </w:r>
      <w:r w:rsidRPr="00553A54">
        <w:rPr>
          <w:sz w:val="24"/>
          <w:szCs w:val="24"/>
        </w:rPr>
        <w:t>используемым для осуществления банковской деятельности активам, полученным начиная с 1 января 2018 года кредитной организацией по договорам об отступном, о залоге или в результате реструктуризации дебиторской задолженности, фонд риска должен формироваться в размере 100%, за исключением активов, отражаемых в бухгалтерском уч</w:t>
      </w:r>
      <w:r>
        <w:rPr>
          <w:sz w:val="24"/>
          <w:szCs w:val="24"/>
        </w:rPr>
        <w:t>ё</w:t>
      </w:r>
      <w:r w:rsidRPr="00553A54">
        <w:rPr>
          <w:sz w:val="24"/>
          <w:szCs w:val="24"/>
        </w:rPr>
        <w:t xml:space="preserve">те по справедливой стоимости. Изменен порядок формирования резерва на возможные потери по требованиям </w:t>
      </w:r>
      <w:r>
        <w:rPr>
          <w:sz w:val="24"/>
          <w:szCs w:val="24"/>
        </w:rPr>
        <w:t>по получению процентных доходов</w:t>
      </w:r>
      <w:r w:rsidRPr="00553A54">
        <w:rPr>
          <w:sz w:val="24"/>
          <w:szCs w:val="24"/>
        </w:rPr>
        <w:t>. Уточн</w:t>
      </w:r>
      <w:r>
        <w:rPr>
          <w:sz w:val="24"/>
          <w:szCs w:val="24"/>
        </w:rPr>
        <w:t>ё</w:t>
      </w:r>
      <w:r w:rsidRPr="00553A54">
        <w:rPr>
          <w:sz w:val="24"/>
          <w:szCs w:val="24"/>
        </w:rPr>
        <w:t>н перечень условий, при которых элементы расч</w:t>
      </w:r>
      <w:r>
        <w:rPr>
          <w:sz w:val="24"/>
          <w:szCs w:val="24"/>
        </w:rPr>
        <w:t>ё</w:t>
      </w:r>
      <w:r w:rsidRPr="00553A54">
        <w:rPr>
          <w:sz w:val="24"/>
          <w:szCs w:val="24"/>
        </w:rPr>
        <w:t>тной базы фонда риска, в том числе ценные бумаги и средст</w:t>
      </w:r>
      <w:r>
        <w:rPr>
          <w:sz w:val="24"/>
          <w:szCs w:val="24"/>
        </w:rPr>
        <w:t>ва на счетах, открытых в банках-</w:t>
      </w:r>
      <w:r w:rsidRPr="00553A54">
        <w:rPr>
          <w:sz w:val="24"/>
          <w:szCs w:val="24"/>
        </w:rPr>
        <w:t>нерезидентах, должны классифицироваться в V категорию качества.</w:t>
      </w:r>
    </w:p>
    <w:p w:rsidR="00C20988" w:rsidRPr="00920F87" w:rsidRDefault="00C20988" w:rsidP="00920F87">
      <w:pPr>
        <w:pStyle w:val="ListParagraph"/>
        <w:numPr>
          <w:ilvl w:val="0"/>
          <w:numId w:val="43"/>
        </w:numPr>
        <w:tabs>
          <w:tab w:val="left" w:pos="567"/>
        </w:tabs>
        <w:ind w:left="0" w:firstLine="426"/>
        <w:jc w:val="both"/>
        <w:rPr>
          <w:sz w:val="24"/>
          <w:szCs w:val="24"/>
        </w:rPr>
      </w:pPr>
      <w:r>
        <w:rPr>
          <w:sz w:val="24"/>
          <w:szCs w:val="24"/>
        </w:rPr>
        <w:t>В</w:t>
      </w:r>
      <w:r w:rsidRPr="00920F87">
        <w:rPr>
          <w:sz w:val="24"/>
          <w:szCs w:val="24"/>
        </w:rPr>
        <w:t xml:space="preserve"> Указание ПРБ от 23 января 2016 года № 889-У «О временном порядке применения некоторых нормативных актов ПРБ» внесены изменения в порядок применения Положения ПРБ от 9 февраля 2011 года № 102-П «О порядке формирования и использования кредитными организациями фонда риска по прочим операциям» и </w:t>
      </w:r>
      <w:hyperlink r:id="rId9" w:history="1">
        <w:r w:rsidRPr="00920F87">
          <w:rPr>
            <w:sz w:val="24"/>
            <w:szCs w:val="24"/>
          </w:rPr>
          <w:t>Положения</w:t>
        </w:r>
      </w:hyperlink>
      <w:r w:rsidRPr="00920F87">
        <w:rPr>
          <w:sz w:val="24"/>
          <w:szCs w:val="24"/>
        </w:rPr>
        <w:t xml:space="preserve"> ПРБ от 10 ноября 2009 года № 91-П «О порядке формирования и использования кредитными организациями фонда риска».</w:t>
      </w:r>
    </w:p>
    <w:p w:rsidR="00C20988" w:rsidRPr="00553A54" w:rsidRDefault="00C20988" w:rsidP="000D5444">
      <w:pPr>
        <w:ind w:firstLine="425"/>
        <w:jc w:val="both"/>
        <w:rPr>
          <w:sz w:val="24"/>
          <w:szCs w:val="24"/>
        </w:rPr>
      </w:pPr>
      <w:r w:rsidRPr="00553A54">
        <w:rPr>
          <w:sz w:val="24"/>
          <w:szCs w:val="24"/>
        </w:rPr>
        <w:t>В 2015-2016 гг. был реализован ряд антикризисных мер, направленных на смягчение пруденциальных требований к кредитным организациям ПМР. В связи с возникающими у банков трудностями при реализации имущества, не используемого для осуществления банковской деятельности, кредитным организациям было предоставлено право при оценке риска по элементам расч</w:t>
      </w:r>
      <w:r>
        <w:rPr>
          <w:sz w:val="24"/>
          <w:szCs w:val="24"/>
        </w:rPr>
        <w:t>ё</w:t>
      </w:r>
      <w:r w:rsidRPr="00553A54">
        <w:rPr>
          <w:sz w:val="24"/>
          <w:szCs w:val="24"/>
        </w:rPr>
        <w:t>тной базы, указанным в пункте 20-1 Положения № 102-П, принимать решение об установлении коэффициента риска для данных активов в размере 0%. В соответствии с пунктом 20-1 Положения № 102-П кредитным организациям, в зависимости от длительности нахождения имущества (недвижимость, земля и другое), не используемого для осуществления банковской деятельности, на балансе кредитной организации, необходимо создавать резервы на возможные потери с применением следующих коэффициентов:</w:t>
      </w:r>
    </w:p>
    <w:p w:rsidR="00C20988" w:rsidRPr="005C0CF5" w:rsidRDefault="00C20988" w:rsidP="005C0CF5">
      <w:pPr>
        <w:pStyle w:val="ListParagraph"/>
        <w:numPr>
          <w:ilvl w:val="0"/>
          <w:numId w:val="42"/>
        </w:numPr>
        <w:ind w:left="709" w:hanging="283"/>
        <w:jc w:val="both"/>
        <w:rPr>
          <w:sz w:val="24"/>
          <w:szCs w:val="24"/>
        </w:rPr>
      </w:pPr>
      <w:r w:rsidRPr="005C0CF5">
        <w:rPr>
          <w:sz w:val="24"/>
          <w:szCs w:val="24"/>
        </w:rPr>
        <w:t>для активов, учитываемых на балансе более года, - не менее 10%;</w:t>
      </w:r>
    </w:p>
    <w:p w:rsidR="00C20988" w:rsidRPr="005C0CF5" w:rsidRDefault="00C20988" w:rsidP="005C0CF5">
      <w:pPr>
        <w:pStyle w:val="ListParagraph"/>
        <w:numPr>
          <w:ilvl w:val="0"/>
          <w:numId w:val="42"/>
        </w:numPr>
        <w:ind w:left="709" w:hanging="283"/>
        <w:jc w:val="both"/>
        <w:rPr>
          <w:sz w:val="24"/>
          <w:szCs w:val="24"/>
        </w:rPr>
      </w:pPr>
      <w:r w:rsidRPr="005C0CF5">
        <w:rPr>
          <w:sz w:val="24"/>
          <w:szCs w:val="24"/>
        </w:rPr>
        <w:t>для активов, учитываемых на балансе более 2 лет, - не менее 20%;</w:t>
      </w:r>
    </w:p>
    <w:p w:rsidR="00C20988" w:rsidRPr="005C0CF5" w:rsidRDefault="00C20988" w:rsidP="005C0CF5">
      <w:pPr>
        <w:pStyle w:val="ListParagraph"/>
        <w:numPr>
          <w:ilvl w:val="0"/>
          <w:numId w:val="42"/>
        </w:numPr>
        <w:ind w:left="709" w:hanging="283"/>
        <w:jc w:val="both"/>
        <w:rPr>
          <w:sz w:val="24"/>
          <w:szCs w:val="24"/>
        </w:rPr>
      </w:pPr>
      <w:r w:rsidRPr="005C0CF5">
        <w:rPr>
          <w:sz w:val="24"/>
          <w:szCs w:val="24"/>
        </w:rPr>
        <w:t>для активов, учитываемых на балансе более 3 лет, - не менее 35%;</w:t>
      </w:r>
    </w:p>
    <w:p w:rsidR="00C20988" w:rsidRPr="005C0CF5" w:rsidRDefault="00C20988" w:rsidP="005C0CF5">
      <w:pPr>
        <w:pStyle w:val="ListParagraph"/>
        <w:numPr>
          <w:ilvl w:val="0"/>
          <w:numId w:val="42"/>
        </w:numPr>
        <w:ind w:left="709" w:hanging="283"/>
        <w:jc w:val="both"/>
        <w:rPr>
          <w:sz w:val="24"/>
          <w:szCs w:val="24"/>
        </w:rPr>
      </w:pPr>
      <w:r w:rsidRPr="005C0CF5">
        <w:rPr>
          <w:sz w:val="24"/>
          <w:szCs w:val="24"/>
        </w:rPr>
        <w:t>для активов, учитываемых на балансе более 4 лет, - не менее 50%;</w:t>
      </w:r>
    </w:p>
    <w:p w:rsidR="00C20988" w:rsidRPr="005C0CF5" w:rsidRDefault="00C20988" w:rsidP="005C0CF5">
      <w:pPr>
        <w:pStyle w:val="ListParagraph"/>
        <w:numPr>
          <w:ilvl w:val="0"/>
          <w:numId w:val="42"/>
        </w:numPr>
        <w:ind w:left="709" w:hanging="283"/>
        <w:jc w:val="both"/>
        <w:rPr>
          <w:sz w:val="24"/>
          <w:szCs w:val="24"/>
        </w:rPr>
      </w:pPr>
      <w:r w:rsidRPr="005C0CF5">
        <w:rPr>
          <w:sz w:val="24"/>
          <w:szCs w:val="24"/>
        </w:rPr>
        <w:t>для активов, учитываемых на балансе более 5 лет, - не менее 75%.</w:t>
      </w:r>
    </w:p>
    <w:p w:rsidR="00C20988" w:rsidRPr="00553A54" w:rsidRDefault="00C20988" w:rsidP="000D5444">
      <w:pPr>
        <w:ind w:firstLine="425"/>
        <w:jc w:val="both"/>
        <w:rPr>
          <w:sz w:val="24"/>
          <w:szCs w:val="24"/>
        </w:rPr>
      </w:pPr>
      <w:r w:rsidRPr="00553A54">
        <w:rPr>
          <w:sz w:val="24"/>
          <w:szCs w:val="24"/>
        </w:rPr>
        <w:t xml:space="preserve">Согласно изменению, внесённому в данное Указание, рассматриваемая антикризисная мера не распространяется </w:t>
      </w:r>
      <w:r w:rsidRPr="00636A1C">
        <w:rPr>
          <w:sz w:val="24"/>
          <w:szCs w:val="24"/>
        </w:rPr>
        <w:t>на не используемые</w:t>
      </w:r>
      <w:r w:rsidRPr="00553A54">
        <w:rPr>
          <w:sz w:val="24"/>
          <w:szCs w:val="24"/>
        </w:rPr>
        <w:t xml:space="preserve"> в банковской деятельности активы, полученные банком после 1 января 2018 года в результ</w:t>
      </w:r>
      <w:r>
        <w:rPr>
          <w:sz w:val="24"/>
          <w:szCs w:val="24"/>
        </w:rPr>
        <w:t>ате прекращения обязательств заё</w:t>
      </w:r>
      <w:r w:rsidRPr="00553A54">
        <w:rPr>
          <w:sz w:val="24"/>
          <w:szCs w:val="24"/>
        </w:rPr>
        <w:t>мщика (должника).</w:t>
      </w:r>
    </w:p>
    <w:p w:rsidR="00C20988" w:rsidRPr="00553A54" w:rsidRDefault="00C20988" w:rsidP="00553A54">
      <w:pPr>
        <w:ind w:firstLine="426"/>
        <w:jc w:val="both"/>
        <w:rPr>
          <w:sz w:val="24"/>
          <w:szCs w:val="24"/>
        </w:rPr>
      </w:pPr>
      <w:r w:rsidRPr="00553A54">
        <w:rPr>
          <w:sz w:val="24"/>
          <w:szCs w:val="24"/>
        </w:rPr>
        <w:t xml:space="preserve">Также внесено изменение, согласно которому при применении норм </w:t>
      </w:r>
      <w:hyperlink r:id="rId10" w:history="1">
        <w:r w:rsidRPr="00553A54">
          <w:rPr>
            <w:sz w:val="24"/>
            <w:szCs w:val="24"/>
          </w:rPr>
          <w:t>Положения</w:t>
        </w:r>
      </w:hyperlink>
      <w:r w:rsidRPr="00553A54">
        <w:rPr>
          <w:sz w:val="24"/>
          <w:szCs w:val="24"/>
        </w:rPr>
        <w:t xml:space="preserve"> № 91-П кредитные организации должны оценивать все кредиты в целях формирования фонда риска только на индивидуальной основе и исключить кредиты, ранее сгруппированные в портфели однородных кредитов для целей оценки кредитного риска, из данных портфелей.</w:t>
      </w:r>
    </w:p>
    <w:p w:rsidR="00C20988" w:rsidRPr="00920F87" w:rsidRDefault="00C20988" w:rsidP="00920F87">
      <w:pPr>
        <w:pStyle w:val="ListParagraph"/>
        <w:numPr>
          <w:ilvl w:val="0"/>
          <w:numId w:val="43"/>
        </w:numPr>
        <w:ind w:left="0" w:firstLine="426"/>
        <w:jc w:val="both"/>
        <w:rPr>
          <w:sz w:val="24"/>
          <w:szCs w:val="24"/>
        </w:rPr>
      </w:pPr>
      <w:r>
        <w:rPr>
          <w:sz w:val="24"/>
          <w:szCs w:val="24"/>
        </w:rPr>
        <w:t>В</w:t>
      </w:r>
      <w:r w:rsidRPr="00920F87">
        <w:rPr>
          <w:sz w:val="24"/>
          <w:szCs w:val="24"/>
        </w:rPr>
        <w:t xml:space="preserve"> Положени</w:t>
      </w:r>
      <w:r>
        <w:rPr>
          <w:sz w:val="24"/>
          <w:szCs w:val="24"/>
        </w:rPr>
        <w:t>и</w:t>
      </w:r>
      <w:r w:rsidRPr="00920F87">
        <w:rPr>
          <w:sz w:val="24"/>
          <w:szCs w:val="24"/>
        </w:rPr>
        <w:t xml:space="preserve"> ПРБ от 9 ноября 2007 года № 81-П «О порядке организации эффективного управления и контроля за ликвидностью в кредитных организациях ПМР» введён новый критерий отражения в отчётности активов, срок погашения требований по которым чётко не определён, а именно, кредиты и приравненная к ним задолженность, классифицированные кредитной организацией в III, IV и V категории качества, отражаются кредитной организацией как бессрочные.</w:t>
      </w:r>
    </w:p>
    <w:p w:rsidR="00C20988" w:rsidRPr="00553A54" w:rsidRDefault="00C20988" w:rsidP="00553A54">
      <w:pPr>
        <w:widowControl w:val="0"/>
        <w:spacing w:before="120" w:after="120"/>
        <w:ind w:left="425"/>
        <w:jc w:val="both"/>
        <w:rPr>
          <w:i/>
          <w:iCs/>
          <w:sz w:val="24"/>
          <w:szCs w:val="24"/>
        </w:rPr>
      </w:pPr>
      <w:r w:rsidRPr="00553A54">
        <w:rPr>
          <w:i/>
          <w:iCs/>
          <w:sz w:val="24"/>
          <w:szCs w:val="24"/>
        </w:rPr>
        <w:t>Инспектирование кредитных</w:t>
      </w:r>
      <w:r>
        <w:rPr>
          <w:i/>
          <w:iCs/>
          <w:sz w:val="24"/>
          <w:szCs w:val="24"/>
        </w:rPr>
        <w:t xml:space="preserve"> </w:t>
      </w:r>
      <w:r w:rsidRPr="00553A54">
        <w:rPr>
          <w:i/>
          <w:iCs/>
          <w:sz w:val="24"/>
          <w:szCs w:val="24"/>
        </w:rPr>
        <w:t>организаций</w:t>
      </w:r>
    </w:p>
    <w:p w:rsidR="00C20988" w:rsidRPr="00181398" w:rsidRDefault="00C20988" w:rsidP="00553A54">
      <w:pPr>
        <w:ind w:firstLine="425"/>
        <w:jc w:val="both"/>
        <w:rPr>
          <w:rFonts w:eastAsia="Times-Roman"/>
          <w:sz w:val="24"/>
          <w:szCs w:val="24"/>
        </w:rPr>
      </w:pPr>
      <w:r>
        <w:rPr>
          <w:rFonts w:eastAsia="Times-Roman"/>
          <w:sz w:val="24"/>
          <w:szCs w:val="24"/>
        </w:rPr>
        <w:t>Реализуя функцию контроля соблюдения</w:t>
      </w:r>
      <w:r w:rsidRPr="00553A54">
        <w:rPr>
          <w:rFonts w:eastAsia="Times-Roman"/>
          <w:sz w:val="24"/>
          <w:szCs w:val="24"/>
        </w:rPr>
        <w:t xml:space="preserve"> банками действующего законодательства Приднестровской Молдавской Республики</w:t>
      </w:r>
      <w:r>
        <w:rPr>
          <w:rFonts w:eastAsia="Times-Roman"/>
          <w:sz w:val="24"/>
          <w:szCs w:val="24"/>
        </w:rPr>
        <w:t>,</w:t>
      </w:r>
      <w:r w:rsidRPr="00553A54">
        <w:rPr>
          <w:rFonts w:eastAsia="Times-Roman"/>
          <w:sz w:val="24"/>
          <w:szCs w:val="24"/>
        </w:rPr>
        <w:t xml:space="preserve"> Приднестровский республиканский </w:t>
      </w:r>
      <w:r>
        <w:rPr>
          <w:rFonts w:eastAsia="Times-Roman"/>
          <w:sz w:val="24"/>
          <w:szCs w:val="24"/>
        </w:rPr>
        <w:t>проводил</w:t>
      </w:r>
      <w:r w:rsidRPr="00553A54">
        <w:rPr>
          <w:rFonts w:eastAsia="Times-Roman"/>
          <w:sz w:val="24"/>
          <w:szCs w:val="24"/>
        </w:rPr>
        <w:t xml:space="preserve"> инспекционны</w:t>
      </w:r>
      <w:r>
        <w:rPr>
          <w:rFonts w:eastAsia="Times-Roman"/>
          <w:sz w:val="24"/>
          <w:szCs w:val="24"/>
        </w:rPr>
        <w:t>е</w:t>
      </w:r>
      <w:r w:rsidRPr="00553A54">
        <w:rPr>
          <w:rFonts w:eastAsia="Times-Roman"/>
          <w:sz w:val="24"/>
          <w:szCs w:val="24"/>
        </w:rPr>
        <w:t xml:space="preserve"> проверк</w:t>
      </w:r>
      <w:r>
        <w:rPr>
          <w:rFonts w:eastAsia="Times-Roman"/>
          <w:sz w:val="24"/>
          <w:szCs w:val="24"/>
        </w:rPr>
        <w:t>и</w:t>
      </w:r>
      <w:r w:rsidRPr="00553A54">
        <w:rPr>
          <w:rFonts w:eastAsia="Times-Roman"/>
          <w:sz w:val="24"/>
          <w:szCs w:val="24"/>
        </w:rPr>
        <w:t xml:space="preserve"> как на плановой, так и внеплановой основе. В целом за год было </w:t>
      </w:r>
      <w:r w:rsidRPr="00181398">
        <w:rPr>
          <w:rFonts w:eastAsia="Times-Roman"/>
          <w:sz w:val="24"/>
          <w:szCs w:val="24"/>
        </w:rPr>
        <w:t>проведено 12 проверок</w:t>
      </w:r>
      <w:r w:rsidRPr="003D787F">
        <w:rPr>
          <w:rFonts w:eastAsia="Times-Roman"/>
          <w:sz w:val="24"/>
          <w:szCs w:val="24"/>
        </w:rPr>
        <w:t xml:space="preserve"> банков и небанковских кредитных организаций ПМР</w:t>
      </w:r>
      <w:r w:rsidRPr="00181398">
        <w:rPr>
          <w:rFonts w:eastAsia="Times-Roman"/>
          <w:sz w:val="24"/>
          <w:szCs w:val="24"/>
        </w:rPr>
        <w:t xml:space="preserve">, </w:t>
      </w:r>
      <w:r>
        <w:rPr>
          <w:rFonts w:eastAsia="Times-Roman"/>
          <w:sz w:val="24"/>
          <w:szCs w:val="24"/>
        </w:rPr>
        <w:t>в том числе</w:t>
      </w:r>
      <w:r w:rsidRPr="00181398">
        <w:rPr>
          <w:rFonts w:eastAsia="Times-Roman"/>
          <w:sz w:val="24"/>
          <w:szCs w:val="24"/>
        </w:rPr>
        <w:t>:</w:t>
      </w:r>
    </w:p>
    <w:p w:rsidR="00C20988" w:rsidRPr="00181398" w:rsidRDefault="00C20988" w:rsidP="00553A54">
      <w:pPr>
        <w:pStyle w:val="ListParagraph"/>
        <w:widowControl w:val="0"/>
        <w:numPr>
          <w:ilvl w:val="0"/>
          <w:numId w:val="17"/>
        </w:numPr>
        <w:ind w:left="709" w:hanging="283"/>
        <w:contextualSpacing/>
        <w:jc w:val="both"/>
        <w:rPr>
          <w:sz w:val="24"/>
          <w:szCs w:val="24"/>
        </w:rPr>
      </w:pPr>
      <w:r w:rsidRPr="00181398">
        <w:rPr>
          <w:sz w:val="24"/>
          <w:szCs w:val="24"/>
        </w:rPr>
        <w:t>2 плановые тематические;</w:t>
      </w:r>
    </w:p>
    <w:p w:rsidR="00C20988" w:rsidRPr="00181398" w:rsidRDefault="00C20988" w:rsidP="00553A54">
      <w:pPr>
        <w:pStyle w:val="ListParagraph"/>
        <w:widowControl w:val="0"/>
        <w:numPr>
          <w:ilvl w:val="0"/>
          <w:numId w:val="17"/>
        </w:numPr>
        <w:ind w:left="709" w:hanging="283"/>
        <w:contextualSpacing/>
        <w:jc w:val="both"/>
        <w:rPr>
          <w:sz w:val="24"/>
          <w:szCs w:val="24"/>
        </w:rPr>
      </w:pPr>
      <w:r w:rsidRPr="00181398">
        <w:rPr>
          <w:sz w:val="24"/>
          <w:szCs w:val="24"/>
        </w:rPr>
        <w:t>3 ревизионные финансово-хозяйственной деятельности за 2017 год;</w:t>
      </w:r>
    </w:p>
    <w:p w:rsidR="00C20988" w:rsidRPr="00181398" w:rsidRDefault="00C20988" w:rsidP="00553A54">
      <w:pPr>
        <w:pStyle w:val="ListParagraph"/>
        <w:widowControl w:val="0"/>
        <w:numPr>
          <w:ilvl w:val="0"/>
          <w:numId w:val="17"/>
        </w:numPr>
        <w:ind w:left="709" w:hanging="283"/>
        <w:contextualSpacing/>
        <w:jc w:val="both"/>
        <w:rPr>
          <w:sz w:val="24"/>
          <w:szCs w:val="24"/>
        </w:rPr>
      </w:pPr>
      <w:r>
        <w:rPr>
          <w:sz w:val="24"/>
          <w:szCs w:val="24"/>
        </w:rPr>
        <w:t>6</w:t>
      </w:r>
      <w:r w:rsidRPr="00181398">
        <w:rPr>
          <w:sz w:val="24"/>
          <w:szCs w:val="24"/>
        </w:rPr>
        <w:t xml:space="preserve"> внеплановых:</w:t>
      </w:r>
    </w:p>
    <w:p w:rsidR="00C20988" w:rsidRPr="00553A54" w:rsidRDefault="00C20988" w:rsidP="00553A54">
      <w:pPr>
        <w:pStyle w:val="ListParagraph"/>
        <w:widowControl w:val="0"/>
        <w:numPr>
          <w:ilvl w:val="0"/>
          <w:numId w:val="18"/>
        </w:numPr>
        <w:ind w:left="1276" w:hanging="283"/>
        <w:contextualSpacing/>
        <w:jc w:val="both"/>
        <w:rPr>
          <w:sz w:val="24"/>
          <w:szCs w:val="24"/>
        </w:rPr>
      </w:pPr>
      <w:r w:rsidRPr="00181398">
        <w:rPr>
          <w:sz w:val="24"/>
          <w:szCs w:val="24"/>
        </w:rPr>
        <w:t>4 проверки деятельности небанковских кредитных организаций, в отношении двух из которых было принято решение</w:t>
      </w:r>
      <w:r w:rsidRPr="00553A54">
        <w:rPr>
          <w:sz w:val="24"/>
          <w:szCs w:val="24"/>
        </w:rPr>
        <w:t xml:space="preserve"> о приостановлении действия лицензии;</w:t>
      </w:r>
    </w:p>
    <w:p w:rsidR="00C20988" w:rsidRPr="00553A54" w:rsidRDefault="00C20988" w:rsidP="00553A54">
      <w:pPr>
        <w:pStyle w:val="ListParagraph"/>
        <w:widowControl w:val="0"/>
        <w:numPr>
          <w:ilvl w:val="0"/>
          <w:numId w:val="18"/>
        </w:numPr>
        <w:ind w:left="1276" w:hanging="283"/>
        <w:contextualSpacing/>
        <w:jc w:val="both"/>
        <w:rPr>
          <w:sz w:val="24"/>
          <w:szCs w:val="24"/>
        </w:rPr>
      </w:pPr>
      <w:r w:rsidRPr="00553A54">
        <w:rPr>
          <w:sz w:val="24"/>
          <w:szCs w:val="24"/>
        </w:rPr>
        <w:t>1 ревизия на предмет исполнения финансового плана;</w:t>
      </w:r>
    </w:p>
    <w:p w:rsidR="00C20988" w:rsidRPr="00553A54" w:rsidRDefault="00C20988" w:rsidP="00553A54">
      <w:pPr>
        <w:pStyle w:val="ListParagraph"/>
        <w:widowControl w:val="0"/>
        <w:numPr>
          <w:ilvl w:val="0"/>
          <w:numId w:val="18"/>
        </w:numPr>
        <w:ind w:left="1276" w:hanging="283"/>
        <w:contextualSpacing/>
        <w:jc w:val="both"/>
        <w:rPr>
          <w:sz w:val="24"/>
          <w:szCs w:val="24"/>
        </w:rPr>
      </w:pPr>
      <w:r w:rsidRPr="00553A54">
        <w:rPr>
          <w:sz w:val="24"/>
          <w:szCs w:val="24"/>
        </w:rPr>
        <w:t>1 проверка соблю</w:t>
      </w:r>
      <w:r>
        <w:rPr>
          <w:sz w:val="24"/>
          <w:szCs w:val="24"/>
        </w:rPr>
        <w:t>дения нормативно-правовых актов.</w:t>
      </w:r>
    </w:p>
    <w:p w:rsidR="00C20988" w:rsidRPr="00553A54" w:rsidRDefault="00C20988" w:rsidP="00553A54">
      <w:pPr>
        <w:pStyle w:val="Closing"/>
        <w:widowControl w:val="0"/>
        <w:spacing w:line="240" w:lineRule="auto"/>
        <w:ind w:left="0" w:right="0" w:firstLine="425"/>
        <w:jc w:val="both"/>
        <w:rPr>
          <w:sz w:val="24"/>
          <w:szCs w:val="24"/>
        </w:rPr>
      </w:pPr>
      <w:r w:rsidRPr="006C2E9A">
        <w:rPr>
          <w:sz w:val="24"/>
          <w:szCs w:val="24"/>
        </w:rPr>
        <w:t>По результатам проведённых проверок в адрес банков и небанковских кредитных</w:t>
      </w:r>
      <w:r w:rsidRPr="00553A54">
        <w:rPr>
          <w:sz w:val="24"/>
          <w:szCs w:val="24"/>
        </w:rPr>
        <w:t xml:space="preserve"> организаций ПМР направлялись акты и предписания с требованием об устранении выявленных нарушений. </w:t>
      </w:r>
    </w:p>
    <w:p w:rsidR="00C20988" w:rsidRPr="00553A54" w:rsidRDefault="00C20988" w:rsidP="00553A54">
      <w:pPr>
        <w:widowControl w:val="0"/>
        <w:spacing w:before="120" w:after="120"/>
        <w:ind w:firstLine="426"/>
        <w:jc w:val="both"/>
        <w:rPr>
          <w:i/>
          <w:iCs/>
          <w:sz w:val="24"/>
          <w:szCs w:val="24"/>
        </w:rPr>
      </w:pPr>
      <w:r w:rsidRPr="00553A54">
        <w:rPr>
          <w:i/>
          <w:iCs/>
          <w:sz w:val="24"/>
          <w:szCs w:val="24"/>
        </w:rPr>
        <w:t xml:space="preserve">Регулирование страхового </w:t>
      </w:r>
      <w:r>
        <w:rPr>
          <w:i/>
          <w:iCs/>
          <w:sz w:val="24"/>
          <w:szCs w:val="24"/>
        </w:rPr>
        <w:t>рынка</w:t>
      </w:r>
    </w:p>
    <w:p w:rsidR="00C20988" w:rsidRPr="003D787F" w:rsidRDefault="00C20988" w:rsidP="000D5444">
      <w:pPr>
        <w:ind w:firstLine="425"/>
        <w:jc w:val="both"/>
        <w:rPr>
          <w:rFonts w:eastAsia="Times-Roman"/>
          <w:sz w:val="24"/>
          <w:szCs w:val="24"/>
        </w:rPr>
      </w:pPr>
      <w:r w:rsidRPr="003D787F">
        <w:rPr>
          <w:rFonts w:eastAsia="Times-Roman"/>
          <w:sz w:val="24"/>
          <w:szCs w:val="24"/>
        </w:rPr>
        <w:t>В 2018 году продолж</w:t>
      </w:r>
      <w:r>
        <w:rPr>
          <w:rFonts w:eastAsia="Times-Roman"/>
          <w:sz w:val="24"/>
          <w:szCs w:val="24"/>
        </w:rPr>
        <w:t>илась</w:t>
      </w:r>
      <w:r w:rsidRPr="003D787F">
        <w:rPr>
          <w:rFonts w:eastAsia="Times-Roman"/>
          <w:sz w:val="24"/>
          <w:szCs w:val="24"/>
        </w:rPr>
        <w:t xml:space="preserve"> разработк</w:t>
      </w:r>
      <w:r>
        <w:rPr>
          <w:rFonts w:eastAsia="Times-Roman"/>
          <w:sz w:val="24"/>
          <w:szCs w:val="24"/>
        </w:rPr>
        <w:t>а</w:t>
      </w:r>
      <w:r w:rsidRPr="003D787F">
        <w:rPr>
          <w:rFonts w:eastAsia="Times-Roman"/>
          <w:sz w:val="24"/>
          <w:szCs w:val="24"/>
        </w:rPr>
        <w:t xml:space="preserve"> и внедрени</w:t>
      </w:r>
      <w:r>
        <w:rPr>
          <w:rFonts w:eastAsia="Times-Roman"/>
          <w:sz w:val="24"/>
          <w:szCs w:val="24"/>
        </w:rPr>
        <w:t>е</w:t>
      </w:r>
      <w:r w:rsidRPr="003D787F">
        <w:rPr>
          <w:rFonts w:eastAsia="Times-Roman"/>
          <w:sz w:val="24"/>
          <w:szCs w:val="24"/>
        </w:rPr>
        <w:t xml:space="preserve"> нормативно-правовой базы, касающейся страховой деятельности. В частности, были направлены на государственную регистрацию в Министерство юстиции ПМР 11 нормативных актов, </w:t>
      </w:r>
      <w:r w:rsidRPr="00E16043">
        <w:rPr>
          <w:rFonts w:eastAsia="Times-Roman"/>
          <w:sz w:val="24"/>
          <w:szCs w:val="24"/>
        </w:rPr>
        <w:t>разработаны проекты 6 нормативных актов.</w:t>
      </w:r>
    </w:p>
    <w:p w:rsidR="00C20988" w:rsidRPr="003D787F" w:rsidRDefault="00C20988" w:rsidP="000D5444">
      <w:pPr>
        <w:ind w:firstLine="425"/>
        <w:jc w:val="both"/>
        <w:rPr>
          <w:rFonts w:eastAsia="Times-Roman"/>
          <w:sz w:val="24"/>
          <w:szCs w:val="24"/>
        </w:rPr>
      </w:pPr>
      <w:r w:rsidRPr="003D787F">
        <w:rPr>
          <w:rFonts w:eastAsia="Times-Roman"/>
          <w:sz w:val="24"/>
          <w:szCs w:val="24"/>
        </w:rPr>
        <w:t>Проводилась работа по контролю (надзору) за деятельностью субъектов страхового дела. В результате выявленных неоднократных нарушений норм действующего законодательства ПМР 12 апреля 2018 года Приднестровским республиканским банком принято решение о повторном приостановлении действия лицензии на осуществление страховой деятельности ЗАО «Стандарт Страхования» на период 6 месяцев (с 12 апреля 2018 года по 11 октября 2018 года). 19 сентября 2018 года Арбитражным судом ПМР удовлетворён иск ПРБ и вынесено решение об аннулировании лицензии ЗАО «Стандарт Страхования», вступившее в силу 10 октября 2018 года.</w:t>
      </w:r>
    </w:p>
    <w:p w:rsidR="00C20988" w:rsidRPr="00553A54" w:rsidRDefault="00C20988" w:rsidP="000D5444">
      <w:pPr>
        <w:ind w:firstLine="425"/>
        <w:jc w:val="both"/>
        <w:rPr>
          <w:sz w:val="24"/>
          <w:szCs w:val="24"/>
        </w:rPr>
      </w:pPr>
      <w:r w:rsidRPr="00553A54">
        <w:rPr>
          <w:sz w:val="24"/>
          <w:szCs w:val="24"/>
        </w:rPr>
        <w:t xml:space="preserve">В результате осуществления камерального надзора (контроля) были выявлены </w:t>
      </w:r>
      <w:r w:rsidRPr="006C2E9A">
        <w:rPr>
          <w:sz w:val="24"/>
          <w:szCs w:val="24"/>
        </w:rPr>
        <w:t>нарушения требований законодательства в ЗАО «СК</w:t>
      </w:r>
      <w:r>
        <w:rPr>
          <w:sz w:val="24"/>
          <w:szCs w:val="24"/>
        </w:rPr>
        <w:t xml:space="preserve"> </w:t>
      </w:r>
      <w:r w:rsidRPr="006C2E9A">
        <w:rPr>
          <w:sz w:val="24"/>
          <w:szCs w:val="24"/>
        </w:rPr>
        <w:t>«Арион», по фактам которых</w:t>
      </w:r>
      <w:r w:rsidRPr="00553A54">
        <w:rPr>
          <w:sz w:val="24"/>
          <w:szCs w:val="24"/>
        </w:rPr>
        <w:t xml:space="preserve"> составлены и направлены акт и предписание с требованием об их устранении, позже повторное предписание. В установленный срок нарушения устранены не были, в результате чего действие лицензии на осуществление страховой деятельности было приостановлено на срок 6 месяцев. Учитывая </w:t>
      </w:r>
      <w:r>
        <w:rPr>
          <w:sz w:val="24"/>
          <w:szCs w:val="24"/>
        </w:rPr>
        <w:t>меры</w:t>
      </w:r>
      <w:r w:rsidRPr="00553A54">
        <w:rPr>
          <w:sz w:val="24"/>
          <w:szCs w:val="24"/>
        </w:rPr>
        <w:t>, пр</w:t>
      </w:r>
      <w:r>
        <w:rPr>
          <w:sz w:val="24"/>
          <w:szCs w:val="24"/>
        </w:rPr>
        <w:t>едпринят</w:t>
      </w:r>
      <w:r w:rsidRPr="00553A54">
        <w:rPr>
          <w:sz w:val="24"/>
          <w:szCs w:val="24"/>
        </w:rPr>
        <w:t xml:space="preserve">ые данной организацией с целью устранения нарушений страхового законодательства, улучшения финансового состояния компании, с </w:t>
      </w:r>
      <w:r>
        <w:rPr>
          <w:sz w:val="24"/>
          <w:szCs w:val="24"/>
        </w:rPr>
        <w:br/>
      </w:r>
      <w:r w:rsidRPr="00553A54">
        <w:rPr>
          <w:sz w:val="24"/>
          <w:szCs w:val="24"/>
        </w:rPr>
        <w:t xml:space="preserve">10 августа 2018 года действие лицензии на осуществление страховой деятельности ЗАО «СК «Арион» было возобновлено. </w:t>
      </w:r>
    </w:p>
    <w:p w:rsidR="00C20988" w:rsidRPr="00553A54" w:rsidRDefault="00C20988" w:rsidP="000D5444">
      <w:pPr>
        <w:ind w:firstLine="425"/>
        <w:jc w:val="both"/>
        <w:rPr>
          <w:sz w:val="24"/>
          <w:szCs w:val="24"/>
        </w:rPr>
      </w:pPr>
      <w:r w:rsidRPr="00553A54">
        <w:rPr>
          <w:sz w:val="24"/>
          <w:szCs w:val="24"/>
        </w:rPr>
        <w:t>По факту выявленных нарушений при формировании годовой финансовой отчётности ЗАО «СК «Арион», ЗАО «ПСК «Страховой дом», ЗАО СБ «</w:t>
      </w:r>
      <w:r w:rsidRPr="00382AB7">
        <w:rPr>
          <w:sz w:val="24"/>
          <w:szCs w:val="24"/>
        </w:rPr>
        <w:t>Универсальные системы страхования</w:t>
      </w:r>
      <w:r w:rsidRPr="00553A54">
        <w:rPr>
          <w:sz w:val="24"/>
          <w:szCs w:val="24"/>
        </w:rPr>
        <w:t>» направлены акты.</w:t>
      </w:r>
    </w:p>
    <w:p w:rsidR="00C20988" w:rsidRPr="0069247F" w:rsidRDefault="00C20988" w:rsidP="000D5444">
      <w:pPr>
        <w:ind w:firstLine="425"/>
        <w:jc w:val="both"/>
        <w:rPr>
          <w:sz w:val="24"/>
          <w:szCs w:val="24"/>
        </w:rPr>
      </w:pPr>
      <w:r w:rsidRPr="00553A54">
        <w:rPr>
          <w:sz w:val="24"/>
          <w:szCs w:val="24"/>
        </w:rPr>
        <w:t xml:space="preserve">В </w:t>
      </w:r>
      <w:r>
        <w:rPr>
          <w:sz w:val="24"/>
          <w:szCs w:val="24"/>
        </w:rPr>
        <w:t>рамках</w:t>
      </w:r>
      <w:r w:rsidRPr="00553A54">
        <w:rPr>
          <w:sz w:val="24"/>
          <w:szCs w:val="24"/>
        </w:rPr>
        <w:t xml:space="preserve"> камерального надзора (контроля) за страховыми организациями были выявлены нарушения ими требований </w:t>
      </w:r>
      <w:r>
        <w:rPr>
          <w:sz w:val="24"/>
          <w:szCs w:val="24"/>
        </w:rPr>
        <w:t>в области</w:t>
      </w:r>
      <w:r w:rsidRPr="00553A54">
        <w:rPr>
          <w:sz w:val="24"/>
          <w:szCs w:val="24"/>
        </w:rPr>
        <w:t xml:space="preserve"> бухгалтерского уч</w:t>
      </w:r>
      <w:r>
        <w:rPr>
          <w:sz w:val="24"/>
          <w:szCs w:val="24"/>
        </w:rPr>
        <w:t>ё</w:t>
      </w:r>
      <w:r w:rsidRPr="00553A54">
        <w:rPr>
          <w:sz w:val="24"/>
          <w:szCs w:val="24"/>
        </w:rPr>
        <w:t>та</w:t>
      </w:r>
      <w:r>
        <w:rPr>
          <w:sz w:val="24"/>
          <w:szCs w:val="24"/>
        </w:rPr>
        <w:t>, п</w:t>
      </w:r>
      <w:r w:rsidRPr="0069247F">
        <w:rPr>
          <w:sz w:val="24"/>
          <w:szCs w:val="24"/>
        </w:rPr>
        <w:t xml:space="preserve">о фактам </w:t>
      </w:r>
      <w:r>
        <w:rPr>
          <w:sz w:val="24"/>
          <w:szCs w:val="24"/>
        </w:rPr>
        <w:t>которых также</w:t>
      </w:r>
      <w:r w:rsidRPr="0069247F">
        <w:rPr>
          <w:sz w:val="24"/>
          <w:szCs w:val="24"/>
        </w:rPr>
        <w:t xml:space="preserve"> составлены и направлены в адрес ЗАО «СК «Арион»» акт и предписание с требованием об их устранении, позже повторное предписание. </w:t>
      </w:r>
    </w:p>
    <w:p w:rsidR="00C20988" w:rsidRPr="00553A54" w:rsidRDefault="00C20988" w:rsidP="000D5444">
      <w:pPr>
        <w:ind w:firstLine="425"/>
        <w:jc w:val="both"/>
        <w:rPr>
          <w:sz w:val="24"/>
          <w:szCs w:val="24"/>
        </w:rPr>
      </w:pPr>
      <w:r w:rsidRPr="00553A54">
        <w:rPr>
          <w:sz w:val="24"/>
          <w:szCs w:val="24"/>
        </w:rPr>
        <w:t xml:space="preserve">В 2018 году была произведена проверка страховых организаций на наличие достаточного и качественного оснащения компаний специальным оборудованием и соответствующими компьютерными программами, позволяющими вести детальный учёт страховых документов и осуществлять централизацию информации и её передачу в </w:t>
      </w:r>
      <w:r w:rsidRPr="00BA38DE">
        <w:rPr>
          <w:sz w:val="24"/>
          <w:szCs w:val="24"/>
        </w:rPr>
        <w:t>автоматизированн</w:t>
      </w:r>
      <w:r>
        <w:rPr>
          <w:sz w:val="24"/>
          <w:szCs w:val="24"/>
        </w:rPr>
        <w:t>ую</w:t>
      </w:r>
      <w:r w:rsidRPr="00BA38DE">
        <w:rPr>
          <w:sz w:val="24"/>
          <w:szCs w:val="24"/>
        </w:rPr>
        <w:t xml:space="preserve"> информационн</w:t>
      </w:r>
      <w:r>
        <w:rPr>
          <w:sz w:val="24"/>
          <w:szCs w:val="24"/>
        </w:rPr>
        <w:t>ую</w:t>
      </w:r>
      <w:r w:rsidRPr="00BA38DE">
        <w:rPr>
          <w:sz w:val="24"/>
          <w:szCs w:val="24"/>
        </w:rPr>
        <w:t xml:space="preserve"> систем</w:t>
      </w:r>
      <w:r>
        <w:rPr>
          <w:sz w:val="24"/>
          <w:szCs w:val="24"/>
        </w:rPr>
        <w:t>у</w:t>
      </w:r>
      <w:r w:rsidRPr="00BA38DE">
        <w:rPr>
          <w:sz w:val="24"/>
          <w:szCs w:val="24"/>
        </w:rPr>
        <w:t xml:space="preserve"> </w:t>
      </w:r>
      <w:r>
        <w:rPr>
          <w:sz w:val="24"/>
          <w:szCs w:val="24"/>
        </w:rPr>
        <w:t>А</w:t>
      </w:r>
      <w:r w:rsidRPr="00BA38DE">
        <w:rPr>
          <w:sz w:val="24"/>
          <w:szCs w:val="24"/>
        </w:rPr>
        <w:t>ссоциации страховщиков автотранспортных средств</w:t>
      </w:r>
      <w:r>
        <w:rPr>
          <w:sz w:val="24"/>
          <w:szCs w:val="24"/>
        </w:rPr>
        <w:t xml:space="preserve"> (</w:t>
      </w:r>
      <w:r w:rsidRPr="00553A54">
        <w:rPr>
          <w:sz w:val="24"/>
          <w:szCs w:val="24"/>
        </w:rPr>
        <w:t>АСАС</w:t>
      </w:r>
      <w:r>
        <w:rPr>
          <w:sz w:val="24"/>
          <w:szCs w:val="24"/>
        </w:rPr>
        <w:t xml:space="preserve">). </w:t>
      </w:r>
      <w:r w:rsidRPr="00553A54">
        <w:rPr>
          <w:sz w:val="24"/>
          <w:szCs w:val="24"/>
        </w:rPr>
        <w:t>По результатам оформлены заключения по выполнению страховыми компаниями обязательных условий и требований к страховщикам по ОСАГО.</w:t>
      </w:r>
    </w:p>
    <w:p w:rsidR="00C20988" w:rsidRPr="00553A54" w:rsidRDefault="00C20988" w:rsidP="00A97230">
      <w:pPr>
        <w:ind w:firstLine="425"/>
        <w:jc w:val="both"/>
        <w:rPr>
          <w:sz w:val="24"/>
          <w:szCs w:val="24"/>
        </w:rPr>
      </w:pPr>
      <w:r w:rsidRPr="00553A54">
        <w:rPr>
          <w:sz w:val="24"/>
          <w:szCs w:val="24"/>
        </w:rPr>
        <w:t>Наряду с осуществлением полномочий по регулированию, контролю (надзору) в сфере страховой деятельности производилось переоформление лицензий субъектов страхового дела (ЗАО СБ «</w:t>
      </w:r>
      <w:r w:rsidRPr="00382AB7">
        <w:rPr>
          <w:sz w:val="24"/>
          <w:szCs w:val="24"/>
        </w:rPr>
        <w:t>Универсальные системы страхования</w:t>
      </w:r>
      <w:r w:rsidRPr="00553A54">
        <w:rPr>
          <w:sz w:val="24"/>
          <w:szCs w:val="24"/>
        </w:rPr>
        <w:t>» и ЗАО «СК «Страховой дом»).</w:t>
      </w:r>
    </w:p>
    <w:p w:rsidR="00C20988" w:rsidRPr="00553A54" w:rsidRDefault="00C20988" w:rsidP="000D5444">
      <w:pPr>
        <w:ind w:firstLine="425"/>
        <w:jc w:val="both"/>
        <w:rPr>
          <w:sz w:val="24"/>
          <w:szCs w:val="24"/>
        </w:rPr>
      </w:pPr>
      <w:r>
        <w:rPr>
          <w:sz w:val="24"/>
          <w:szCs w:val="24"/>
        </w:rPr>
        <w:t>Также центральным банком о</w:t>
      </w:r>
      <w:r w:rsidRPr="00553A54">
        <w:rPr>
          <w:sz w:val="24"/>
          <w:szCs w:val="24"/>
        </w:rPr>
        <w:t>существлена работа по согласованию правил профессиональной деятельности по передаче страхового портфеля при применении мер по предупреждению банкротства и в ходе процедур, применяемых в деле о банкротстве страховщика.</w:t>
      </w:r>
    </w:p>
    <w:p w:rsidR="00C20988" w:rsidRPr="00553A54" w:rsidRDefault="00C20988" w:rsidP="000D5444">
      <w:pPr>
        <w:ind w:firstLine="425"/>
        <w:jc w:val="both"/>
        <w:rPr>
          <w:sz w:val="24"/>
          <w:szCs w:val="24"/>
        </w:rPr>
      </w:pPr>
      <w:r w:rsidRPr="00553A54">
        <w:rPr>
          <w:sz w:val="24"/>
          <w:szCs w:val="24"/>
        </w:rPr>
        <w:t xml:space="preserve">Определены правила аттестации страховых актуариев и аннулирования квалификационных аттестатов страховых актуариев. Проведена аттестация страхового актуария </w:t>
      </w:r>
      <w:r w:rsidRPr="00636A1C">
        <w:rPr>
          <w:sz w:val="24"/>
          <w:szCs w:val="24"/>
        </w:rPr>
        <w:t>ЗАО СБ «Универсальные</w:t>
      </w:r>
      <w:r w:rsidRPr="00553A54">
        <w:rPr>
          <w:sz w:val="24"/>
          <w:szCs w:val="24"/>
        </w:rPr>
        <w:t xml:space="preserve"> системы страхования», выдан квалификационный аттестат.</w:t>
      </w:r>
    </w:p>
    <w:p w:rsidR="00C20988" w:rsidRDefault="00C20988" w:rsidP="000D5444">
      <w:pPr>
        <w:ind w:firstLine="425"/>
        <w:jc w:val="both"/>
        <w:rPr>
          <w:sz w:val="24"/>
          <w:szCs w:val="24"/>
        </w:rPr>
      </w:pPr>
      <w:r w:rsidRPr="00553A54">
        <w:rPr>
          <w:sz w:val="24"/>
          <w:szCs w:val="24"/>
        </w:rPr>
        <w:t xml:space="preserve">На протяжении 2018 года проводились совещания и встречи с субъектами страхового дела, АСАС по вопросу </w:t>
      </w:r>
      <w:r w:rsidRPr="004B23AC">
        <w:rPr>
          <w:sz w:val="24"/>
          <w:szCs w:val="24"/>
        </w:rPr>
        <w:t>разработки и утверждения</w:t>
      </w:r>
      <w:r>
        <w:rPr>
          <w:color w:val="000000"/>
        </w:rPr>
        <w:t xml:space="preserve"> </w:t>
      </w:r>
      <w:r w:rsidRPr="00553A54">
        <w:rPr>
          <w:sz w:val="24"/>
          <w:szCs w:val="24"/>
        </w:rPr>
        <w:t xml:space="preserve">Правил профессиональной </w:t>
      </w:r>
      <w:r>
        <w:rPr>
          <w:sz w:val="24"/>
          <w:szCs w:val="24"/>
        </w:rPr>
        <w:t xml:space="preserve">деятельности </w:t>
      </w:r>
      <w:r w:rsidRPr="00553A54">
        <w:rPr>
          <w:sz w:val="24"/>
          <w:szCs w:val="24"/>
        </w:rPr>
        <w:t xml:space="preserve">АСАС в части порядка формирования информационных ресурсов АСАС, содержащих информацию ограниченного доступа, по вопросам электронного страхового полиса ОСАГО, по вопросам норм страхового законодательства, обсуждения правил </w:t>
      </w:r>
      <w:r>
        <w:rPr>
          <w:sz w:val="24"/>
          <w:szCs w:val="24"/>
        </w:rPr>
        <w:t>различных</w:t>
      </w:r>
      <w:r w:rsidRPr="00553A54">
        <w:rPr>
          <w:sz w:val="24"/>
          <w:szCs w:val="24"/>
        </w:rPr>
        <w:t xml:space="preserve"> вид</w:t>
      </w:r>
      <w:r>
        <w:rPr>
          <w:sz w:val="24"/>
          <w:szCs w:val="24"/>
        </w:rPr>
        <w:t>ов</w:t>
      </w:r>
      <w:r w:rsidRPr="00553A54">
        <w:rPr>
          <w:sz w:val="24"/>
          <w:szCs w:val="24"/>
        </w:rPr>
        <w:t xml:space="preserve"> страхования, разработки новых видов страхования, осуществлялось оказание консультационной и методологической помощи страховым организациям. </w:t>
      </w:r>
    </w:p>
    <w:p w:rsidR="00C20988" w:rsidRDefault="00C20988" w:rsidP="000D5444">
      <w:pPr>
        <w:ind w:firstLine="425"/>
        <w:jc w:val="both"/>
        <w:rPr>
          <w:sz w:val="24"/>
          <w:szCs w:val="24"/>
        </w:rPr>
      </w:pPr>
    </w:p>
    <w:p w:rsidR="00C20988" w:rsidRPr="00553A54" w:rsidRDefault="00C20988" w:rsidP="00553A54">
      <w:pPr>
        <w:widowControl w:val="0"/>
        <w:numPr>
          <w:ilvl w:val="1"/>
          <w:numId w:val="2"/>
        </w:numPr>
        <w:spacing w:after="120"/>
        <w:ind w:left="357" w:hanging="357"/>
        <w:jc w:val="both"/>
        <w:rPr>
          <w:b/>
          <w:bCs/>
          <w:noProof/>
          <w:sz w:val="24"/>
          <w:szCs w:val="24"/>
        </w:rPr>
      </w:pPr>
      <w:r w:rsidRPr="00553A54">
        <w:rPr>
          <w:b/>
          <w:bCs/>
          <w:noProof/>
          <w:sz w:val="24"/>
          <w:szCs w:val="24"/>
        </w:rPr>
        <w:t xml:space="preserve"> ВАЛЮТНОЕ РЕГУЛИРОВАНИЕ И ВАЛЮТНЫЙ КОНТРОЛЬ</w:t>
      </w:r>
    </w:p>
    <w:p w:rsidR="00C20988" w:rsidRPr="00553A54" w:rsidRDefault="00C20988" w:rsidP="00553A54">
      <w:pPr>
        <w:ind w:firstLine="425"/>
        <w:jc w:val="both"/>
        <w:rPr>
          <w:sz w:val="24"/>
          <w:szCs w:val="24"/>
        </w:rPr>
      </w:pPr>
      <w:r w:rsidRPr="00553A54">
        <w:rPr>
          <w:sz w:val="24"/>
          <w:szCs w:val="24"/>
        </w:rPr>
        <w:t>В рамках валютной политики центральный банк действовал в соответствии с нормами законодательства и свои</w:t>
      </w:r>
      <w:r>
        <w:rPr>
          <w:sz w:val="24"/>
          <w:szCs w:val="24"/>
        </w:rPr>
        <w:t>ми</w:t>
      </w:r>
      <w:r w:rsidRPr="00553A54">
        <w:rPr>
          <w:sz w:val="24"/>
          <w:szCs w:val="24"/>
        </w:rPr>
        <w:t xml:space="preserve"> полномочи</w:t>
      </w:r>
      <w:r>
        <w:rPr>
          <w:sz w:val="24"/>
          <w:szCs w:val="24"/>
        </w:rPr>
        <w:t>ями</w:t>
      </w:r>
      <w:r w:rsidRPr="00553A54">
        <w:rPr>
          <w:sz w:val="24"/>
          <w:szCs w:val="24"/>
        </w:rPr>
        <w:t xml:space="preserve"> по установлению размера и порядка обязательной продажи части валютной выручки резидентов в валютный резерв Приднестровской Молдавской Республики, по продлению сроков репатриации и снятию с валютного контроля сумм безнадёжной задолженности в случаях представления резидентом документального подтверждения фактов, оговоренных законом, свидетельствующих о невозможности взыскания или возврата причитающихся им сумм, а также полномочи</w:t>
      </w:r>
      <w:r>
        <w:rPr>
          <w:sz w:val="24"/>
          <w:szCs w:val="24"/>
        </w:rPr>
        <w:t>ями</w:t>
      </w:r>
      <w:r w:rsidRPr="00553A54">
        <w:rPr>
          <w:sz w:val="24"/>
          <w:szCs w:val="24"/>
        </w:rPr>
        <w:t xml:space="preserve"> по рассмотрению административных дел за невыполнение обязанности по получению в установленный срок экспортной валютной выручки, равно как и обязанности возврата авансовых платежей за неосуществлённый импорт или ввоза в установленный срок импортных товаров, выполнения работ, оказания услуг. </w:t>
      </w:r>
    </w:p>
    <w:p w:rsidR="00C20988" w:rsidRPr="00553A54" w:rsidRDefault="00C20988" w:rsidP="00553A54">
      <w:pPr>
        <w:pStyle w:val="Default"/>
        <w:ind w:firstLine="425"/>
        <w:jc w:val="both"/>
        <w:rPr>
          <w:color w:val="auto"/>
        </w:rPr>
      </w:pPr>
      <w:r w:rsidRPr="00553A54">
        <w:rPr>
          <w:color w:val="auto"/>
        </w:rPr>
        <w:t xml:space="preserve">Норма обязательной продажи части валютной выручки, установленная действующим законодательством, в отчётном году составляла 25%, за исключением: </w:t>
      </w:r>
    </w:p>
    <w:p w:rsidR="00C20988" w:rsidRPr="00553A54" w:rsidRDefault="00C20988" w:rsidP="00553A54">
      <w:pPr>
        <w:pStyle w:val="Default"/>
        <w:ind w:firstLine="425"/>
        <w:jc w:val="both"/>
        <w:rPr>
          <w:color w:val="auto"/>
        </w:rPr>
      </w:pPr>
      <w:r w:rsidRPr="00553A54">
        <w:rPr>
          <w:color w:val="auto"/>
        </w:rPr>
        <w:t>- выручки, получаемой от реализации товаров, работ, услуг на территории Приднестровской Молдавской Республики за наличную иностранную валюту на основании лицензий, выданных Приднестровским республиканским банком. Норма обязательной продажи по данной части валютной выручки соответствовала 10%;</w:t>
      </w:r>
    </w:p>
    <w:p w:rsidR="00C20988" w:rsidRPr="00553A54" w:rsidRDefault="00C20988" w:rsidP="00553A54">
      <w:pPr>
        <w:pStyle w:val="Default"/>
        <w:ind w:firstLine="425"/>
        <w:jc w:val="both"/>
        <w:rPr>
          <w:color w:val="auto"/>
        </w:rPr>
      </w:pPr>
      <w:r w:rsidRPr="00553A54">
        <w:rPr>
          <w:color w:val="auto"/>
        </w:rPr>
        <w:t>- денежных средств, полученных в иностранной валюте субъектом инновационной деятельности в результате реализации инновационного проекта, от реализации готовой продукции за пределы ПМР при осуществлении инновационного проекта. Данные субъекты производили обязательную продажу в размере 3% от суммы валютной выручки;</w:t>
      </w:r>
    </w:p>
    <w:p w:rsidR="00C20988" w:rsidRPr="00553A54" w:rsidRDefault="00C20988" w:rsidP="00553A54">
      <w:pPr>
        <w:pStyle w:val="Default"/>
        <w:ind w:firstLine="425"/>
        <w:jc w:val="both"/>
        <w:rPr>
          <w:color w:val="auto"/>
        </w:rPr>
      </w:pPr>
      <w:r w:rsidRPr="00553A54">
        <w:rPr>
          <w:color w:val="auto"/>
        </w:rPr>
        <w:t>- денежны</w:t>
      </w:r>
      <w:r>
        <w:rPr>
          <w:color w:val="auto"/>
        </w:rPr>
        <w:t>х</w:t>
      </w:r>
      <w:r w:rsidRPr="00553A54">
        <w:rPr>
          <w:color w:val="auto"/>
        </w:rPr>
        <w:t xml:space="preserve"> средств, полученны</w:t>
      </w:r>
      <w:r>
        <w:rPr>
          <w:color w:val="auto"/>
        </w:rPr>
        <w:t>х</w:t>
      </w:r>
      <w:r w:rsidRPr="00553A54">
        <w:rPr>
          <w:color w:val="auto"/>
        </w:rPr>
        <w:t xml:space="preserve"> резидентами и нерезидентами в иностранной валюте от экспорта электрической энергии из Приднестровской Молдавской Республики, </w:t>
      </w:r>
      <w:r>
        <w:rPr>
          <w:color w:val="auto"/>
        </w:rPr>
        <w:t xml:space="preserve">которые </w:t>
      </w:r>
      <w:r w:rsidRPr="00553A54">
        <w:rPr>
          <w:color w:val="auto"/>
        </w:rPr>
        <w:t xml:space="preserve">подлежали обязательной продаже в </w:t>
      </w:r>
      <w:r>
        <w:rPr>
          <w:color w:val="auto"/>
        </w:rPr>
        <w:t>размере</w:t>
      </w:r>
      <w:r w:rsidRPr="00553A54">
        <w:rPr>
          <w:color w:val="auto"/>
        </w:rPr>
        <w:t xml:space="preserve"> </w:t>
      </w:r>
      <w:r w:rsidRPr="008C4A25">
        <w:rPr>
          <w:color w:val="auto"/>
        </w:rPr>
        <w:t>100% – до 12 апреля 2018 года,</w:t>
      </w:r>
      <w:r>
        <w:rPr>
          <w:color w:val="auto"/>
        </w:rPr>
        <w:t xml:space="preserve"> </w:t>
      </w:r>
      <w:r w:rsidRPr="00553A54">
        <w:rPr>
          <w:color w:val="auto"/>
        </w:rPr>
        <w:t>97</w:t>
      </w:r>
      <w:r w:rsidRPr="00063E3E">
        <w:rPr>
          <w:color w:val="auto"/>
        </w:rPr>
        <w:t xml:space="preserve">% </w:t>
      </w:r>
      <w:r>
        <w:rPr>
          <w:color w:val="auto"/>
        </w:rPr>
        <w:t>–</w:t>
      </w:r>
      <w:r w:rsidRPr="00063E3E">
        <w:t xml:space="preserve"> с 12 апреля 2018 года по 27 декабря 2018 года; 95% – с 28 декабря 2018 года</w:t>
      </w:r>
      <w:r w:rsidRPr="00063E3E">
        <w:rPr>
          <w:color w:val="auto"/>
        </w:rPr>
        <w:t>;</w:t>
      </w:r>
    </w:p>
    <w:p w:rsidR="00C20988" w:rsidRPr="00553A54" w:rsidRDefault="00C20988" w:rsidP="00553A54">
      <w:pPr>
        <w:pStyle w:val="Default"/>
        <w:ind w:firstLine="425"/>
        <w:jc w:val="both"/>
        <w:rPr>
          <w:color w:val="auto"/>
        </w:rPr>
      </w:pPr>
      <w:r w:rsidRPr="00553A54">
        <w:rPr>
          <w:color w:val="auto"/>
        </w:rPr>
        <w:t xml:space="preserve"> - организаци</w:t>
      </w:r>
      <w:r>
        <w:rPr>
          <w:color w:val="auto"/>
        </w:rPr>
        <w:t>й</w:t>
      </w:r>
      <w:r w:rsidRPr="00553A54">
        <w:rPr>
          <w:color w:val="auto"/>
        </w:rPr>
        <w:t xml:space="preserve"> чёрной металлургии, осуществивши</w:t>
      </w:r>
      <w:r>
        <w:rPr>
          <w:color w:val="auto"/>
        </w:rPr>
        <w:t>х</w:t>
      </w:r>
      <w:r w:rsidRPr="00553A54">
        <w:rPr>
          <w:color w:val="auto"/>
        </w:rPr>
        <w:t xml:space="preserve"> за предшествующий календарный месяц обязательную продажу части валютной выручки в объёме</w:t>
      </w:r>
      <w:r>
        <w:rPr>
          <w:color w:val="auto"/>
        </w:rPr>
        <w:t>,</w:t>
      </w:r>
      <w:r w:rsidRPr="00553A54">
        <w:rPr>
          <w:color w:val="auto"/>
        </w:rPr>
        <w:t xml:space="preserve"> равном или превышающем в эквиваленте один миллион долларов США, </w:t>
      </w:r>
      <w:r>
        <w:rPr>
          <w:color w:val="auto"/>
        </w:rPr>
        <w:t xml:space="preserve">которые </w:t>
      </w:r>
      <w:r w:rsidRPr="00553A54">
        <w:rPr>
          <w:color w:val="auto"/>
        </w:rPr>
        <w:t>производили обязательную продажу в размере 18% от суммы валютной выручки, полученной в течение текущего календарного месяца (норма вступила в действие с 9 июня 2018 года</w:t>
      </w:r>
      <w:r w:rsidRPr="005014AB">
        <w:rPr>
          <w:color w:val="auto"/>
        </w:rPr>
        <w:t xml:space="preserve">, </w:t>
      </w:r>
      <w:r w:rsidRPr="004C5FD3">
        <w:rPr>
          <w:color w:val="auto"/>
        </w:rPr>
        <w:t>25% – до 9 июня 2018 года).</w:t>
      </w:r>
    </w:p>
    <w:p w:rsidR="00C20988" w:rsidRPr="00553A54" w:rsidRDefault="00C20988" w:rsidP="00553A54">
      <w:pPr>
        <w:ind w:firstLine="425"/>
        <w:jc w:val="both"/>
        <w:rPr>
          <w:sz w:val="24"/>
          <w:szCs w:val="24"/>
        </w:rPr>
      </w:pPr>
      <w:r w:rsidRPr="00553A54">
        <w:rPr>
          <w:sz w:val="24"/>
          <w:szCs w:val="24"/>
        </w:rPr>
        <w:t xml:space="preserve">В рамках валютного контроля осуществлялась проверка выполнения резидентами обязательств по репатриации валютной выручки на территорию Приднестровской Молдавской Республики, а также обязательств по продаже её части на внутреннем валютном рынке, определялась обоснованность платежей в иностранной валюте, оценивалась полнота и объективность учёта и отчётности по валютным операциям, соответствие проводимых валютных операций действующему законодательству Приднестровской Молдавской Республики. </w:t>
      </w:r>
    </w:p>
    <w:p w:rsidR="00C20988" w:rsidRPr="00553A54" w:rsidRDefault="00C20988" w:rsidP="00553A54">
      <w:pPr>
        <w:ind w:firstLine="425"/>
        <w:jc w:val="both"/>
        <w:rPr>
          <w:sz w:val="24"/>
          <w:szCs w:val="24"/>
        </w:rPr>
      </w:pPr>
      <w:r w:rsidRPr="00553A54">
        <w:rPr>
          <w:sz w:val="24"/>
          <w:szCs w:val="24"/>
        </w:rPr>
        <w:t>Валютный контроль за соблюдением резидентами сроков репатриации валютной выручки и ввоза товаров по экспортно-импортным сделкам осуществляется совместно с таможенными органами</w:t>
      </w:r>
      <w:r w:rsidRPr="00CA3EA0">
        <w:rPr>
          <w:sz w:val="24"/>
          <w:szCs w:val="24"/>
        </w:rPr>
        <w:t xml:space="preserve"> </w:t>
      </w:r>
      <w:r w:rsidRPr="00553A54">
        <w:rPr>
          <w:sz w:val="24"/>
          <w:szCs w:val="24"/>
        </w:rPr>
        <w:t>Приднестровской Молдавской Республики.</w:t>
      </w:r>
    </w:p>
    <w:p w:rsidR="00C20988" w:rsidRPr="00553A54" w:rsidRDefault="00C20988" w:rsidP="00553A54">
      <w:pPr>
        <w:ind w:firstLine="425"/>
        <w:jc w:val="both"/>
        <w:rPr>
          <w:sz w:val="24"/>
          <w:szCs w:val="24"/>
        </w:rPr>
      </w:pPr>
      <w:r w:rsidRPr="00553A54">
        <w:rPr>
          <w:sz w:val="24"/>
          <w:szCs w:val="24"/>
        </w:rPr>
        <w:t xml:space="preserve">В 2018 году в рамках </w:t>
      </w:r>
      <w:r>
        <w:rPr>
          <w:sz w:val="24"/>
          <w:szCs w:val="24"/>
        </w:rPr>
        <w:t xml:space="preserve">реализации </w:t>
      </w:r>
      <w:r w:rsidRPr="00553A54">
        <w:rPr>
          <w:sz w:val="24"/>
          <w:szCs w:val="24"/>
        </w:rPr>
        <w:t xml:space="preserve">мероприятий </w:t>
      </w:r>
      <w:r>
        <w:rPr>
          <w:sz w:val="24"/>
          <w:szCs w:val="24"/>
        </w:rPr>
        <w:t xml:space="preserve">по </w:t>
      </w:r>
      <w:r w:rsidRPr="00553A54">
        <w:rPr>
          <w:sz w:val="24"/>
          <w:szCs w:val="24"/>
        </w:rPr>
        <w:t>дорожн</w:t>
      </w:r>
      <w:r>
        <w:rPr>
          <w:sz w:val="24"/>
          <w:szCs w:val="24"/>
        </w:rPr>
        <w:t>ой</w:t>
      </w:r>
      <w:r w:rsidRPr="00553A54">
        <w:rPr>
          <w:sz w:val="24"/>
          <w:szCs w:val="24"/>
        </w:rPr>
        <w:t xml:space="preserve"> карт</w:t>
      </w:r>
      <w:r>
        <w:rPr>
          <w:sz w:val="24"/>
          <w:szCs w:val="24"/>
        </w:rPr>
        <w:t>е</w:t>
      </w:r>
      <w:r w:rsidRPr="00553A54">
        <w:rPr>
          <w:sz w:val="24"/>
          <w:szCs w:val="24"/>
        </w:rPr>
        <w:t xml:space="preserve"> «Поддержка доступа приднестровских производителей на рынки зарубежных стран и поддержка экспорта» и «Улучшение внутренних условий ведения предпринимательской деятельности в ПМР» проведена оптимизация межведомственного взаимодействия банковской системы с Государственным таможенным комитетом Приднестровской Молдавской Республики по вопросам валютного контроля в части электронного обмена данными без использования бумажных документов. Реализация </w:t>
      </w:r>
      <w:r>
        <w:rPr>
          <w:sz w:val="24"/>
          <w:szCs w:val="24"/>
        </w:rPr>
        <w:t xml:space="preserve">данных мероприятий </w:t>
      </w:r>
      <w:r w:rsidRPr="00553A54">
        <w:rPr>
          <w:sz w:val="24"/>
          <w:szCs w:val="24"/>
        </w:rPr>
        <w:t xml:space="preserve">для экономических агентов </w:t>
      </w:r>
      <w:r>
        <w:rPr>
          <w:sz w:val="24"/>
          <w:szCs w:val="24"/>
        </w:rPr>
        <w:t>выразилась в</w:t>
      </w:r>
      <w:r w:rsidRPr="00553A54">
        <w:rPr>
          <w:sz w:val="24"/>
          <w:szCs w:val="24"/>
        </w:rPr>
        <w:t xml:space="preserve"> отмен</w:t>
      </w:r>
      <w:r>
        <w:rPr>
          <w:sz w:val="24"/>
          <w:szCs w:val="24"/>
        </w:rPr>
        <w:t>е</w:t>
      </w:r>
      <w:r w:rsidRPr="00553A54">
        <w:rPr>
          <w:sz w:val="24"/>
          <w:szCs w:val="24"/>
        </w:rPr>
        <w:t xml:space="preserve"> бумажных документов валютного контроля (оформление на каждую экспортируемую партию товара декларации о репатриации на бумажном носителе), </w:t>
      </w:r>
      <w:r>
        <w:rPr>
          <w:sz w:val="24"/>
          <w:szCs w:val="24"/>
        </w:rPr>
        <w:t>а следовательно,</w:t>
      </w:r>
      <w:r w:rsidRPr="00553A54">
        <w:rPr>
          <w:sz w:val="24"/>
          <w:szCs w:val="24"/>
        </w:rPr>
        <w:t xml:space="preserve"> сокращени</w:t>
      </w:r>
      <w:r>
        <w:rPr>
          <w:sz w:val="24"/>
          <w:szCs w:val="24"/>
        </w:rPr>
        <w:t>и</w:t>
      </w:r>
      <w:r w:rsidRPr="00553A54">
        <w:rPr>
          <w:sz w:val="24"/>
          <w:szCs w:val="24"/>
        </w:rPr>
        <w:t xml:space="preserve"> бумаж</w:t>
      </w:r>
      <w:r>
        <w:rPr>
          <w:sz w:val="24"/>
          <w:szCs w:val="24"/>
        </w:rPr>
        <w:t>ного документооборота и экономии</w:t>
      </w:r>
      <w:r w:rsidRPr="00553A54">
        <w:rPr>
          <w:sz w:val="24"/>
          <w:szCs w:val="24"/>
        </w:rPr>
        <w:t xml:space="preserve"> времени при оформлении экспорт</w:t>
      </w:r>
      <w:r>
        <w:rPr>
          <w:sz w:val="24"/>
          <w:szCs w:val="24"/>
        </w:rPr>
        <w:t>ных операций</w:t>
      </w:r>
      <w:r w:rsidRPr="00553A54">
        <w:rPr>
          <w:sz w:val="24"/>
          <w:szCs w:val="24"/>
        </w:rPr>
        <w:t>.</w:t>
      </w:r>
      <w:r>
        <w:rPr>
          <w:sz w:val="24"/>
          <w:szCs w:val="24"/>
        </w:rPr>
        <w:t xml:space="preserve"> </w:t>
      </w:r>
    </w:p>
    <w:p w:rsidR="00C20988" w:rsidRPr="00553A54" w:rsidRDefault="00C20988" w:rsidP="00553A54">
      <w:pPr>
        <w:pStyle w:val="BodyText3"/>
        <w:spacing w:after="0"/>
        <w:ind w:firstLine="425"/>
        <w:jc w:val="both"/>
        <w:rPr>
          <w:sz w:val="24"/>
          <w:szCs w:val="24"/>
        </w:rPr>
      </w:pPr>
      <w:r w:rsidRPr="00553A54">
        <w:rPr>
          <w:sz w:val="24"/>
          <w:szCs w:val="24"/>
        </w:rPr>
        <w:t xml:space="preserve">Основой для такого взаимодействия послужила система уникальной и неизменной во времени идентификации экспортёров и экспортных договоров путём присвоения всем экспортёрам идентификационного номера, а также банковского кода контракта экспортным договорам. Присвоение банковского кода контракта конкретному договору производится один раз уполномоченным банком и исключает регулярное обращение экспортёров в банк при оформлении каждой экспортируемой партии товара. Используя </w:t>
      </w:r>
      <w:r w:rsidRPr="00553A54">
        <w:rPr>
          <w:bCs/>
          <w:sz w:val="24"/>
          <w:szCs w:val="24"/>
        </w:rPr>
        <w:t>присвоенные банковские коды контракта,</w:t>
      </w:r>
      <w:r w:rsidRPr="00553A54">
        <w:rPr>
          <w:sz w:val="24"/>
          <w:szCs w:val="24"/>
        </w:rPr>
        <w:t xml:space="preserve"> формируются документы валютного контроля </w:t>
      </w:r>
      <w:r>
        <w:rPr>
          <w:sz w:val="24"/>
          <w:szCs w:val="24"/>
        </w:rPr>
        <w:t>–</w:t>
      </w:r>
      <w:r w:rsidRPr="00553A54">
        <w:rPr>
          <w:sz w:val="24"/>
          <w:szCs w:val="24"/>
        </w:rPr>
        <w:t xml:space="preserve"> электронные декларации о репатриации по каждой экспортируемой партии товаров на основании сведений, представленных Государственным таможенным комитетом Приднестровской Молдавской Республики посредством системы обмена информационными сообщениями между Государственным таможенным комитетом Приднестровской Молдавской Республики и Приднестровским республиканским банком. Электронный обмен данными при осуществлении валютного контроля за</w:t>
      </w:r>
      <w:r w:rsidRPr="00553A54">
        <w:rPr>
          <w:color w:val="000000"/>
          <w:sz w:val="24"/>
          <w:szCs w:val="24"/>
        </w:rPr>
        <w:t xml:space="preserve"> репатриацией валютных средств </w:t>
      </w:r>
      <w:r w:rsidRPr="00553A54">
        <w:rPr>
          <w:sz w:val="24"/>
          <w:szCs w:val="24"/>
        </w:rPr>
        <w:t xml:space="preserve">при перемещении товаров через таможенную границу Приднестровской Молдавской Республики </w:t>
      </w:r>
      <w:r>
        <w:rPr>
          <w:sz w:val="24"/>
          <w:szCs w:val="24"/>
        </w:rPr>
        <w:t xml:space="preserve">начал действовать с 17 октября </w:t>
      </w:r>
      <w:r w:rsidRPr="00553A54">
        <w:rPr>
          <w:sz w:val="24"/>
          <w:szCs w:val="24"/>
        </w:rPr>
        <w:t>2018 года.</w:t>
      </w:r>
    </w:p>
    <w:p w:rsidR="00C20988" w:rsidRPr="00553A54" w:rsidRDefault="00C20988" w:rsidP="00553A54">
      <w:pPr>
        <w:ind w:firstLine="425"/>
        <w:jc w:val="both"/>
        <w:rPr>
          <w:sz w:val="24"/>
          <w:szCs w:val="24"/>
        </w:rPr>
      </w:pPr>
      <w:r w:rsidRPr="00553A54">
        <w:rPr>
          <w:sz w:val="24"/>
          <w:szCs w:val="24"/>
        </w:rPr>
        <w:t>В 2018 году протоколами об административном правонарушении был зафиксирован 141 случай нарушения сроков репатриации валютной выручки, возврата авансовых платежей по импортным операциям, не сопровождающи</w:t>
      </w:r>
      <w:r>
        <w:rPr>
          <w:sz w:val="24"/>
          <w:szCs w:val="24"/>
        </w:rPr>
        <w:t>м</w:t>
      </w:r>
      <w:r w:rsidRPr="00553A54">
        <w:rPr>
          <w:sz w:val="24"/>
          <w:szCs w:val="24"/>
        </w:rPr>
        <w:t>ся поставками товаров (работ, услуг)</w:t>
      </w:r>
      <w:r>
        <w:rPr>
          <w:sz w:val="24"/>
          <w:szCs w:val="24"/>
        </w:rPr>
        <w:t>,</w:t>
      </w:r>
      <w:r w:rsidRPr="00553A54">
        <w:rPr>
          <w:sz w:val="24"/>
          <w:szCs w:val="24"/>
        </w:rPr>
        <w:t xml:space="preserve"> было вынесено 42 Постановления о назначении административного наказания. Общая сумма наложенных административных штрафов составила в долларовом эквиваленте 395,3 тыс. долл., уплаченных штрафов – в эквиваленте 7</w:t>
      </w:r>
      <w:r>
        <w:rPr>
          <w:sz w:val="24"/>
          <w:szCs w:val="24"/>
        </w:rPr>
        <w:t>,</w:t>
      </w:r>
      <w:r w:rsidRPr="00553A54">
        <w:rPr>
          <w:sz w:val="24"/>
          <w:szCs w:val="24"/>
        </w:rPr>
        <w:t>3</w:t>
      </w:r>
      <w:r>
        <w:rPr>
          <w:sz w:val="24"/>
          <w:szCs w:val="24"/>
        </w:rPr>
        <w:t xml:space="preserve"> тыс.</w:t>
      </w:r>
      <w:r w:rsidRPr="00553A54">
        <w:rPr>
          <w:sz w:val="24"/>
          <w:szCs w:val="24"/>
        </w:rPr>
        <w:t xml:space="preserve"> долл.</w:t>
      </w:r>
      <w:r>
        <w:rPr>
          <w:sz w:val="24"/>
          <w:szCs w:val="24"/>
        </w:rPr>
        <w:t>, что обусловлено спецификой взимания штрафов в соответствии с действующим законодательством.</w:t>
      </w:r>
    </w:p>
    <w:p w:rsidR="00C20988" w:rsidRPr="00553A54" w:rsidRDefault="00C20988" w:rsidP="00553A54">
      <w:pPr>
        <w:ind w:firstLine="425"/>
        <w:jc w:val="both"/>
        <w:rPr>
          <w:sz w:val="24"/>
          <w:szCs w:val="24"/>
        </w:rPr>
      </w:pPr>
      <w:r w:rsidRPr="00553A54">
        <w:rPr>
          <w:sz w:val="24"/>
          <w:szCs w:val="24"/>
        </w:rPr>
        <w:t>В рамках регистрации валютных операций, связанных с движением капитала, Приднестровским республиканским банком в</w:t>
      </w:r>
      <w:r>
        <w:rPr>
          <w:sz w:val="24"/>
          <w:szCs w:val="24"/>
        </w:rPr>
        <w:t xml:space="preserve"> 2018 году</w:t>
      </w:r>
      <w:r w:rsidRPr="00553A54">
        <w:rPr>
          <w:sz w:val="24"/>
          <w:szCs w:val="24"/>
        </w:rPr>
        <w:t xml:space="preserve"> было зафиксировано получение юридическими лицами иностранной валюты в сумме, эквивалентной 56,98 млн долл., в том числе 20,06 млн долл. по операциям, связанным с использованием юридическими лицами </w:t>
      </w:r>
      <w:r>
        <w:rPr>
          <w:sz w:val="24"/>
          <w:szCs w:val="24"/>
        </w:rPr>
        <w:t>–</w:t>
      </w:r>
      <w:r w:rsidRPr="00553A54">
        <w:rPr>
          <w:sz w:val="24"/>
          <w:szCs w:val="24"/>
        </w:rPr>
        <w:t xml:space="preserve"> резидентами вексельной формы расчётов с нерезидентами (передача векселей в качестве средства платежа по договорам).</w:t>
      </w:r>
    </w:p>
    <w:p w:rsidR="00C20988" w:rsidRPr="00553A54" w:rsidRDefault="00C20988" w:rsidP="00553A54">
      <w:pPr>
        <w:ind w:firstLine="425"/>
        <w:jc w:val="both"/>
        <w:rPr>
          <w:sz w:val="24"/>
          <w:szCs w:val="24"/>
        </w:rPr>
      </w:pPr>
      <w:r w:rsidRPr="00553A54">
        <w:rPr>
          <w:sz w:val="24"/>
          <w:szCs w:val="24"/>
        </w:rPr>
        <w:t>В отчётном году был</w:t>
      </w:r>
      <w:r>
        <w:rPr>
          <w:sz w:val="24"/>
          <w:szCs w:val="24"/>
        </w:rPr>
        <w:t>и</w:t>
      </w:r>
      <w:r w:rsidRPr="00553A54">
        <w:rPr>
          <w:sz w:val="24"/>
          <w:szCs w:val="24"/>
        </w:rPr>
        <w:t xml:space="preserve"> принят</w:t>
      </w:r>
      <w:r>
        <w:rPr>
          <w:sz w:val="24"/>
          <w:szCs w:val="24"/>
        </w:rPr>
        <w:t>ы</w:t>
      </w:r>
      <w:r w:rsidRPr="00553A54">
        <w:rPr>
          <w:sz w:val="24"/>
          <w:szCs w:val="24"/>
        </w:rPr>
        <w:t xml:space="preserve"> положительн</w:t>
      </w:r>
      <w:r>
        <w:rPr>
          <w:sz w:val="24"/>
          <w:szCs w:val="24"/>
        </w:rPr>
        <w:t>ы</w:t>
      </w:r>
      <w:r w:rsidRPr="00553A54">
        <w:rPr>
          <w:sz w:val="24"/>
          <w:szCs w:val="24"/>
        </w:rPr>
        <w:t>е решени</w:t>
      </w:r>
      <w:r>
        <w:rPr>
          <w:sz w:val="24"/>
          <w:szCs w:val="24"/>
        </w:rPr>
        <w:t>я</w:t>
      </w:r>
      <w:r w:rsidRPr="00553A54">
        <w:rPr>
          <w:sz w:val="24"/>
          <w:szCs w:val="24"/>
        </w:rPr>
        <w:t xml:space="preserve"> о выдаче юридическим лицам - резидентам ПМР разрешений на осуществление валютных операций, связанных с движением капитала</w:t>
      </w:r>
      <w:r>
        <w:rPr>
          <w:sz w:val="24"/>
          <w:szCs w:val="24"/>
        </w:rPr>
        <w:t>,</w:t>
      </w:r>
      <w:r w:rsidRPr="00553A54">
        <w:rPr>
          <w:sz w:val="24"/>
          <w:szCs w:val="24"/>
        </w:rPr>
        <w:t xml:space="preserve"> в сумме, эквивалентной 66,55 млн долл., в том числе по операциям, связанным с использованием юридическими лицами - резидентами вексельной формы расчётов с нерезидентами (принятие векселей в качестве оплаты по договорам), – 64,22 млн долл.</w:t>
      </w:r>
    </w:p>
    <w:p w:rsidR="00C20988" w:rsidRPr="00553A54" w:rsidRDefault="00C20988" w:rsidP="00553A54">
      <w:pPr>
        <w:ind w:firstLine="425"/>
        <w:jc w:val="both"/>
        <w:rPr>
          <w:sz w:val="24"/>
          <w:szCs w:val="24"/>
        </w:rPr>
      </w:pPr>
      <w:r w:rsidRPr="00553A54">
        <w:rPr>
          <w:sz w:val="24"/>
          <w:szCs w:val="24"/>
        </w:rPr>
        <w:t xml:space="preserve">По выданным Приднестровским республиканским банком лицензиям </w:t>
      </w:r>
      <w:r w:rsidRPr="00553A54">
        <w:rPr>
          <w:snapToGrid w:val="0"/>
          <w:sz w:val="24"/>
        </w:rPr>
        <w:t>на право реализации физическим лицам на территории Приднестровской Молдавской Республики товаров (работ, услуг) за наличную и (или) безналичную иностранную валюту, в том числе с использованием банковских (плат</w:t>
      </w:r>
      <w:r>
        <w:rPr>
          <w:snapToGrid w:val="0"/>
          <w:sz w:val="24"/>
        </w:rPr>
        <w:t>ё</w:t>
      </w:r>
      <w:r w:rsidRPr="00553A54">
        <w:rPr>
          <w:snapToGrid w:val="0"/>
          <w:sz w:val="24"/>
        </w:rPr>
        <w:t>жных) карт</w:t>
      </w:r>
      <w:r>
        <w:rPr>
          <w:snapToGrid w:val="0"/>
          <w:sz w:val="24"/>
        </w:rPr>
        <w:t>,</w:t>
      </w:r>
      <w:r w:rsidRPr="00553A54">
        <w:rPr>
          <w:snapToGrid w:val="0"/>
          <w:sz w:val="24"/>
        </w:rPr>
        <w:t xml:space="preserve"> </w:t>
      </w:r>
      <w:r w:rsidRPr="00553A54">
        <w:rPr>
          <w:sz w:val="24"/>
          <w:szCs w:val="24"/>
        </w:rPr>
        <w:t xml:space="preserve">по состоянию на начало </w:t>
      </w:r>
      <w:r>
        <w:rPr>
          <w:sz w:val="24"/>
          <w:szCs w:val="24"/>
        </w:rPr>
        <w:t xml:space="preserve">отчётного </w:t>
      </w:r>
      <w:r w:rsidRPr="00553A54">
        <w:rPr>
          <w:sz w:val="24"/>
          <w:szCs w:val="24"/>
        </w:rPr>
        <w:t>года работало 21 юридическ</w:t>
      </w:r>
      <w:r>
        <w:rPr>
          <w:sz w:val="24"/>
          <w:szCs w:val="24"/>
        </w:rPr>
        <w:t>ое</w:t>
      </w:r>
      <w:r w:rsidRPr="00553A54">
        <w:rPr>
          <w:sz w:val="24"/>
          <w:szCs w:val="24"/>
        </w:rPr>
        <w:t xml:space="preserve"> лиц</w:t>
      </w:r>
      <w:r>
        <w:rPr>
          <w:sz w:val="24"/>
          <w:szCs w:val="24"/>
        </w:rPr>
        <w:t>о</w:t>
      </w:r>
      <w:r w:rsidRPr="00553A54">
        <w:rPr>
          <w:sz w:val="24"/>
          <w:szCs w:val="24"/>
        </w:rPr>
        <w:t xml:space="preserve">, по состоянию на конец года – 20 юридических лиц. </w:t>
      </w:r>
    </w:p>
    <w:p w:rsidR="00C20988" w:rsidRPr="00553A54" w:rsidRDefault="00C20988" w:rsidP="00553A54">
      <w:pPr>
        <w:ind w:firstLine="425"/>
        <w:jc w:val="both"/>
        <w:rPr>
          <w:sz w:val="24"/>
          <w:szCs w:val="24"/>
        </w:rPr>
      </w:pPr>
    </w:p>
    <w:p w:rsidR="00C20988" w:rsidRPr="00553A54" w:rsidRDefault="00C20988" w:rsidP="00F735FE">
      <w:pPr>
        <w:widowControl w:val="0"/>
        <w:numPr>
          <w:ilvl w:val="1"/>
          <w:numId w:val="2"/>
        </w:numPr>
        <w:tabs>
          <w:tab w:val="clear" w:pos="360"/>
          <w:tab w:val="num" w:pos="0"/>
          <w:tab w:val="left" w:pos="567"/>
        </w:tabs>
        <w:ind w:left="0" w:firstLine="0"/>
        <w:jc w:val="both"/>
        <w:rPr>
          <w:b/>
          <w:bCs/>
          <w:noProof/>
          <w:sz w:val="24"/>
          <w:szCs w:val="24"/>
        </w:rPr>
      </w:pPr>
      <w:r w:rsidRPr="00553A54">
        <w:rPr>
          <w:b/>
          <w:bCs/>
          <w:noProof/>
          <w:sz w:val="24"/>
          <w:szCs w:val="24"/>
        </w:rPr>
        <w:t>ПРОТИВОДЕЙСТВИ</w:t>
      </w:r>
      <w:r>
        <w:rPr>
          <w:b/>
          <w:bCs/>
          <w:noProof/>
          <w:sz w:val="24"/>
          <w:szCs w:val="24"/>
        </w:rPr>
        <w:t>Е</w:t>
      </w:r>
      <w:r w:rsidRPr="00553A54">
        <w:rPr>
          <w:b/>
          <w:bCs/>
          <w:noProof/>
          <w:sz w:val="24"/>
          <w:szCs w:val="24"/>
        </w:rPr>
        <w:t xml:space="preserve"> ЛЕГАЛИЗАЦИИ (ОТМЫВАНИЮ) ДОХОДОВ, ПОЛУЧЕННЫХ ПРЕСТУПНЫМ ПУТЁМ, И ФИНАНСИРОВАНИЮ ТЕРРОРИЗМА </w:t>
      </w:r>
    </w:p>
    <w:p w:rsidR="00C20988" w:rsidRPr="00553A54" w:rsidRDefault="00C20988" w:rsidP="00553A54">
      <w:pPr>
        <w:spacing w:before="120"/>
        <w:ind w:firstLine="425"/>
        <w:jc w:val="both"/>
        <w:rPr>
          <w:sz w:val="24"/>
          <w:szCs w:val="24"/>
        </w:rPr>
      </w:pPr>
      <w:r w:rsidRPr="00553A54">
        <w:rPr>
          <w:sz w:val="24"/>
          <w:szCs w:val="24"/>
        </w:rPr>
        <w:t xml:space="preserve">В </w:t>
      </w:r>
      <w:r>
        <w:rPr>
          <w:sz w:val="24"/>
          <w:szCs w:val="24"/>
        </w:rPr>
        <w:t>отчётном</w:t>
      </w:r>
      <w:r w:rsidRPr="00553A54">
        <w:rPr>
          <w:sz w:val="24"/>
          <w:szCs w:val="24"/>
        </w:rPr>
        <w:t xml:space="preserve"> году Приднестровским республиканским банком была продолжена работа по развитию системы противодействия легализации (отмыванию) доходов, полученных преступным путём, и финансированию терроризма (далее – ПОД/ФТ).</w:t>
      </w:r>
    </w:p>
    <w:p w:rsidR="00C20988" w:rsidRPr="00553A54" w:rsidRDefault="00C20988" w:rsidP="00553A54">
      <w:pPr>
        <w:ind w:firstLine="425"/>
        <w:jc w:val="both"/>
        <w:rPr>
          <w:snapToGrid w:val="0"/>
          <w:sz w:val="24"/>
          <w:szCs w:val="24"/>
        </w:rPr>
      </w:pPr>
      <w:r w:rsidRPr="00553A54">
        <w:rPr>
          <w:sz w:val="24"/>
          <w:szCs w:val="24"/>
        </w:rPr>
        <w:t>В течение 2018 года реализация функций, предусмотренных статьёй 12 Закона Приднестровской Молдавской Республики от 6 апреля 2009 года № 704-З-IV «О противодействии легализации (отмыванию) доходов, полученных преступным путём, и финансированию терроризма» (далее – Закон), Приднестровским республиканским банком как уполномоченным</w:t>
      </w:r>
      <w:r w:rsidRPr="00553A54">
        <w:rPr>
          <w:snapToGrid w:val="0"/>
          <w:sz w:val="24"/>
          <w:szCs w:val="24"/>
        </w:rPr>
        <w:t xml:space="preserve"> органом в сфере ПОД/ФТ осуществлялась по следующим направлениям</w:t>
      </w:r>
      <w:r>
        <w:rPr>
          <w:snapToGrid w:val="0"/>
          <w:sz w:val="24"/>
          <w:szCs w:val="24"/>
        </w:rPr>
        <w:t>:</w:t>
      </w:r>
    </w:p>
    <w:p w:rsidR="00C20988" w:rsidRPr="00553A54" w:rsidRDefault="00C20988" w:rsidP="00553A54">
      <w:pPr>
        <w:numPr>
          <w:ilvl w:val="0"/>
          <w:numId w:val="4"/>
        </w:numPr>
        <w:tabs>
          <w:tab w:val="left" w:pos="720"/>
        </w:tabs>
        <w:ind w:left="0" w:firstLine="425"/>
        <w:jc w:val="both"/>
        <w:rPr>
          <w:sz w:val="24"/>
          <w:szCs w:val="24"/>
        </w:rPr>
      </w:pPr>
      <w:r w:rsidRPr="00553A54">
        <w:rPr>
          <w:sz w:val="24"/>
          <w:szCs w:val="24"/>
        </w:rPr>
        <w:t xml:space="preserve">Поставлено на учёт 12 субъектов финансового мониторинга: </w:t>
      </w:r>
    </w:p>
    <w:p w:rsidR="00C20988" w:rsidRPr="00553A54" w:rsidRDefault="00C20988" w:rsidP="00553A54">
      <w:pPr>
        <w:pStyle w:val="ListParagraph"/>
        <w:numPr>
          <w:ilvl w:val="0"/>
          <w:numId w:val="23"/>
        </w:numPr>
        <w:tabs>
          <w:tab w:val="left" w:pos="720"/>
        </w:tabs>
        <w:ind w:left="0" w:firstLine="425"/>
        <w:contextualSpacing/>
        <w:jc w:val="both"/>
        <w:rPr>
          <w:sz w:val="24"/>
          <w:szCs w:val="24"/>
        </w:rPr>
      </w:pPr>
      <w:r>
        <w:rPr>
          <w:sz w:val="24"/>
          <w:szCs w:val="24"/>
        </w:rPr>
        <w:t>3</w:t>
      </w:r>
      <w:r w:rsidRPr="00553A54">
        <w:rPr>
          <w:sz w:val="24"/>
          <w:szCs w:val="24"/>
        </w:rPr>
        <w:t xml:space="preserve"> организации, оказывающие посреднические услуги при осуществлении сделок с недвижимым имуществом;</w:t>
      </w:r>
    </w:p>
    <w:p w:rsidR="00C20988" w:rsidRPr="00553A54" w:rsidRDefault="00C20988" w:rsidP="00553A54">
      <w:pPr>
        <w:pStyle w:val="ListParagraph"/>
        <w:numPr>
          <w:ilvl w:val="0"/>
          <w:numId w:val="23"/>
        </w:numPr>
        <w:ind w:left="0" w:firstLine="425"/>
        <w:contextualSpacing/>
        <w:jc w:val="both"/>
        <w:rPr>
          <w:sz w:val="24"/>
          <w:szCs w:val="24"/>
        </w:rPr>
      </w:pPr>
      <w:r>
        <w:rPr>
          <w:sz w:val="24"/>
          <w:szCs w:val="24"/>
        </w:rPr>
        <w:t>9</w:t>
      </w:r>
      <w:r w:rsidRPr="00553A54">
        <w:rPr>
          <w:sz w:val="24"/>
          <w:szCs w:val="24"/>
        </w:rPr>
        <w:t xml:space="preserve"> нотариусов.</w:t>
      </w:r>
    </w:p>
    <w:p w:rsidR="00C20988" w:rsidRPr="00553A54" w:rsidRDefault="00C20988" w:rsidP="00553A54">
      <w:pPr>
        <w:tabs>
          <w:tab w:val="left" w:pos="720"/>
        </w:tabs>
        <w:ind w:firstLine="425"/>
        <w:jc w:val="both"/>
        <w:rPr>
          <w:sz w:val="24"/>
          <w:szCs w:val="24"/>
        </w:rPr>
      </w:pPr>
      <w:r w:rsidRPr="00553A54">
        <w:rPr>
          <w:sz w:val="24"/>
          <w:szCs w:val="24"/>
        </w:rPr>
        <w:t xml:space="preserve">По состоянию на 31 декабря 2018 года на учёте в Приднестровском республиканском банке состоит 159 субъектов Закона </w:t>
      </w:r>
      <w:r>
        <w:rPr>
          <w:sz w:val="24"/>
          <w:szCs w:val="24"/>
        </w:rPr>
        <w:t>–</w:t>
      </w:r>
      <w:r w:rsidRPr="00553A54">
        <w:rPr>
          <w:sz w:val="24"/>
          <w:szCs w:val="24"/>
        </w:rPr>
        <w:t xml:space="preserve"> организаций, осуществляющих операции (сделки) с денежными средствами или иным имуществом, и иных лиц.</w:t>
      </w:r>
    </w:p>
    <w:p w:rsidR="00C20988" w:rsidRPr="00553A54" w:rsidRDefault="00C20988" w:rsidP="00553A54">
      <w:pPr>
        <w:numPr>
          <w:ilvl w:val="0"/>
          <w:numId w:val="4"/>
        </w:numPr>
        <w:tabs>
          <w:tab w:val="left" w:pos="720"/>
        </w:tabs>
        <w:ind w:left="0" w:firstLine="425"/>
        <w:jc w:val="both"/>
        <w:rPr>
          <w:sz w:val="24"/>
          <w:szCs w:val="24"/>
        </w:rPr>
      </w:pPr>
      <w:r w:rsidRPr="00553A54">
        <w:rPr>
          <w:sz w:val="24"/>
          <w:szCs w:val="24"/>
        </w:rPr>
        <w:t>Рассмотрены и согласованы Правила внутреннего контроля (изменения и (или) дополнения), представленные на согласование 26 организациями, осуществляющими операции (сделки) с денежными средствами или иным имуществом, и иными лицами.</w:t>
      </w:r>
    </w:p>
    <w:p w:rsidR="00C20988" w:rsidRPr="00553A54" w:rsidRDefault="00C20988" w:rsidP="00553A54">
      <w:pPr>
        <w:tabs>
          <w:tab w:val="left" w:pos="284"/>
          <w:tab w:val="left" w:pos="1080"/>
        </w:tabs>
        <w:ind w:firstLine="425"/>
        <w:jc w:val="both"/>
        <w:rPr>
          <w:sz w:val="24"/>
          <w:szCs w:val="24"/>
        </w:rPr>
      </w:pPr>
      <w:r w:rsidRPr="00553A54">
        <w:rPr>
          <w:sz w:val="24"/>
          <w:szCs w:val="24"/>
        </w:rPr>
        <w:t xml:space="preserve">3. Посредством единой информационной системы в сфере ПОД/ФТ, функционирующей в Приднестровском республиканском банке, приняты и проанализированы 2 445 сообщений от организаций, осуществляющих операции (сделки) с денежными средствами или иным имуществом, в том числе: </w:t>
      </w:r>
    </w:p>
    <w:p w:rsidR="00C20988" w:rsidRPr="00553A54" w:rsidRDefault="00C20988" w:rsidP="00553A54">
      <w:pPr>
        <w:numPr>
          <w:ilvl w:val="0"/>
          <w:numId w:val="22"/>
        </w:numPr>
        <w:tabs>
          <w:tab w:val="clear" w:pos="1145"/>
          <w:tab w:val="left" w:pos="709"/>
        </w:tabs>
        <w:ind w:left="0" w:firstLine="425"/>
        <w:jc w:val="both"/>
        <w:rPr>
          <w:sz w:val="24"/>
          <w:szCs w:val="24"/>
        </w:rPr>
      </w:pPr>
      <w:r w:rsidRPr="00553A54">
        <w:rPr>
          <w:sz w:val="24"/>
          <w:szCs w:val="24"/>
        </w:rPr>
        <w:t>455 сообщений по операциям (сделкам), подлежащим государственному контролю;</w:t>
      </w:r>
    </w:p>
    <w:p w:rsidR="00C20988" w:rsidRPr="00553A54" w:rsidRDefault="00C20988" w:rsidP="00553A54">
      <w:pPr>
        <w:numPr>
          <w:ilvl w:val="0"/>
          <w:numId w:val="22"/>
        </w:numPr>
        <w:tabs>
          <w:tab w:val="clear" w:pos="1145"/>
          <w:tab w:val="left" w:pos="709"/>
          <w:tab w:val="left" w:pos="900"/>
        </w:tabs>
        <w:ind w:left="0" w:firstLine="425"/>
        <w:jc w:val="both"/>
        <w:rPr>
          <w:snapToGrid w:val="0"/>
          <w:sz w:val="24"/>
          <w:szCs w:val="24"/>
        </w:rPr>
      </w:pPr>
      <w:r w:rsidRPr="00553A54">
        <w:rPr>
          <w:sz w:val="24"/>
          <w:szCs w:val="24"/>
        </w:rPr>
        <w:t xml:space="preserve">1 990 сообщений по операциям (сделкам), в отношении которых возникли подозрения, что они связаны с легализацией (отмыванием) доходов, полученных преступным путём, и финансированием терроризма. </w:t>
      </w:r>
    </w:p>
    <w:p w:rsidR="00C20988" w:rsidRPr="00553A54" w:rsidRDefault="00C20988" w:rsidP="00553A54">
      <w:pPr>
        <w:tabs>
          <w:tab w:val="left" w:pos="720"/>
          <w:tab w:val="left" w:pos="900"/>
        </w:tabs>
        <w:ind w:firstLine="425"/>
        <w:jc w:val="both"/>
        <w:rPr>
          <w:sz w:val="24"/>
          <w:szCs w:val="24"/>
        </w:rPr>
      </w:pPr>
      <w:r w:rsidRPr="00553A54">
        <w:rPr>
          <w:sz w:val="24"/>
          <w:szCs w:val="24"/>
        </w:rPr>
        <w:t>4. По итогам анализа полученных сообщений, а также иной информации, имеющейся в распоряжении Приднестровского республиканского банка, в правоохранительные органы направлено 14 сообщений с информацией об операциях с денежными средствами, в отношении которых имелись основания полагать, что они связаны с легализацией (отмыванием) доходов, полученных преступным путём, и финансированием терроризма.</w:t>
      </w:r>
    </w:p>
    <w:p w:rsidR="00C20988" w:rsidRPr="00553A54" w:rsidRDefault="00C20988" w:rsidP="00553A54">
      <w:pPr>
        <w:ind w:firstLine="425"/>
        <w:jc w:val="both"/>
        <w:rPr>
          <w:sz w:val="24"/>
          <w:szCs w:val="24"/>
        </w:rPr>
      </w:pPr>
      <w:r w:rsidRPr="00553A54">
        <w:rPr>
          <w:sz w:val="24"/>
          <w:szCs w:val="24"/>
        </w:rPr>
        <w:t>По результатам рассмотрения направленных сообщений:</w:t>
      </w:r>
    </w:p>
    <w:p w:rsidR="00C20988" w:rsidRPr="00553A54" w:rsidRDefault="00C20988" w:rsidP="00553A54">
      <w:pPr>
        <w:ind w:firstLine="425"/>
        <w:jc w:val="both"/>
        <w:rPr>
          <w:sz w:val="24"/>
          <w:szCs w:val="24"/>
        </w:rPr>
      </w:pPr>
      <w:r w:rsidRPr="00553A54">
        <w:rPr>
          <w:sz w:val="24"/>
          <w:szCs w:val="24"/>
        </w:rPr>
        <w:t>- по двум сообщениям возбуждены уголовные дела;</w:t>
      </w:r>
    </w:p>
    <w:p w:rsidR="00C20988" w:rsidRPr="00553A54" w:rsidRDefault="00C20988" w:rsidP="00553A54">
      <w:pPr>
        <w:ind w:firstLine="425"/>
        <w:jc w:val="both"/>
        <w:rPr>
          <w:sz w:val="24"/>
          <w:szCs w:val="24"/>
        </w:rPr>
      </w:pPr>
      <w:r w:rsidRPr="00553A54">
        <w:rPr>
          <w:sz w:val="24"/>
          <w:szCs w:val="24"/>
        </w:rPr>
        <w:t>- по одному сообщению составлен административный протокол;</w:t>
      </w:r>
    </w:p>
    <w:p w:rsidR="00C20988" w:rsidRPr="00553A54" w:rsidRDefault="00C20988" w:rsidP="00553A54">
      <w:pPr>
        <w:ind w:firstLine="425"/>
        <w:jc w:val="both"/>
        <w:rPr>
          <w:sz w:val="24"/>
          <w:szCs w:val="24"/>
        </w:rPr>
      </w:pPr>
      <w:r w:rsidRPr="00553A54">
        <w:rPr>
          <w:sz w:val="24"/>
          <w:szCs w:val="24"/>
        </w:rPr>
        <w:t>- по двум сообщениям не установлены признаки состава преступления, проверка прекращена.</w:t>
      </w:r>
    </w:p>
    <w:p w:rsidR="00C20988" w:rsidRPr="00553A54" w:rsidRDefault="00C20988" w:rsidP="00553A54">
      <w:pPr>
        <w:tabs>
          <w:tab w:val="left" w:pos="720"/>
          <w:tab w:val="left" w:pos="1080"/>
        </w:tabs>
        <w:ind w:firstLine="425"/>
        <w:jc w:val="both"/>
        <w:rPr>
          <w:sz w:val="24"/>
          <w:szCs w:val="24"/>
        </w:rPr>
      </w:pPr>
      <w:r w:rsidRPr="00553A54">
        <w:rPr>
          <w:sz w:val="24"/>
          <w:szCs w:val="24"/>
        </w:rPr>
        <w:t>5. В рамках осуществления контроля за выполнением физическими и юридическими лицами законодательства Приднестровской Молдавской Республики в сфере ПОД/ФТ за нарушение сроков постановки на учёт в уполномоченном органе и ненаправление на согласование Правил внутреннего контроля Приднестровским республиканским банком было составлено 4 протокола об административных правонарушениях.</w:t>
      </w:r>
    </w:p>
    <w:p w:rsidR="00C20988" w:rsidRDefault="00C20988" w:rsidP="00444A74">
      <w:pPr>
        <w:tabs>
          <w:tab w:val="left" w:pos="720"/>
          <w:tab w:val="left" w:pos="1080"/>
        </w:tabs>
        <w:ind w:firstLine="425"/>
        <w:jc w:val="both"/>
        <w:rPr>
          <w:sz w:val="24"/>
          <w:szCs w:val="24"/>
        </w:rPr>
      </w:pPr>
      <w:r w:rsidRPr="00553A54">
        <w:rPr>
          <w:sz w:val="24"/>
          <w:szCs w:val="24"/>
        </w:rPr>
        <w:t>На основании Постановлений должностного лица Приднестровского республиканского банка указанные лица за совершение административного правонарушения, предусмотренного пунктом 1 статьи 15.31 КоАП ПМР, привлечены к административной ответственности с применением наказания в виде предупреждения.</w:t>
      </w:r>
    </w:p>
    <w:p w:rsidR="00C20988" w:rsidRDefault="00C20988" w:rsidP="00EB69A2">
      <w:pPr>
        <w:widowControl w:val="0"/>
        <w:tabs>
          <w:tab w:val="left" w:pos="1080"/>
        </w:tabs>
        <w:ind w:firstLine="426"/>
        <w:jc w:val="both"/>
        <w:rPr>
          <w:sz w:val="24"/>
          <w:szCs w:val="24"/>
        </w:rPr>
      </w:pPr>
      <w:r>
        <w:rPr>
          <w:sz w:val="24"/>
          <w:szCs w:val="24"/>
        </w:rPr>
        <w:t xml:space="preserve">6. </w:t>
      </w:r>
      <w:r w:rsidRPr="00C61168">
        <w:rPr>
          <w:sz w:val="24"/>
          <w:szCs w:val="24"/>
        </w:rPr>
        <w:t>В рамках корреспондентских отношений с банками подготовлены и направлены документы,</w:t>
      </w:r>
      <w:r>
        <w:rPr>
          <w:sz w:val="24"/>
          <w:szCs w:val="24"/>
        </w:rPr>
        <w:t xml:space="preserve"> затрагивающие вопросы ПОД/ФТ.</w:t>
      </w:r>
    </w:p>
    <w:p w:rsidR="00C20988" w:rsidRPr="00E85DD7" w:rsidRDefault="00C20988" w:rsidP="00553A54">
      <w:pPr>
        <w:widowControl w:val="0"/>
        <w:tabs>
          <w:tab w:val="left" w:pos="1080"/>
        </w:tabs>
        <w:ind w:firstLine="426"/>
        <w:jc w:val="both"/>
        <w:rPr>
          <w:sz w:val="24"/>
          <w:szCs w:val="24"/>
        </w:rPr>
      </w:pPr>
    </w:p>
    <w:p w:rsidR="00C20988" w:rsidRPr="00E85DD7" w:rsidRDefault="00C20988" w:rsidP="008512DA">
      <w:pPr>
        <w:widowControl w:val="0"/>
        <w:jc w:val="both"/>
        <w:rPr>
          <w:b/>
          <w:bCs/>
          <w:noProof/>
          <w:sz w:val="24"/>
          <w:szCs w:val="24"/>
        </w:rPr>
      </w:pPr>
      <w:r w:rsidRPr="00E85DD7">
        <w:rPr>
          <w:b/>
          <w:bCs/>
          <w:noProof/>
          <w:sz w:val="24"/>
          <w:szCs w:val="24"/>
        </w:rPr>
        <w:t>2.6. ФУНКЦИОНИРОВАНИЕ ПЛАТЁЖНОЙ СИСТЕМЫ ПРИДНЕСТРОВСКОГО РЕСПУБЛИКАНСКОГО БАНКА</w:t>
      </w:r>
    </w:p>
    <w:p w:rsidR="00C20988" w:rsidRPr="00147FF5" w:rsidRDefault="00C20988" w:rsidP="00444A74">
      <w:pPr>
        <w:widowControl w:val="0"/>
        <w:spacing w:before="120"/>
        <w:ind w:firstLine="425"/>
        <w:jc w:val="both"/>
        <w:rPr>
          <w:sz w:val="24"/>
          <w:szCs w:val="24"/>
        </w:rPr>
      </w:pPr>
      <w:r w:rsidRPr="00147FF5">
        <w:rPr>
          <w:sz w:val="24"/>
          <w:szCs w:val="24"/>
        </w:rPr>
        <w:t>В отчётном году в процессе осуществления Приднестровским республиканским банком функции расчётно-кассового центра было проведено 1 656,4 тыс. транзакций, что на 0,6% больше</w:t>
      </w:r>
      <w:r>
        <w:rPr>
          <w:sz w:val="24"/>
          <w:szCs w:val="24"/>
        </w:rPr>
        <w:t>, чем за</w:t>
      </w:r>
      <w:r w:rsidRPr="00147FF5">
        <w:rPr>
          <w:sz w:val="24"/>
          <w:szCs w:val="24"/>
        </w:rPr>
        <w:t xml:space="preserve"> 2017 год. При этом в суммарном выражении величина переведённых средств сложилась в пределах 21,1% уровня 2017 года и составила 35 617,8 млн руб. В среднем каждый день через Приднестровский республиканский банк проходило 4 538 платежей на сумму 97,6 млн руб.</w:t>
      </w:r>
    </w:p>
    <w:p w:rsidR="00C20988" w:rsidRPr="004C5FD3" w:rsidRDefault="00C20988" w:rsidP="00444A74">
      <w:pPr>
        <w:pStyle w:val="HTMLPreformatted"/>
        <w:widowControl w:val="0"/>
        <w:ind w:firstLine="425"/>
        <w:jc w:val="both"/>
        <w:rPr>
          <w:rFonts w:ascii="Times New Roman" w:hAnsi="Times New Roman" w:cs="Times New Roman"/>
          <w:sz w:val="24"/>
          <w:szCs w:val="24"/>
        </w:rPr>
      </w:pPr>
      <w:r w:rsidRPr="00147FF5">
        <w:rPr>
          <w:rFonts w:ascii="Times New Roman" w:hAnsi="Times New Roman" w:cs="Times New Roman"/>
          <w:sz w:val="24"/>
          <w:szCs w:val="24"/>
        </w:rPr>
        <w:t>В структуре операций, осуществлённых через расчётно-кассовый центр центрального банка, большая часть пришлась на транзакции кредитных организаций. По собственным операциям Приднестровского республиканского банка, включая выполнение обязательств клиентов, в отчётном периоде фиксировалось увеличение числа осуществлённых транзакций (</w:t>
      </w:r>
      <w:r>
        <w:rPr>
          <w:rFonts w:ascii="Times New Roman" w:hAnsi="Times New Roman" w:cs="Times New Roman"/>
          <w:sz w:val="24"/>
          <w:szCs w:val="24"/>
        </w:rPr>
        <w:t xml:space="preserve">на </w:t>
      </w:r>
      <w:r w:rsidRPr="00147FF5">
        <w:rPr>
          <w:rFonts w:ascii="Times New Roman" w:hAnsi="Times New Roman" w:cs="Times New Roman"/>
          <w:sz w:val="24"/>
          <w:szCs w:val="24"/>
        </w:rPr>
        <w:t>11,1%) на фоне сокращения их общей суммы в 6,2 раза, до 12 873,1 млн руб.</w:t>
      </w:r>
      <w:r>
        <w:rPr>
          <w:rFonts w:ascii="Times New Roman" w:hAnsi="Times New Roman" w:cs="Times New Roman"/>
          <w:sz w:val="24"/>
          <w:szCs w:val="24"/>
        </w:rPr>
        <w:t xml:space="preserve"> Уменьшение суммы проведённых операций обусловлено изменением подходов в проведении валютных интервенций центрального банка.</w:t>
      </w:r>
    </w:p>
    <w:p w:rsidR="00C20988" w:rsidRPr="00393811" w:rsidRDefault="00C20988" w:rsidP="00444A74">
      <w:pPr>
        <w:pStyle w:val="HTMLPreformatted"/>
        <w:widowControl w:val="0"/>
        <w:ind w:firstLine="425"/>
        <w:jc w:val="both"/>
        <w:rPr>
          <w:rFonts w:ascii="Times New Roman" w:hAnsi="Times New Roman" w:cs="Times New Roman"/>
          <w:sz w:val="24"/>
          <w:szCs w:val="24"/>
        </w:rPr>
      </w:pPr>
      <w:r>
        <w:rPr>
          <w:rFonts w:ascii="Times New Roman" w:hAnsi="Times New Roman" w:cs="Times New Roman"/>
          <w:sz w:val="24"/>
          <w:szCs w:val="24"/>
        </w:rPr>
        <w:t>Ц</w:t>
      </w:r>
      <w:r w:rsidRPr="00393811">
        <w:rPr>
          <w:rFonts w:ascii="Times New Roman" w:hAnsi="Times New Roman" w:cs="Times New Roman"/>
          <w:sz w:val="24"/>
          <w:szCs w:val="24"/>
        </w:rPr>
        <w:t xml:space="preserve">ентральный банк продолжает сотрудничество с 6 зарубежными банками-корреспондентами. При проведении расчётных операций с ними в первую очередь учитывается кредитный рейтинг банка, а также условия ведения счёта, стоимость и скорость проведения операций, обеспечение наиболее оптимального пути прохождения клиентских платежей. Банки-корреспонденты обслуживают 19 корреспондентских счетов Приднестровского республиканского банка. </w:t>
      </w:r>
    </w:p>
    <w:p w:rsidR="00C20988" w:rsidRDefault="00C20988" w:rsidP="00CB084A">
      <w:pPr>
        <w:pStyle w:val="HTMLPreformatted"/>
        <w:widowControl w:val="0"/>
        <w:ind w:firstLine="425"/>
        <w:jc w:val="both"/>
        <w:rPr>
          <w:rFonts w:ascii="Times New Roman" w:hAnsi="Times New Roman" w:cs="Times New Roman"/>
          <w:sz w:val="24"/>
          <w:szCs w:val="24"/>
        </w:rPr>
      </w:pPr>
      <w:r w:rsidRPr="00393811">
        <w:rPr>
          <w:rFonts w:ascii="Times New Roman" w:hAnsi="Times New Roman" w:cs="Times New Roman"/>
          <w:sz w:val="24"/>
          <w:szCs w:val="24"/>
        </w:rPr>
        <w:t>Международные расчётные операции осуществляются по системам ТЕЛЕКС, «FineLine» ПАО Сбербанк, АСМП Национального банка Молдовы.</w:t>
      </w:r>
    </w:p>
    <w:p w:rsidR="00C20988" w:rsidRPr="006C2E9A" w:rsidRDefault="00C20988" w:rsidP="00CB084A">
      <w:pPr>
        <w:pStyle w:val="HTMLPreformatted"/>
        <w:widowControl w:val="0"/>
        <w:ind w:firstLine="425"/>
        <w:jc w:val="both"/>
        <w:rPr>
          <w:rFonts w:ascii="Times New Roman" w:hAnsi="Times New Roman" w:cs="Times New Roman"/>
          <w:sz w:val="24"/>
          <w:szCs w:val="24"/>
        </w:rPr>
      </w:pPr>
      <w:r w:rsidRPr="006C2E9A">
        <w:rPr>
          <w:rFonts w:ascii="Times New Roman" w:hAnsi="Times New Roman" w:cs="Times New Roman"/>
          <w:sz w:val="24"/>
          <w:szCs w:val="24"/>
        </w:rPr>
        <w:t>В соответствии с концепцией развития электронного документооборота в Приднестровской Молдавской Республике в Приднестровском республиканском банке в марте 2018 года начала функционировать Система обмена информационными сообщениями (СОИС) – программное обеспечение, предназначенное для формирования открытого и закрытого ключей электронной подписи, подписания электронных документов электронными подписями, отправки и получения электронных сообщений и документов, включая электронные плат</w:t>
      </w:r>
      <w:r>
        <w:rPr>
          <w:rFonts w:ascii="Times New Roman" w:hAnsi="Times New Roman" w:cs="Times New Roman"/>
          <w:sz w:val="24"/>
          <w:szCs w:val="24"/>
        </w:rPr>
        <w:t>ё</w:t>
      </w:r>
      <w:r w:rsidRPr="006C2E9A">
        <w:rPr>
          <w:rFonts w:ascii="Times New Roman" w:hAnsi="Times New Roman" w:cs="Times New Roman"/>
          <w:sz w:val="24"/>
          <w:szCs w:val="24"/>
        </w:rPr>
        <w:t xml:space="preserve">жные документы. </w:t>
      </w:r>
    </w:p>
    <w:p w:rsidR="00C20988" w:rsidRPr="006C2E9A" w:rsidRDefault="00C20988" w:rsidP="00CB084A">
      <w:pPr>
        <w:pStyle w:val="HTMLPreformatted"/>
        <w:widowControl w:val="0"/>
        <w:ind w:firstLine="425"/>
        <w:jc w:val="both"/>
        <w:rPr>
          <w:rFonts w:ascii="Times New Roman" w:hAnsi="Times New Roman" w:cs="Times New Roman"/>
          <w:sz w:val="24"/>
          <w:szCs w:val="24"/>
        </w:rPr>
      </w:pPr>
      <w:r w:rsidRPr="006C2E9A">
        <w:rPr>
          <w:rFonts w:ascii="Times New Roman" w:hAnsi="Times New Roman" w:cs="Times New Roman"/>
          <w:sz w:val="24"/>
          <w:szCs w:val="24"/>
        </w:rPr>
        <w:t>В рамках СОИС организован обмен электронными форматным документами с кредитными организациями, Государственным таможенным комитетом Приднестровской Молдавской Республики, клиентами Приднестровского республиканского банка.</w:t>
      </w:r>
    </w:p>
    <w:p w:rsidR="00C20988" w:rsidRPr="007955AA" w:rsidRDefault="00C20988" w:rsidP="00444A74">
      <w:pPr>
        <w:pStyle w:val="HTMLPreformatted"/>
        <w:widowControl w:val="0"/>
        <w:ind w:firstLine="425"/>
        <w:jc w:val="both"/>
        <w:rPr>
          <w:rFonts w:ascii="Times New Roman" w:hAnsi="Times New Roman" w:cs="Times New Roman"/>
          <w:sz w:val="24"/>
          <w:szCs w:val="24"/>
        </w:rPr>
      </w:pPr>
      <w:r w:rsidRPr="007955AA">
        <w:rPr>
          <w:rFonts w:ascii="Times New Roman" w:hAnsi="Times New Roman" w:cs="Times New Roman"/>
          <w:sz w:val="24"/>
          <w:szCs w:val="24"/>
        </w:rPr>
        <w:t xml:space="preserve">В марте 2018 года </w:t>
      </w:r>
      <w:r>
        <w:rPr>
          <w:rFonts w:ascii="Times New Roman" w:hAnsi="Times New Roman" w:cs="Times New Roman"/>
          <w:sz w:val="24"/>
          <w:szCs w:val="24"/>
        </w:rPr>
        <w:t xml:space="preserve">в Приднестровском республиканском банке </w:t>
      </w:r>
      <w:r w:rsidRPr="007955AA">
        <w:rPr>
          <w:rFonts w:ascii="Times New Roman" w:hAnsi="Times New Roman" w:cs="Times New Roman"/>
          <w:sz w:val="24"/>
          <w:szCs w:val="24"/>
        </w:rPr>
        <w:t>начала функ</w:t>
      </w:r>
      <w:r>
        <w:rPr>
          <w:rFonts w:ascii="Times New Roman" w:hAnsi="Times New Roman" w:cs="Times New Roman"/>
          <w:sz w:val="24"/>
          <w:szCs w:val="24"/>
        </w:rPr>
        <w:t xml:space="preserve">ционировать </w:t>
      </w:r>
      <w:r w:rsidRPr="006C2E9A">
        <w:rPr>
          <w:rFonts w:ascii="Times New Roman" w:hAnsi="Times New Roman" w:cs="Times New Roman"/>
          <w:sz w:val="24"/>
          <w:szCs w:val="24"/>
        </w:rPr>
        <w:t xml:space="preserve">система </w:t>
      </w:r>
      <w:r>
        <w:rPr>
          <w:rFonts w:ascii="Times New Roman" w:hAnsi="Times New Roman" w:cs="Times New Roman"/>
          <w:sz w:val="24"/>
          <w:szCs w:val="24"/>
        </w:rPr>
        <w:t>«</w:t>
      </w:r>
      <w:r w:rsidRPr="006C2E9A">
        <w:rPr>
          <w:rFonts w:ascii="Times New Roman" w:hAnsi="Times New Roman" w:cs="Times New Roman"/>
          <w:sz w:val="24"/>
          <w:szCs w:val="24"/>
        </w:rPr>
        <w:t>Банк-Клиент</w:t>
      </w:r>
      <w:r>
        <w:rPr>
          <w:rFonts w:ascii="Times New Roman" w:hAnsi="Times New Roman" w:cs="Times New Roman"/>
          <w:sz w:val="24"/>
          <w:szCs w:val="24"/>
        </w:rPr>
        <w:t>»</w:t>
      </w:r>
      <w:r w:rsidRPr="006C2E9A">
        <w:rPr>
          <w:rFonts w:ascii="Times New Roman" w:hAnsi="Times New Roman" w:cs="Times New Roman"/>
          <w:sz w:val="24"/>
          <w:szCs w:val="24"/>
        </w:rPr>
        <w:t>, разработанная как надстройка над СОИС. За 2018 год на</w:t>
      </w:r>
      <w:r w:rsidRPr="007955AA">
        <w:rPr>
          <w:rFonts w:ascii="Times New Roman" w:hAnsi="Times New Roman" w:cs="Times New Roman"/>
          <w:sz w:val="24"/>
          <w:szCs w:val="24"/>
        </w:rPr>
        <w:t xml:space="preserve"> обслуживание по системе </w:t>
      </w:r>
      <w:r>
        <w:rPr>
          <w:rFonts w:ascii="Times New Roman" w:hAnsi="Times New Roman" w:cs="Times New Roman"/>
          <w:sz w:val="24"/>
          <w:szCs w:val="24"/>
        </w:rPr>
        <w:t>«</w:t>
      </w:r>
      <w:r w:rsidRPr="007955AA">
        <w:rPr>
          <w:rFonts w:ascii="Times New Roman" w:hAnsi="Times New Roman" w:cs="Times New Roman"/>
          <w:sz w:val="24"/>
          <w:szCs w:val="24"/>
        </w:rPr>
        <w:t>Банк-Клиент</w:t>
      </w:r>
      <w:r>
        <w:rPr>
          <w:rFonts w:ascii="Times New Roman" w:hAnsi="Times New Roman" w:cs="Times New Roman"/>
          <w:sz w:val="24"/>
          <w:szCs w:val="24"/>
        </w:rPr>
        <w:t>»</w:t>
      </w:r>
      <w:r w:rsidRPr="007955AA">
        <w:rPr>
          <w:rFonts w:ascii="Times New Roman" w:hAnsi="Times New Roman" w:cs="Times New Roman"/>
          <w:sz w:val="24"/>
          <w:szCs w:val="24"/>
        </w:rPr>
        <w:t xml:space="preserve"> было переведено </w:t>
      </w:r>
      <w:r>
        <w:rPr>
          <w:rFonts w:ascii="Times New Roman" w:hAnsi="Times New Roman" w:cs="Times New Roman"/>
          <w:sz w:val="24"/>
          <w:szCs w:val="24"/>
        </w:rPr>
        <w:t>38</w:t>
      </w:r>
      <w:r w:rsidRPr="007955AA">
        <w:rPr>
          <w:rFonts w:ascii="Times New Roman" w:hAnsi="Times New Roman" w:cs="Times New Roman"/>
          <w:sz w:val="24"/>
          <w:szCs w:val="24"/>
        </w:rPr>
        <w:t xml:space="preserve"> клиентов Приднестровского республиканского банка.</w:t>
      </w:r>
    </w:p>
    <w:p w:rsidR="00C20988" w:rsidRPr="007955AA" w:rsidRDefault="00C20988" w:rsidP="00444A74">
      <w:pPr>
        <w:pStyle w:val="HTMLPreformatted"/>
        <w:widowControl w:val="0"/>
        <w:ind w:firstLine="425"/>
        <w:jc w:val="both"/>
        <w:rPr>
          <w:rFonts w:ascii="Times New Roman" w:hAnsi="Times New Roman" w:cs="Times New Roman"/>
          <w:sz w:val="24"/>
          <w:szCs w:val="24"/>
        </w:rPr>
      </w:pPr>
      <w:r w:rsidRPr="00370FFA">
        <w:rPr>
          <w:rFonts w:ascii="Times New Roman" w:hAnsi="Times New Roman" w:cs="Times New Roman"/>
          <w:sz w:val="24"/>
          <w:szCs w:val="24"/>
        </w:rPr>
        <w:t xml:space="preserve">Количество исполненных Приднестровским республиканским банком в течение </w:t>
      </w:r>
      <w:r w:rsidRPr="00370FFA">
        <w:rPr>
          <w:rFonts w:ascii="Times New Roman" w:hAnsi="Times New Roman" w:cs="Times New Roman"/>
          <w:sz w:val="24"/>
          <w:szCs w:val="24"/>
        </w:rPr>
        <w:br/>
        <w:t>2018 года платежей в рублях ПМР, направленных клиентами по системе дистанционного обслуживания «Банк-Клиент»</w:t>
      </w:r>
      <w:r>
        <w:rPr>
          <w:rFonts w:ascii="Times New Roman" w:hAnsi="Times New Roman" w:cs="Times New Roman"/>
          <w:sz w:val="24"/>
          <w:szCs w:val="24"/>
        </w:rPr>
        <w:t>,</w:t>
      </w:r>
      <w:r w:rsidRPr="00370FFA">
        <w:rPr>
          <w:rFonts w:ascii="Times New Roman" w:hAnsi="Times New Roman" w:cs="Times New Roman"/>
          <w:sz w:val="24"/>
          <w:szCs w:val="24"/>
        </w:rPr>
        <w:t xml:space="preserve"> составило 34 854 шт.</w:t>
      </w:r>
    </w:p>
    <w:p w:rsidR="00C20988" w:rsidRPr="007955AA" w:rsidRDefault="00C20988" w:rsidP="00444A74">
      <w:pPr>
        <w:pStyle w:val="HTMLPreformatted"/>
        <w:widowControl w:val="0"/>
        <w:ind w:firstLine="425"/>
        <w:jc w:val="both"/>
        <w:rPr>
          <w:rFonts w:ascii="Times New Roman" w:hAnsi="Times New Roman" w:cs="Times New Roman"/>
          <w:sz w:val="24"/>
          <w:szCs w:val="24"/>
        </w:rPr>
      </w:pPr>
      <w:r w:rsidRPr="007955AA">
        <w:rPr>
          <w:rFonts w:ascii="Times New Roman" w:hAnsi="Times New Roman" w:cs="Times New Roman"/>
          <w:sz w:val="24"/>
          <w:szCs w:val="24"/>
        </w:rPr>
        <w:t>По результатам провед</w:t>
      </w:r>
      <w:r>
        <w:rPr>
          <w:rFonts w:ascii="Times New Roman" w:hAnsi="Times New Roman" w:cs="Times New Roman"/>
          <w:sz w:val="24"/>
          <w:szCs w:val="24"/>
        </w:rPr>
        <w:t>ё</w:t>
      </w:r>
      <w:r w:rsidRPr="007955AA">
        <w:rPr>
          <w:rFonts w:ascii="Times New Roman" w:hAnsi="Times New Roman" w:cs="Times New Roman"/>
          <w:sz w:val="24"/>
          <w:szCs w:val="24"/>
        </w:rPr>
        <w:t xml:space="preserve">нных Приднестровским республиканским банком мероприятий по состоянию на 1 января 2019 года </w:t>
      </w:r>
      <w:r>
        <w:rPr>
          <w:rFonts w:ascii="Times New Roman" w:hAnsi="Times New Roman" w:cs="Times New Roman"/>
          <w:sz w:val="24"/>
          <w:szCs w:val="24"/>
        </w:rPr>
        <w:t xml:space="preserve">ещё </w:t>
      </w:r>
      <w:r w:rsidRPr="007955AA">
        <w:rPr>
          <w:rFonts w:ascii="Times New Roman" w:hAnsi="Times New Roman" w:cs="Times New Roman"/>
          <w:sz w:val="24"/>
          <w:szCs w:val="24"/>
        </w:rPr>
        <w:t xml:space="preserve">22 клиента подписали соответствующие договоры и начали осуществлять </w:t>
      </w:r>
      <w:r>
        <w:rPr>
          <w:rFonts w:ascii="Times New Roman" w:hAnsi="Times New Roman" w:cs="Times New Roman"/>
          <w:sz w:val="24"/>
          <w:szCs w:val="24"/>
        </w:rPr>
        <w:t>мероприятия по</w:t>
      </w:r>
      <w:r w:rsidRPr="007955AA">
        <w:rPr>
          <w:rFonts w:ascii="Times New Roman" w:hAnsi="Times New Roman" w:cs="Times New Roman"/>
          <w:sz w:val="24"/>
          <w:szCs w:val="24"/>
        </w:rPr>
        <w:t xml:space="preserve"> установк</w:t>
      </w:r>
      <w:r>
        <w:rPr>
          <w:rFonts w:ascii="Times New Roman" w:hAnsi="Times New Roman" w:cs="Times New Roman"/>
          <w:sz w:val="24"/>
          <w:szCs w:val="24"/>
        </w:rPr>
        <w:t>е</w:t>
      </w:r>
      <w:r w:rsidRPr="007955AA">
        <w:rPr>
          <w:rFonts w:ascii="Times New Roman" w:hAnsi="Times New Roman" w:cs="Times New Roman"/>
          <w:sz w:val="24"/>
          <w:szCs w:val="24"/>
        </w:rPr>
        <w:t xml:space="preserve"> и внедрени</w:t>
      </w:r>
      <w:r>
        <w:rPr>
          <w:rFonts w:ascii="Times New Roman" w:hAnsi="Times New Roman" w:cs="Times New Roman"/>
          <w:sz w:val="24"/>
          <w:szCs w:val="24"/>
        </w:rPr>
        <w:t>ю</w:t>
      </w:r>
      <w:r w:rsidRPr="007955AA">
        <w:rPr>
          <w:rFonts w:ascii="Times New Roman" w:hAnsi="Times New Roman" w:cs="Times New Roman"/>
          <w:sz w:val="24"/>
          <w:szCs w:val="24"/>
        </w:rPr>
        <w:t xml:space="preserve"> программного продукта на местах. </w:t>
      </w:r>
    </w:p>
    <w:p w:rsidR="00C20988" w:rsidRPr="00E85DD7" w:rsidRDefault="00C20988" w:rsidP="008512DA">
      <w:pPr>
        <w:widowControl w:val="0"/>
        <w:ind w:firstLine="425"/>
        <w:jc w:val="both"/>
        <w:rPr>
          <w:sz w:val="24"/>
          <w:szCs w:val="24"/>
        </w:rPr>
      </w:pPr>
    </w:p>
    <w:p w:rsidR="00C20988" w:rsidRPr="00157541" w:rsidRDefault="00C20988" w:rsidP="00E90743">
      <w:pPr>
        <w:widowControl w:val="0"/>
        <w:numPr>
          <w:ilvl w:val="1"/>
          <w:numId w:val="3"/>
        </w:numPr>
        <w:spacing w:after="120"/>
        <w:ind w:left="357" w:hanging="357"/>
        <w:jc w:val="both"/>
        <w:rPr>
          <w:b/>
          <w:bCs/>
          <w:noProof/>
          <w:sz w:val="24"/>
          <w:szCs w:val="24"/>
        </w:rPr>
      </w:pPr>
      <w:r w:rsidRPr="00E85DD7">
        <w:rPr>
          <w:b/>
          <w:bCs/>
          <w:noProof/>
          <w:sz w:val="24"/>
          <w:szCs w:val="24"/>
        </w:rPr>
        <w:t xml:space="preserve"> </w:t>
      </w:r>
      <w:r w:rsidRPr="00157541">
        <w:rPr>
          <w:b/>
          <w:bCs/>
          <w:noProof/>
          <w:sz w:val="24"/>
          <w:szCs w:val="24"/>
        </w:rPr>
        <w:t>ОРГАНИЗАЦИЯ НАЛИЧНОГО ДЕНЕЖНОГО ОБРАЩЕНИЯ</w:t>
      </w:r>
    </w:p>
    <w:p w:rsidR="00C20988" w:rsidRPr="00157541" w:rsidRDefault="00C20988" w:rsidP="00444A74">
      <w:pPr>
        <w:widowControl w:val="0"/>
        <w:autoSpaceDE w:val="0"/>
        <w:autoSpaceDN w:val="0"/>
        <w:adjustRightInd w:val="0"/>
        <w:ind w:firstLine="425"/>
        <w:jc w:val="both"/>
        <w:rPr>
          <w:sz w:val="24"/>
          <w:szCs w:val="24"/>
        </w:rPr>
      </w:pPr>
      <w:r w:rsidRPr="00157541">
        <w:rPr>
          <w:sz w:val="24"/>
          <w:szCs w:val="24"/>
        </w:rPr>
        <w:t xml:space="preserve">Одной из важнейших задач Приднестровского республиканского банка является бесперебойное обеспечение платёжного оборота банкнотами и монетой различных номиналов, минимизация рисков при обработке, хранении и транспортировке денежной наличности, </w:t>
      </w:r>
      <w:r>
        <w:rPr>
          <w:sz w:val="24"/>
          <w:szCs w:val="24"/>
        </w:rPr>
        <w:t>п</w:t>
      </w:r>
      <w:r w:rsidRPr="00157541">
        <w:rPr>
          <w:sz w:val="24"/>
          <w:szCs w:val="24"/>
        </w:rPr>
        <w:t>оддержание качества</w:t>
      </w:r>
      <w:r>
        <w:rPr>
          <w:sz w:val="24"/>
          <w:szCs w:val="24"/>
        </w:rPr>
        <w:t xml:space="preserve"> наличного денежного обращения, а также нормативное регулирование данной сферы.</w:t>
      </w:r>
    </w:p>
    <w:p w:rsidR="00C20988" w:rsidRPr="00157541" w:rsidRDefault="00C20988" w:rsidP="00444A74">
      <w:pPr>
        <w:ind w:firstLine="425"/>
        <w:jc w:val="both"/>
        <w:rPr>
          <w:sz w:val="24"/>
          <w:szCs w:val="24"/>
        </w:rPr>
      </w:pPr>
      <w:r w:rsidRPr="00157541">
        <w:rPr>
          <w:sz w:val="24"/>
          <w:szCs w:val="24"/>
        </w:rPr>
        <w:t xml:space="preserve">Приднестровским республиканским банком осуществлялись мониторинг состояния наличного денежного </w:t>
      </w:r>
      <w:r w:rsidRPr="00BA38DE">
        <w:rPr>
          <w:sz w:val="24"/>
          <w:szCs w:val="24"/>
        </w:rPr>
        <w:t>оборота, анализ купюрного состава</w:t>
      </w:r>
      <w:r w:rsidRPr="00157541">
        <w:rPr>
          <w:sz w:val="24"/>
          <w:szCs w:val="24"/>
        </w:rPr>
        <w:t xml:space="preserve"> наличной денежной массы, находящейся в обращении и в </w:t>
      </w:r>
      <w:r w:rsidRPr="00157541">
        <w:rPr>
          <w:color w:val="000000"/>
          <w:sz w:val="24"/>
          <w:szCs w:val="24"/>
        </w:rPr>
        <w:t xml:space="preserve">резервных фондах, его соответствия </w:t>
      </w:r>
      <w:r w:rsidRPr="00157541">
        <w:rPr>
          <w:sz w:val="24"/>
          <w:szCs w:val="24"/>
        </w:rPr>
        <w:t xml:space="preserve">потребностям платёжного оборота. </w:t>
      </w:r>
    </w:p>
    <w:p w:rsidR="00C20988" w:rsidRPr="00157541" w:rsidRDefault="00C20988" w:rsidP="00444A74">
      <w:pPr>
        <w:ind w:firstLine="425"/>
        <w:jc w:val="both"/>
        <w:rPr>
          <w:color w:val="000000"/>
          <w:sz w:val="24"/>
          <w:szCs w:val="24"/>
        </w:rPr>
      </w:pPr>
      <w:r w:rsidRPr="00157541">
        <w:rPr>
          <w:sz w:val="24"/>
          <w:szCs w:val="24"/>
        </w:rPr>
        <w:t xml:space="preserve">Согласно данным денежной статистики, наличный </w:t>
      </w:r>
      <w:r w:rsidRPr="00157541">
        <w:rPr>
          <w:color w:val="000000"/>
          <w:sz w:val="24"/>
          <w:szCs w:val="24"/>
        </w:rPr>
        <w:t xml:space="preserve">денежный оборот </w:t>
      </w:r>
      <w:r>
        <w:rPr>
          <w:color w:val="000000"/>
          <w:sz w:val="24"/>
          <w:szCs w:val="24"/>
        </w:rPr>
        <w:t xml:space="preserve">в Приднестровской Молдавской Республике </w:t>
      </w:r>
      <w:r w:rsidRPr="00157541">
        <w:rPr>
          <w:color w:val="000000"/>
          <w:sz w:val="24"/>
          <w:szCs w:val="24"/>
        </w:rPr>
        <w:t>за 2018 год составил 107 155,8 млн руб., увеличившись на 15,9%, при том что объём наличных денег в обращении расширился на 5,3%. Совокупная величина поступлений денежной наличности в банковскую систему возросла по отношению к базисному показателю на 25,3% (</w:t>
      </w:r>
      <w:r>
        <w:rPr>
          <w:color w:val="000000"/>
          <w:sz w:val="24"/>
          <w:szCs w:val="24"/>
        </w:rPr>
        <w:t xml:space="preserve">на </w:t>
      </w:r>
      <w:r w:rsidRPr="00157541">
        <w:rPr>
          <w:color w:val="000000"/>
          <w:sz w:val="24"/>
          <w:szCs w:val="24"/>
        </w:rPr>
        <w:t xml:space="preserve">2 878,4 млн руб.), до 14 233,7 млн руб. В значительной степени данная динамика стала результатом существенного роста суммы приднестровских рублей, поступивших в кассы кредитных организаций от продажи наличной иностранной валюты (в 1,8 раза, или </w:t>
      </w:r>
      <w:r>
        <w:rPr>
          <w:color w:val="000000"/>
          <w:sz w:val="24"/>
          <w:szCs w:val="24"/>
        </w:rPr>
        <w:t xml:space="preserve">на </w:t>
      </w:r>
      <w:r w:rsidRPr="00157541">
        <w:rPr>
          <w:color w:val="000000"/>
          <w:sz w:val="24"/>
          <w:szCs w:val="24"/>
        </w:rPr>
        <w:t xml:space="preserve">1 691,3 млн руб., до 3 855,2 млн руб.). В то же время торговая выручка, являющаяся основным каналом возврата наличности в банковскую систему, возросла на 15,0% (+784,0 млн руб.), до 6 023,7 млн руб. </w:t>
      </w:r>
    </w:p>
    <w:p w:rsidR="00C20988" w:rsidRPr="00157541" w:rsidRDefault="00C20988" w:rsidP="00444A74">
      <w:pPr>
        <w:ind w:firstLine="425"/>
        <w:jc w:val="both"/>
        <w:rPr>
          <w:color w:val="000000"/>
          <w:sz w:val="24"/>
          <w:szCs w:val="24"/>
        </w:rPr>
      </w:pPr>
      <w:r w:rsidRPr="00157541">
        <w:rPr>
          <w:color w:val="000000"/>
          <w:sz w:val="24"/>
          <w:szCs w:val="24"/>
        </w:rPr>
        <w:t xml:space="preserve">Совокупный расход наличных денег </w:t>
      </w:r>
      <w:r>
        <w:rPr>
          <w:color w:val="000000"/>
          <w:sz w:val="24"/>
          <w:szCs w:val="24"/>
        </w:rPr>
        <w:t xml:space="preserve">из касс кредитных организаций </w:t>
      </w:r>
      <w:r w:rsidRPr="00157541">
        <w:rPr>
          <w:color w:val="000000"/>
          <w:sz w:val="24"/>
          <w:szCs w:val="24"/>
        </w:rPr>
        <w:t>за отчётный год увелич</w:t>
      </w:r>
      <w:r>
        <w:rPr>
          <w:color w:val="000000"/>
          <w:sz w:val="24"/>
          <w:szCs w:val="24"/>
        </w:rPr>
        <w:t xml:space="preserve">ился на 26,5% (на </w:t>
      </w:r>
      <w:r w:rsidRPr="00157541">
        <w:rPr>
          <w:color w:val="000000"/>
          <w:sz w:val="24"/>
          <w:szCs w:val="24"/>
        </w:rPr>
        <w:t>2 980,7 млн руб.</w:t>
      </w:r>
      <w:r>
        <w:rPr>
          <w:color w:val="000000"/>
          <w:sz w:val="24"/>
          <w:szCs w:val="24"/>
        </w:rPr>
        <w:t>)</w:t>
      </w:r>
      <w:r w:rsidRPr="00157541">
        <w:rPr>
          <w:color w:val="000000"/>
          <w:sz w:val="24"/>
          <w:szCs w:val="24"/>
        </w:rPr>
        <w:t>, до 14 237,6 млн руб. Как и в отношении приходных статей, ключевым фактором, определившим данную динамику, стало существенное расширение объёма средств, израсходованных кредитными организациями республики на покупку иностранной валюты у населения, – в 2,1 раза (</w:t>
      </w:r>
      <w:r>
        <w:rPr>
          <w:color w:val="000000"/>
          <w:sz w:val="24"/>
          <w:szCs w:val="24"/>
        </w:rPr>
        <w:t xml:space="preserve">на </w:t>
      </w:r>
      <w:r w:rsidRPr="00157541">
        <w:rPr>
          <w:color w:val="000000"/>
          <w:sz w:val="24"/>
          <w:szCs w:val="24"/>
        </w:rPr>
        <w:t>2 452,6 млн руб.), до 4 713,1 млн руб. Также отмечен прирост выдач со счетов физических лиц – +18,4% (+968,0 млн руб.), до 6 234,8 млн руб. Вместе с тем выдачи на оплату труда сократились на 24,0% (-244,0 млн руб.), до 773,9 млн руб., пенсий и пособий – на 11,6%, (-243,3 млн руб.), до 1 861,7 млн руб., в связи с расширением безналичных расчётов в республике.</w:t>
      </w:r>
    </w:p>
    <w:p w:rsidR="00C20988" w:rsidRPr="00157541" w:rsidRDefault="00C20988" w:rsidP="00444A74">
      <w:pPr>
        <w:ind w:firstLine="425"/>
        <w:jc w:val="both"/>
        <w:rPr>
          <w:color w:val="000000"/>
          <w:sz w:val="24"/>
          <w:szCs w:val="24"/>
        </w:rPr>
      </w:pPr>
      <w:r w:rsidRPr="00157541">
        <w:rPr>
          <w:sz w:val="24"/>
          <w:szCs w:val="24"/>
        </w:rPr>
        <w:t xml:space="preserve">Эмиссионно-кассовая работа в 2018 году была направлена на дальнейшее улучшение кассового обслуживания кредитных организаций и других клиентов Приднестровского республиканского банка, рациональную организацию наличного денежного оборота, эффективное управление потоками наличных денег в республике. В целях выполнения поставленных задач Приднестровским республиканским банком осуществлялся выпуск в платёжный оборот наличных денежных средств, совокупный объём которого за отчётный год сложился на уровне </w:t>
      </w:r>
      <w:r w:rsidRPr="00157541">
        <w:rPr>
          <w:color w:val="000000"/>
          <w:sz w:val="24"/>
          <w:szCs w:val="24"/>
        </w:rPr>
        <w:t>410,5</w:t>
      </w:r>
      <w:r w:rsidRPr="00157541">
        <w:rPr>
          <w:sz w:val="24"/>
          <w:szCs w:val="24"/>
        </w:rPr>
        <w:t xml:space="preserve"> млн руб.</w:t>
      </w:r>
      <w:r>
        <w:rPr>
          <w:sz w:val="24"/>
          <w:szCs w:val="24"/>
        </w:rPr>
        <w:t xml:space="preserve"> </w:t>
      </w:r>
      <w:r w:rsidRPr="00157541">
        <w:rPr>
          <w:sz w:val="24"/>
          <w:szCs w:val="24"/>
        </w:rPr>
        <w:t xml:space="preserve">Параллельно с этим производилось их изъятие из обращения по причинам изношенности, ветхости или дефектности, а также временной невостребованности на общую сумму </w:t>
      </w:r>
      <w:r w:rsidRPr="00157541">
        <w:rPr>
          <w:color w:val="000000"/>
          <w:sz w:val="24"/>
          <w:szCs w:val="24"/>
        </w:rPr>
        <w:t>186,3</w:t>
      </w:r>
      <w:r w:rsidRPr="00157541">
        <w:rPr>
          <w:sz w:val="24"/>
          <w:szCs w:val="24"/>
        </w:rPr>
        <w:t xml:space="preserve"> млн руб. </w:t>
      </w:r>
      <w:r w:rsidRPr="00157541">
        <w:rPr>
          <w:color w:val="000000"/>
          <w:sz w:val="24"/>
          <w:szCs w:val="24"/>
        </w:rPr>
        <w:t xml:space="preserve">В объёме изъятых из обращения сумма ветхих банкнот составила 106,3 млн руб. (2,6 млн штук) против 116,3 млн руб. </w:t>
      </w:r>
      <w:r>
        <w:rPr>
          <w:color w:val="000000"/>
          <w:sz w:val="24"/>
          <w:szCs w:val="24"/>
        </w:rPr>
        <w:br/>
      </w:r>
      <w:r w:rsidRPr="00157541">
        <w:rPr>
          <w:color w:val="000000"/>
          <w:sz w:val="24"/>
          <w:szCs w:val="24"/>
        </w:rPr>
        <w:t xml:space="preserve">(3,4 млн штук) – в 2017 году. В результате объём выпущенных в оборот денежных знаков превысил величину изъятых на 224,2 млн руб., </w:t>
      </w:r>
      <w:r w:rsidRPr="00157541">
        <w:rPr>
          <w:sz w:val="24"/>
          <w:szCs w:val="24"/>
        </w:rPr>
        <w:t xml:space="preserve">что стало следствием возросшей в декабре 2018 года потребности в денежной наличности вследствие </w:t>
      </w:r>
      <w:r w:rsidRPr="00157541">
        <w:rPr>
          <w:color w:val="000000"/>
          <w:sz w:val="24"/>
          <w:szCs w:val="24"/>
        </w:rPr>
        <w:t>обеспечения социальных выплат населению из средств поступивших из Российской Федерации трансфертов</w:t>
      </w:r>
      <w:r>
        <w:rPr>
          <w:color w:val="000000"/>
          <w:sz w:val="24"/>
          <w:szCs w:val="24"/>
        </w:rPr>
        <w:t>.</w:t>
      </w:r>
    </w:p>
    <w:p w:rsidR="00C20988" w:rsidRPr="00157541" w:rsidRDefault="00C20988" w:rsidP="00444A74">
      <w:pPr>
        <w:pStyle w:val="BodyText3"/>
        <w:widowControl w:val="0"/>
        <w:spacing w:after="0"/>
        <w:ind w:firstLine="425"/>
        <w:jc w:val="both"/>
        <w:rPr>
          <w:color w:val="000000"/>
          <w:sz w:val="24"/>
          <w:szCs w:val="24"/>
        </w:rPr>
      </w:pPr>
      <w:r w:rsidRPr="00157541">
        <w:rPr>
          <w:color w:val="000000"/>
          <w:sz w:val="24"/>
          <w:szCs w:val="24"/>
        </w:rPr>
        <w:t xml:space="preserve">Таким образом, по состоянию на 1 января 2019 года в обращении, включая остатки в кассах </w:t>
      </w:r>
      <w:r>
        <w:rPr>
          <w:color w:val="000000"/>
          <w:sz w:val="24"/>
          <w:szCs w:val="24"/>
        </w:rPr>
        <w:t>кредитных организаций</w:t>
      </w:r>
      <w:r w:rsidRPr="00157541">
        <w:rPr>
          <w:color w:val="000000"/>
          <w:sz w:val="24"/>
          <w:szCs w:val="24"/>
        </w:rPr>
        <w:t xml:space="preserve">, находилось денежных знаков Приднестровского республиканского банка на сумму </w:t>
      </w:r>
      <w:r>
        <w:rPr>
          <w:color w:val="000000"/>
          <w:sz w:val="24"/>
          <w:szCs w:val="24"/>
        </w:rPr>
        <w:t>1 470,1</w:t>
      </w:r>
      <w:r w:rsidRPr="00157541">
        <w:rPr>
          <w:color w:val="000000"/>
          <w:sz w:val="24"/>
          <w:szCs w:val="24"/>
        </w:rPr>
        <w:t xml:space="preserve"> млн руб., в том числе банкнот – </w:t>
      </w:r>
      <w:r>
        <w:rPr>
          <w:color w:val="000000"/>
          <w:sz w:val="24"/>
          <w:szCs w:val="24"/>
        </w:rPr>
        <w:t>1 429,7</w:t>
      </w:r>
      <w:r w:rsidRPr="00157541">
        <w:rPr>
          <w:color w:val="000000"/>
          <w:sz w:val="24"/>
          <w:szCs w:val="24"/>
        </w:rPr>
        <w:t xml:space="preserve"> млн руб. (26</w:t>
      </w:r>
      <w:r>
        <w:rPr>
          <w:color w:val="000000"/>
          <w:sz w:val="24"/>
          <w:szCs w:val="24"/>
        </w:rPr>
        <w:t>,3</w:t>
      </w:r>
      <w:r w:rsidRPr="00157541">
        <w:rPr>
          <w:color w:val="000000"/>
          <w:sz w:val="24"/>
          <w:szCs w:val="24"/>
        </w:rPr>
        <w:t xml:space="preserve"> млн штук), разменной монеты – 20,</w:t>
      </w:r>
      <w:r>
        <w:rPr>
          <w:color w:val="000000"/>
          <w:sz w:val="24"/>
          <w:szCs w:val="24"/>
        </w:rPr>
        <w:t>1</w:t>
      </w:r>
      <w:r w:rsidRPr="00157541">
        <w:rPr>
          <w:color w:val="000000"/>
          <w:sz w:val="24"/>
          <w:szCs w:val="24"/>
        </w:rPr>
        <w:t xml:space="preserve"> млн руб. (12</w:t>
      </w:r>
      <w:r>
        <w:rPr>
          <w:color w:val="000000"/>
          <w:sz w:val="24"/>
          <w:szCs w:val="24"/>
        </w:rPr>
        <w:t>4,7</w:t>
      </w:r>
      <w:r w:rsidRPr="00157541">
        <w:rPr>
          <w:color w:val="000000"/>
          <w:sz w:val="24"/>
          <w:szCs w:val="24"/>
        </w:rPr>
        <w:t xml:space="preserve"> млн штук), юбилейных, памятных монет и банкнот – 11,4 млн руб. (3,9 млн штук), монет из композитных материалов – </w:t>
      </w:r>
      <w:r>
        <w:rPr>
          <w:color w:val="000000"/>
          <w:sz w:val="24"/>
          <w:szCs w:val="24"/>
        </w:rPr>
        <w:br/>
      </w:r>
      <w:r w:rsidRPr="00157541">
        <w:rPr>
          <w:color w:val="000000"/>
          <w:sz w:val="24"/>
          <w:szCs w:val="24"/>
        </w:rPr>
        <w:t>8,9 млн руб. (2,2 млн штук).</w:t>
      </w:r>
    </w:p>
    <w:p w:rsidR="00C20988" w:rsidRPr="00157541" w:rsidRDefault="00C20988" w:rsidP="00444A74">
      <w:pPr>
        <w:pStyle w:val="BodyText3"/>
        <w:widowControl w:val="0"/>
        <w:spacing w:after="0"/>
        <w:ind w:firstLine="425"/>
        <w:jc w:val="both"/>
        <w:rPr>
          <w:color w:val="000000"/>
          <w:sz w:val="24"/>
          <w:szCs w:val="24"/>
        </w:rPr>
      </w:pPr>
      <w:r w:rsidRPr="00157541">
        <w:rPr>
          <w:color w:val="000000"/>
          <w:sz w:val="24"/>
          <w:szCs w:val="24"/>
        </w:rPr>
        <w:t xml:space="preserve">В общей сумме наличных денег банкноты составляли </w:t>
      </w:r>
      <w:r>
        <w:rPr>
          <w:color w:val="000000"/>
          <w:sz w:val="24"/>
          <w:szCs w:val="24"/>
        </w:rPr>
        <w:t>97,3</w:t>
      </w:r>
      <w:r w:rsidRPr="00157541">
        <w:rPr>
          <w:color w:val="000000"/>
          <w:sz w:val="24"/>
          <w:szCs w:val="24"/>
        </w:rPr>
        <w:t>%, разменная монета – 1,</w:t>
      </w:r>
      <w:r>
        <w:rPr>
          <w:color w:val="000000"/>
          <w:sz w:val="24"/>
          <w:szCs w:val="24"/>
        </w:rPr>
        <w:t>4</w:t>
      </w:r>
      <w:r w:rsidRPr="00157541">
        <w:rPr>
          <w:color w:val="000000"/>
          <w:sz w:val="24"/>
          <w:szCs w:val="24"/>
        </w:rPr>
        <w:t>%, юбилейные, памятные монеты и банкноты – 0,</w:t>
      </w:r>
      <w:r>
        <w:rPr>
          <w:color w:val="000000"/>
          <w:sz w:val="24"/>
          <w:szCs w:val="24"/>
        </w:rPr>
        <w:t>7</w:t>
      </w:r>
      <w:r w:rsidRPr="00157541">
        <w:rPr>
          <w:color w:val="000000"/>
          <w:sz w:val="24"/>
          <w:szCs w:val="24"/>
        </w:rPr>
        <w:t>%, монеты из композитных материалов – 0,</w:t>
      </w:r>
      <w:r>
        <w:rPr>
          <w:color w:val="000000"/>
          <w:sz w:val="24"/>
          <w:szCs w:val="24"/>
        </w:rPr>
        <w:t>6</w:t>
      </w:r>
      <w:r w:rsidRPr="00157541">
        <w:rPr>
          <w:color w:val="000000"/>
          <w:sz w:val="24"/>
          <w:szCs w:val="24"/>
        </w:rPr>
        <w:t xml:space="preserve">%. В совокупном количестве </w:t>
      </w:r>
      <w:r>
        <w:rPr>
          <w:color w:val="000000"/>
          <w:sz w:val="24"/>
          <w:szCs w:val="24"/>
        </w:rPr>
        <w:t xml:space="preserve">выпущенных </w:t>
      </w:r>
      <w:r w:rsidRPr="00157541">
        <w:rPr>
          <w:color w:val="000000"/>
          <w:sz w:val="24"/>
          <w:szCs w:val="24"/>
        </w:rPr>
        <w:t>денежных знаков на банкноты пришлось 1</w:t>
      </w:r>
      <w:r>
        <w:rPr>
          <w:color w:val="000000"/>
          <w:sz w:val="24"/>
          <w:szCs w:val="24"/>
        </w:rPr>
        <w:t>6,7</w:t>
      </w:r>
      <w:r w:rsidRPr="00157541">
        <w:rPr>
          <w:color w:val="000000"/>
          <w:sz w:val="24"/>
          <w:szCs w:val="24"/>
        </w:rPr>
        <w:t xml:space="preserve">%, разменную монету – </w:t>
      </w:r>
      <w:r>
        <w:rPr>
          <w:color w:val="000000"/>
          <w:sz w:val="24"/>
          <w:szCs w:val="24"/>
        </w:rPr>
        <w:t>79</w:t>
      </w:r>
      <w:r w:rsidRPr="00157541">
        <w:rPr>
          <w:color w:val="000000"/>
          <w:sz w:val="24"/>
          <w:szCs w:val="24"/>
        </w:rPr>
        <w:t>,</w:t>
      </w:r>
      <w:r>
        <w:rPr>
          <w:color w:val="000000"/>
          <w:sz w:val="24"/>
          <w:szCs w:val="24"/>
        </w:rPr>
        <w:t>4</w:t>
      </w:r>
      <w:r w:rsidRPr="00157541">
        <w:rPr>
          <w:color w:val="000000"/>
          <w:sz w:val="24"/>
          <w:szCs w:val="24"/>
        </w:rPr>
        <w:t>%, юбилейные, памятные монеты и банкноты – 2,5%, монеты из композитных материалов – 1,4%.</w:t>
      </w:r>
    </w:p>
    <w:p w:rsidR="00C20988" w:rsidRDefault="00C20988" w:rsidP="00444A74">
      <w:pPr>
        <w:pStyle w:val="BodyText3"/>
        <w:spacing w:after="0"/>
        <w:ind w:firstLine="425"/>
        <w:jc w:val="both"/>
        <w:rPr>
          <w:sz w:val="24"/>
          <w:szCs w:val="24"/>
        </w:rPr>
      </w:pPr>
      <w:r w:rsidRPr="00157541">
        <w:rPr>
          <w:sz w:val="24"/>
          <w:szCs w:val="24"/>
        </w:rPr>
        <w:t>Удовлетворение платёжного оборота банкнотами и разменной монетой Приднестровского республиканского банка производилось своевременно и в полном объёме.</w:t>
      </w:r>
    </w:p>
    <w:p w:rsidR="00C20988" w:rsidRDefault="00C20988" w:rsidP="00444A74">
      <w:pPr>
        <w:pStyle w:val="BodyText3"/>
        <w:spacing w:after="0"/>
        <w:ind w:firstLine="425"/>
        <w:jc w:val="both"/>
        <w:rPr>
          <w:color w:val="000000"/>
          <w:sz w:val="24"/>
          <w:szCs w:val="24"/>
        </w:rPr>
      </w:pPr>
      <w:r w:rsidRPr="00157541">
        <w:rPr>
          <w:sz w:val="24"/>
          <w:szCs w:val="24"/>
        </w:rPr>
        <w:t xml:space="preserve">Кроме того, </w:t>
      </w:r>
      <w:r w:rsidRPr="00157541">
        <w:rPr>
          <w:color w:val="000000"/>
          <w:sz w:val="24"/>
          <w:szCs w:val="24"/>
        </w:rPr>
        <w:t xml:space="preserve">в отчётном году в обращение было выпущено 17 видов памятных монет из драгоценных металлов и 20 видов </w:t>
      </w:r>
      <w:r w:rsidRPr="00BF1F7C">
        <w:rPr>
          <w:color w:val="000000"/>
          <w:sz w:val="24"/>
          <w:szCs w:val="24"/>
        </w:rPr>
        <w:t>памятных монет</w:t>
      </w:r>
      <w:r w:rsidRPr="00157541">
        <w:rPr>
          <w:color w:val="000000"/>
          <w:sz w:val="24"/>
          <w:szCs w:val="24"/>
        </w:rPr>
        <w:t xml:space="preserve"> из недрагоценных металлов различных серий</w:t>
      </w:r>
      <w:r>
        <w:rPr>
          <w:color w:val="000000"/>
          <w:sz w:val="24"/>
          <w:szCs w:val="24"/>
        </w:rPr>
        <w:t>,</w:t>
      </w:r>
      <w:r w:rsidRPr="00BF1F7C">
        <w:rPr>
          <w:color w:val="000000"/>
          <w:sz w:val="24"/>
          <w:szCs w:val="24"/>
        </w:rPr>
        <w:t xml:space="preserve"> а также 2 вида памятных банкнот</w:t>
      </w:r>
      <w:r w:rsidRPr="00157541">
        <w:rPr>
          <w:color w:val="000000"/>
          <w:sz w:val="24"/>
          <w:szCs w:val="24"/>
        </w:rPr>
        <w:t>.</w:t>
      </w:r>
    </w:p>
    <w:p w:rsidR="00C20988" w:rsidRPr="00BF1F7C" w:rsidRDefault="00C20988" w:rsidP="00BF1F7C">
      <w:pPr>
        <w:pStyle w:val="BodyText3"/>
        <w:spacing w:after="0"/>
        <w:ind w:firstLine="425"/>
        <w:jc w:val="both"/>
        <w:rPr>
          <w:color w:val="000000"/>
          <w:sz w:val="24"/>
          <w:szCs w:val="24"/>
        </w:rPr>
      </w:pPr>
    </w:p>
    <w:p w:rsidR="00C20988" w:rsidRPr="009A3749" w:rsidRDefault="00C20988" w:rsidP="0091069A">
      <w:pPr>
        <w:widowControl w:val="0"/>
        <w:numPr>
          <w:ilvl w:val="1"/>
          <w:numId w:val="3"/>
        </w:numPr>
        <w:tabs>
          <w:tab w:val="left" w:pos="426"/>
        </w:tabs>
        <w:spacing w:before="120" w:after="120"/>
        <w:ind w:left="0" w:firstLine="11"/>
        <w:jc w:val="both"/>
        <w:rPr>
          <w:b/>
          <w:bCs/>
          <w:noProof/>
          <w:sz w:val="24"/>
          <w:szCs w:val="24"/>
        </w:rPr>
      </w:pPr>
      <w:r>
        <w:rPr>
          <w:b/>
          <w:bCs/>
          <w:noProof/>
          <w:sz w:val="24"/>
          <w:szCs w:val="24"/>
        </w:rPr>
        <w:t>СОВЕРШЕНСТВОВАНИЕ</w:t>
      </w:r>
      <w:r w:rsidRPr="009A3749">
        <w:rPr>
          <w:b/>
          <w:bCs/>
          <w:noProof/>
          <w:sz w:val="24"/>
          <w:szCs w:val="24"/>
        </w:rPr>
        <w:t xml:space="preserve"> БУХГАЛТЕРСКОГО УЧЁТА И ОТЧЁТНОСТИ</w:t>
      </w:r>
      <w:r>
        <w:rPr>
          <w:b/>
          <w:bCs/>
          <w:noProof/>
          <w:sz w:val="24"/>
          <w:szCs w:val="24"/>
        </w:rPr>
        <w:t xml:space="preserve"> КРЕДИТНЫХ И СТРАХОВЫХ ОРГАНИЗАЦИЙ</w:t>
      </w:r>
    </w:p>
    <w:p w:rsidR="00C20988" w:rsidRPr="00553A54" w:rsidRDefault="00C20988" w:rsidP="00897EED">
      <w:pPr>
        <w:autoSpaceDE w:val="0"/>
        <w:autoSpaceDN w:val="0"/>
        <w:adjustRightInd w:val="0"/>
        <w:ind w:right="-2" w:firstLine="425"/>
        <w:jc w:val="both"/>
        <w:rPr>
          <w:sz w:val="24"/>
          <w:szCs w:val="24"/>
        </w:rPr>
      </w:pPr>
      <w:r w:rsidRPr="00553A54">
        <w:rPr>
          <w:sz w:val="24"/>
          <w:szCs w:val="24"/>
        </w:rPr>
        <w:t>В отчётном году деятельность Приднестровского республиканского банка в части совершенствования бухгалтерского учёта и бухгалтерской (финансовой) отчётности была направлена на оптимизацию действующих нормативных актов, регулирующих данную сферу.</w:t>
      </w:r>
    </w:p>
    <w:p w:rsidR="00C20988" w:rsidRPr="00553A54" w:rsidRDefault="00C20988" w:rsidP="00897EED">
      <w:pPr>
        <w:autoSpaceDE w:val="0"/>
        <w:autoSpaceDN w:val="0"/>
        <w:adjustRightInd w:val="0"/>
        <w:ind w:right="-2" w:firstLine="425"/>
        <w:jc w:val="both"/>
        <w:rPr>
          <w:snapToGrid w:val="0"/>
          <w:color w:val="000000"/>
          <w:sz w:val="24"/>
          <w:szCs w:val="24"/>
        </w:rPr>
      </w:pPr>
      <w:r w:rsidRPr="00553A54">
        <w:rPr>
          <w:snapToGrid w:val="0"/>
          <w:color w:val="000000"/>
          <w:sz w:val="24"/>
          <w:szCs w:val="24"/>
        </w:rPr>
        <w:t xml:space="preserve">В рамках совершенствования плана счетов и правил ведения бухгалтерского учёта в кредитных организациях Приднестровской Молдавской Республики доработаны, утверждены и вступили в силу с 1 января 2019 года нормативно-правовые акты, </w:t>
      </w:r>
      <w:r w:rsidRPr="00553A54">
        <w:rPr>
          <w:sz w:val="24"/>
          <w:szCs w:val="24"/>
        </w:rPr>
        <w:t>предусматривающие:</w:t>
      </w:r>
    </w:p>
    <w:p w:rsidR="00C20988" w:rsidRPr="00553A54" w:rsidRDefault="00C20988" w:rsidP="00897EED">
      <w:pPr>
        <w:autoSpaceDE w:val="0"/>
        <w:autoSpaceDN w:val="0"/>
        <w:adjustRightInd w:val="0"/>
        <w:ind w:right="-2" w:firstLine="425"/>
        <w:jc w:val="both"/>
        <w:rPr>
          <w:sz w:val="24"/>
          <w:szCs w:val="24"/>
        </w:rPr>
      </w:pPr>
      <w:r w:rsidRPr="00553A54">
        <w:rPr>
          <w:sz w:val="24"/>
          <w:szCs w:val="24"/>
        </w:rPr>
        <w:t>а) изменение:</w:t>
      </w:r>
    </w:p>
    <w:p w:rsidR="00C20988" w:rsidRPr="00553A54" w:rsidRDefault="00C20988" w:rsidP="00897EED">
      <w:pPr>
        <w:numPr>
          <w:ilvl w:val="0"/>
          <w:numId w:val="20"/>
        </w:numPr>
        <w:tabs>
          <w:tab w:val="left" w:pos="709"/>
          <w:tab w:val="left" w:pos="1134"/>
        </w:tabs>
        <w:autoSpaceDE w:val="0"/>
        <w:autoSpaceDN w:val="0"/>
        <w:adjustRightInd w:val="0"/>
        <w:ind w:left="0" w:right="-2" w:firstLine="709"/>
        <w:jc w:val="both"/>
        <w:rPr>
          <w:sz w:val="24"/>
          <w:szCs w:val="24"/>
        </w:rPr>
      </w:pPr>
      <w:r w:rsidRPr="00553A54">
        <w:rPr>
          <w:sz w:val="24"/>
          <w:szCs w:val="24"/>
        </w:rPr>
        <w:t>критериев признания определённости (неопределённости) получения процентных доходов кредитными организациями;</w:t>
      </w:r>
    </w:p>
    <w:p w:rsidR="00C20988" w:rsidRPr="00553A54" w:rsidRDefault="00C20988" w:rsidP="00897EED">
      <w:pPr>
        <w:numPr>
          <w:ilvl w:val="0"/>
          <w:numId w:val="20"/>
        </w:numPr>
        <w:tabs>
          <w:tab w:val="left" w:pos="709"/>
          <w:tab w:val="left" w:pos="1134"/>
        </w:tabs>
        <w:autoSpaceDE w:val="0"/>
        <w:autoSpaceDN w:val="0"/>
        <w:adjustRightInd w:val="0"/>
        <w:ind w:left="0" w:right="-2" w:firstLine="709"/>
        <w:jc w:val="both"/>
        <w:rPr>
          <w:sz w:val="24"/>
          <w:szCs w:val="24"/>
        </w:rPr>
      </w:pPr>
      <w:r w:rsidRPr="00553A54">
        <w:rPr>
          <w:sz w:val="24"/>
          <w:szCs w:val="24"/>
        </w:rPr>
        <w:t xml:space="preserve"> порядка ведения бухгалтерского учёта операций кредитования, покупки (продажи) иностранной валюты, операций с ценными бумагами, имущества;</w:t>
      </w:r>
    </w:p>
    <w:p w:rsidR="00C20988" w:rsidRPr="00553A54" w:rsidRDefault="00C20988" w:rsidP="00897EED">
      <w:pPr>
        <w:numPr>
          <w:ilvl w:val="0"/>
          <w:numId w:val="20"/>
        </w:numPr>
        <w:tabs>
          <w:tab w:val="left" w:pos="709"/>
          <w:tab w:val="left" w:pos="1134"/>
        </w:tabs>
        <w:autoSpaceDE w:val="0"/>
        <w:autoSpaceDN w:val="0"/>
        <w:adjustRightInd w:val="0"/>
        <w:ind w:left="0" w:right="-2" w:firstLine="709"/>
        <w:jc w:val="both"/>
        <w:rPr>
          <w:sz w:val="24"/>
          <w:szCs w:val="24"/>
        </w:rPr>
      </w:pPr>
      <w:r w:rsidRPr="00553A54">
        <w:rPr>
          <w:sz w:val="24"/>
          <w:szCs w:val="24"/>
        </w:rPr>
        <w:t>порядка отражения в бухгалтерском учёте процентных (купонных) доходов по ценным бумагам, приобретённым (учтённым) векселям в случае признания неопределённости в получении доходов;</w:t>
      </w:r>
    </w:p>
    <w:p w:rsidR="00C20988" w:rsidRPr="00553A54" w:rsidRDefault="00C20988" w:rsidP="00897EED">
      <w:pPr>
        <w:numPr>
          <w:ilvl w:val="0"/>
          <w:numId w:val="20"/>
        </w:numPr>
        <w:tabs>
          <w:tab w:val="left" w:pos="709"/>
          <w:tab w:val="left" w:pos="1134"/>
        </w:tabs>
        <w:autoSpaceDE w:val="0"/>
        <w:autoSpaceDN w:val="0"/>
        <w:adjustRightInd w:val="0"/>
        <w:ind w:left="0" w:right="-2" w:firstLine="709"/>
        <w:jc w:val="both"/>
        <w:rPr>
          <w:sz w:val="24"/>
          <w:szCs w:val="24"/>
        </w:rPr>
      </w:pPr>
      <w:r w:rsidRPr="00553A54">
        <w:rPr>
          <w:sz w:val="24"/>
          <w:szCs w:val="24"/>
        </w:rPr>
        <w:t>наименований счетов по учёту выбытия (реализации) и порядка использования данных счетов;</w:t>
      </w:r>
    </w:p>
    <w:p w:rsidR="00C20988" w:rsidRPr="00553A54" w:rsidRDefault="00C20988" w:rsidP="00897EED">
      <w:pPr>
        <w:tabs>
          <w:tab w:val="left" w:pos="993"/>
        </w:tabs>
        <w:autoSpaceDE w:val="0"/>
        <w:autoSpaceDN w:val="0"/>
        <w:adjustRightInd w:val="0"/>
        <w:ind w:right="-2" w:firstLine="425"/>
        <w:rPr>
          <w:sz w:val="24"/>
          <w:szCs w:val="24"/>
        </w:rPr>
      </w:pPr>
      <w:r w:rsidRPr="00553A54">
        <w:rPr>
          <w:sz w:val="24"/>
          <w:szCs w:val="24"/>
        </w:rPr>
        <w:t>б) исключение:</w:t>
      </w:r>
    </w:p>
    <w:p w:rsidR="00C20988" w:rsidRPr="00553A54" w:rsidRDefault="00C20988" w:rsidP="00897EED">
      <w:pPr>
        <w:numPr>
          <w:ilvl w:val="0"/>
          <w:numId w:val="21"/>
        </w:numPr>
        <w:tabs>
          <w:tab w:val="left" w:pos="709"/>
          <w:tab w:val="left" w:pos="1134"/>
        </w:tabs>
        <w:autoSpaceDE w:val="0"/>
        <w:autoSpaceDN w:val="0"/>
        <w:adjustRightInd w:val="0"/>
        <w:ind w:left="0" w:right="-2" w:firstLine="709"/>
        <w:jc w:val="both"/>
        <w:rPr>
          <w:sz w:val="24"/>
          <w:szCs w:val="24"/>
        </w:rPr>
      </w:pPr>
      <w:r w:rsidRPr="00553A54">
        <w:rPr>
          <w:sz w:val="24"/>
          <w:szCs w:val="24"/>
        </w:rPr>
        <w:t>счетов по учёту размещений, предоставленных кредитов, прочих размещённых средств, процентные доходы по которым признаются неопределёнными к получению;</w:t>
      </w:r>
    </w:p>
    <w:p w:rsidR="00C20988" w:rsidRPr="00553A54" w:rsidRDefault="00C20988" w:rsidP="00897EED">
      <w:pPr>
        <w:numPr>
          <w:ilvl w:val="0"/>
          <w:numId w:val="21"/>
        </w:numPr>
        <w:tabs>
          <w:tab w:val="left" w:pos="709"/>
          <w:tab w:val="left" w:pos="1134"/>
        </w:tabs>
        <w:autoSpaceDE w:val="0"/>
        <w:autoSpaceDN w:val="0"/>
        <w:adjustRightInd w:val="0"/>
        <w:ind w:left="0" w:right="-2" w:firstLine="709"/>
        <w:jc w:val="both"/>
        <w:rPr>
          <w:snapToGrid w:val="0"/>
          <w:color w:val="000000"/>
          <w:sz w:val="24"/>
          <w:szCs w:val="24"/>
        </w:rPr>
      </w:pPr>
      <w:r w:rsidRPr="00553A54">
        <w:rPr>
          <w:sz w:val="24"/>
          <w:szCs w:val="24"/>
        </w:rPr>
        <w:t>счетов по учёту начисленных до реализации или погашения процентных доходов по приобретённым ценным бумагам.</w:t>
      </w:r>
    </w:p>
    <w:p w:rsidR="00C20988" w:rsidRPr="00553A54" w:rsidRDefault="00C20988" w:rsidP="00444A74">
      <w:pPr>
        <w:tabs>
          <w:tab w:val="left" w:pos="1560"/>
        </w:tabs>
        <w:ind w:firstLine="425"/>
        <w:jc w:val="both"/>
        <w:rPr>
          <w:sz w:val="24"/>
          <w:szCs w:val="24"/>
        </w:rPr>
      </w:pPr>
      <w:r w:rsidRPr="00553A54">
        <w:rPr>
          <w:sz w:val="24"/>
          <w:szCs w:val="24"/>
        </w:rPr>
        <w:t>В связи с открытием с 1 января 2019 года территориальным налоговым инспекциям единых счетов для зачисления платежей в государственный бюджет и государственные внебюджетные фонды Приднестровской Молдавской Республики в 2018 году подготовлены с</w:t>
      </w:r>
      <w:r>
        <w:rPr>
          <w:sz w:val="24"/>
          <w:szCs w:val="24"/>
        </w:rPr>
        <w:t>оответствующие нормативные акты.</w:t>
      </w:r>
    </w:p>
    <w:p w:rsidR="00C20988" w:rsidRPr="001B0EB7" w:rsidRDefault="00C20988" w:rsidP="00444A74">
      <w:pPr>
        <w:tabs>
          <w:tab w:val="left" w:pos="1560"/>
        </w:tabs>
        <w:ind w:firstLine="425"/>
        <w:jc w:val="both"/>
        <w:rPr>
          <w:sz w:val="24"/>
          <w:szCs w:val="24"/>
        </w:rPr>
      </w:pPr>
      <w:r w:rsidRPr="00735F07">
        <w:rPr>
          <w:sz w:val="24"/>
          <w:szCs w:val="24"/>
        </w:rPr>
        <w:t xml:space="preserve">С целью унификации порядка заполнения поля «Назначение платежа» в платёжных (расчётных) документах для автоматизации перечисления средств в республиканский и местные бюджеты, во внебюджетные фонды, а также при проведении взаимных денежных зачётов подготовлено соответствующее Указание Приднестровского республиканского банка </w:t>
      </w:r>
      <w:r w:rsidRPr="00F42BBD">
        <w:rPr>
          <w:sz w:val="24"/>
          <w:szCs w:val="24"/>
        </w:rPr>
        <w:t>(№ 1079-У от 5 июня 2018 года «О внесении изменений и дополнений в Инструкцию</w:t>
      </w:r>
      <w:r w:rsidRPr="00735F07">
        <w:rPr>
          <w:sz w:val="24"/>
          <w:szCs w:val="24"/>
        </w:rPr>
        <w:t xml:space="preserve"> Приднестровского республиканского банка от 12 ноября 2002 года № 9-И «О безналичных расчётах в Приднестровской Молдавской Республике»).</w:t>
      </w:r>
    </w:p>
    <w:p w:rsidR="00C20988" w:rsidRPr="001B0EB7" w:rsidRDefault="00C20988" w:rsidP="00444A74">
      <w:pPr>
        <w:tabs>
          <w:tab w:val="left" w:pos="1560"/>
        </w:tabs>
        <w:ind w:firstLine="425"/>
        <w:jc w:val="both"/>
        <w:rPr>
          <w:sz w:val="24"/>
          <w:szCs w:val="24"/>
        </w:rPr>
      </w:pPr>
      <w:r w:rsidRPr="00553A54">
        <w:rPr>
          <w:sz w:val="24"/>
          <w:szCs w:val="24"/>
        </w:rPr>
        <w:t xml:space="preserve">В отчётном году также осуществлялась работа по совершенствованию порядка проведения Приднестровским республиканским банком кассовых операций в части упаковки денежной наличности Приднестровского </w:t>
      </w:r>
      <w:r w:rsidRPr="001B0EB7">
        <w:rPr>
          <w:sz w:val="24"/>
          <w:szCs w:val="24"/>
        </w:rPr>
        <w:t>республиканского банка.</w:t>
      </w:r>
    </w:p>
    <w:p w:rsidR="00C20988" w:rsidRDefault="00C20988" w:rsidP="008528C2">
      <w:pPr>
        <w:tabs>
          <w:tab w:val="left" w:pos="1560"/>
        </w:tabs>
        <w:ind w:firstLine="425"/>
        <w:jc w:val="both"/>
        <w:rPr>
          <w:bCs/>
          <w:sz w:val="24"/>
          <w:szCs w:val="24"/>
        </w:rPr>
      </w:pPr>
      <w:r w:rsidRPr="001B0EB7">
        <w:rPr>
          <w:sz w:val="24"/>
          <w:szCs w:val="24"/>
        </w:rPr>
        <w:t>В соответствии с Законом Приднестровской Молдавской Республики</w:t>
      </w:r>
      <w:r w:rsidRPr="00553A54">
        <w:rPr>
          <w:sz w:val="24"/>
          <w:szCs w:val="24"/>
        </w:rPr>
        <w:t xml:space="preserve"> от 26 июля </w:t>
      </w:r>
      <w:r w:rsidRPr="00553A54">
        <w:rPr>
          <w:sz w:val="24"/>
          <w:szCs w:val="24"/>
        </w:rPr>
        <w:br/>
        <w:t>2017 года № 241-ЗИД-VI «</w:t>
      </w:r>
      <w:r w:rsidRPr="00553A54">
        <w:rPr>
          <w:bCs/>
          <w:sz w:val="24"/>
          <w:szCs w:val="24"/>
        </w:rPr>
        <w:t xml:space="preserve">О внесении изменений и дополнений в некоторые законодательные акты Приднестровской Молдавской Республики» Приднестровскому республиканскому банку переданы полномочия по утверждению плана счетов и правил ведения бухгалтерского учёта в страховых организациях Приднестровской Молдавской Республики. В этой связи </w:t>
      </w:r>
      <w:r>
        <w:rPr>
          <w:bCs/>
          <w:sz w:val="24"/>
          <w:szCs w:val="24"/>
        </w:rPr>
        <w:t xml:space="preserve">были начаты мероприятия </w:t>
      </w:r>
      <w:r w:rsidRPr="00553A54">
        <w:rPr>
          <w:bCs/>
          <w:sz w:val="24"/>
          <w:szCs w:val="24"/>
        </w:rPr>
        <w:t>по разработке и совершенствованию методологических основ ведения бухгалтерского учёта и составления финансовой отчётности страховыми организациями.</w:t>
      </w:r>
    </w:p>
    <w:p w:rsidR="00C20988" w:rsidRPr="00553A54" w:rsidRDefault="00C20988" w:rsidP="00444A74">
      <w:pPr>
        <w:tabs>
          <w:tab w:val="left" w:pos="1560"/>
        </w:tabs>
        <w:ind w:firstLine="425"/>
        <w:jc w:val="both"/>
        <w:rPr>
          <w:bCs/>
          <w:sz w:val="24"/>
          <w:szCs w:val="24"/>
        </w:rPr>
      </w:pPr>
    </w:p>
    <w:p w:rsidR="00C20988" w:rsidRPr="00553A54" w:rsidRDefault="00C20988" w:rsidP="008528C2">
      <w:pPr>
        <w:widowControl w:val="0"/>
        <w:numPr>
          <w:ilvl w:val="1"/>
          <w:numId w:val="3"/>
        </w:numPr>
        <w:tabs>
          <w:tab w:val="clear" w:pos="360"/>
          <w:tab w:val="num" w:pos="0"/>
          <w:tab w:val="left" w:pos="567"/>
        </w:tabs>
        <w:spacing w:after="120"/>
        <w:ind w:left="0" w:firstLine="0"/>
        <w:jc w:val="both"/>
        <w:rPr>
          <w:b/>
          <w:bCs/>
          <w:noProof/>
          <w:sz w:val="24"/>
          <w:szCs w:val="24"/>
        </w:rPr>
      </w:pPr>
      <w:r w:rsidRPr="00553A54">
        <w:rPr>
          <w:b/>
          <w:bCs/>
          <w:noProof/>
          <w:sz w:val="24"/>
          <w:szCs w:val="24"/>
        </w:rPr>
        <w:t>ВЗАИМОДЕЙСТВИЕ ПРИДНЕСТРОВСКОГО РЕСПУБЛИКАНСКОГО БАНКА С ОРГАНАМИ ГОСУДАРСТВЕННОЙ ВЛАСТИ</w:t>
      </w:r>
    </w:p>
    <w:p w:rsidR="00C20988" w:rsidRPr="00553A54" w:rsidRDefault="00C20988" w:rsidP="00444A74">
      <w:pPr>
        <w:widowControl w:val="0"/>
        <w:tabs>
          <w:tab w:val="left" w:pos="1080"/>
        </w:tabs>
        <w:ind w:firstLine="425"/>
        <w:jc w:val="both"/>
        <w:rPr>
          <w:sz w:val="24"/>
          <w:szCs w:val="24"/>
        </w:rPr>
      </w:pPr>
      <w:r w:rsidRPr="00553A54">
        <w:rPr>
          <w:sz w:val="24"/>
          <w:szCs w:val="24"/>
        </w:rPr>
        <w:t xml:space="preserve">В отчётном году Приднестровский республиканский банк взаимодействовал с органами государственной власти и управления по различным направлениям. </w:t>
      </w:r>
    </w:p>
    <w:p w:rsidR="00C20988" w:rsidRPr="00EC3B73" w:rsidRDefault="00C20988" w:rsidP="00EC3B73">
      <w:pPr>
        <w:widowControl w:val="0"/>
        <w:tabs>
          <w:tab w:val="left" w:pos="1080"/>
        </w:tabs>
        <w:ind w:firstLine="425"/>
        <w:jc w:val="both"/>
        <w:rPr>
          <w:sz w:val="24"/>
          <w:szCs w:val="24"/>
        </w:rPr>
      </w:pPr>
      <w:r w:rsidRPr="00553A54">
        <w:rPr>
          <w:sz w:val="24"/>
          <w:szCs w:val="24"/>
        </w:rPr>
        <w:t>Во исполнение поручени</w:t>
      </w:r>
      <w:r>
        <w:rPr>
          <w:sz w:val="24"/>
          <w:szCs w:val="24"/>
        </w:rPr>
        <w:t>й</w:t>
      </w:r>
      <w:r w:rsidRPr="00553A54">
        <w:rPr>
          <w:sz w:val="24"/>
          <w:szCs w:val="24"/>
        </w:rPr>
        <w:t xml:space="preserve"> Президента Приднестровской Молдавской Республики и в соответствии с запросами Правительства Приднестровской Молдавской Республики, Счётной палаты Приднестровской Молдавской Республики</w:t>
      </w:r>
      <w:r>
        <w:rPr>
          <w:sz w:val="24"/>
          <w:szCs w:val="24"/>
        </w:rPr>
        <w:t>,</w:t>
      </w:r>
      <w:r w:rsidRPr="00553A54">
        <w:rPr>
          <w:sz w:val="24"/>
          <w:szCs w:val="24"/>
        </w:rPr>
        <w:t xml:space="preserve"> Прокуратуры Приднестровской Молдавской Республики и Следственного комитета Приднес</w:t>
      </w:r>
      <w:r>
        <w:rPr>
          <w:sz w:val="24"/>
          <w:szCs w:val="24"/>
        </w:rPr>
        <w:t xml:space="preserve">тровской Молдавской Республики </w:t>
      </w:r>
      <w:r w:rsidRPr="00553A54">
        <w:rPr>
          <w:sz w:val="24"/>
          <w:szCs w:val="24"/>
        </w:rPr>
        <w:t xml:space="preserve">направлялась информация </w:t>
      </w:r>
      <w:r>
        <w:rPr>
          <w:sz w:val="24"/>
          <w:szCs w:val="24"/>
        </w:rPr>
        <w:t>о</w:t>
      </w:r>
      <w:r w:rsidRPr="00553A54">
        <w:rPr>
          <w:sz w:val="24"/>
          <w:szCs w:val="24"/>
        </w:rPr>
        <w:t xml:space="preserve"> текуще</w:t>
      </w:r>
      <w:r>
        <w:rPr>
          <w:sz w:val="24"/>
          <w:szCs w:val="24"/>
        </w:rPr>
        <w:t>м</w:t>
      </w:r>
      <w:r w:rsidRPr="00553A54">
        <w:rPr>
          <w:sz w:val="24"/>
          <w:szCs w:val="24"/>
        </w:rPr>
        <w:t xml:space="preserve"> состояни</w:t>
      </w:r>
      <w:r>
        <w:rPr>
          <w:sz w:val="24"/>
          <w:szCs w:val="24"/>
        </w:rPr>
        <w:t>и</w:t>
      </w:r>
      <w:r w:rsidRPr="00553A54">
        <w:rPr>
          <w:sz w:val="24"/>
          <w:szCs w:val="24"/>
        </w:rPr>
        <w:t xml:space="preserve"> банковского сектора Приднестровской Молдавской Республики, предоставлялись разъяснения по вопросам, касающимся сферы валютного регулирования и валютного контроля.</w:t>
      </w:r>
    </w:p>
    <w:p w:rsidR="00C20988" w:rsidRPr="00553A54" w:rsidRDefault="00C20988" w:rsidP="00444A74">
      <w:pPr>
        <w:ind w:firstLine="425"/>
        <w:jc w:val="both"/>
        <w:rPr>
          <w:strike/>
          <w:sz w:val="24"/>
          <w:szCs w:val="24"/>
        </w:rPr>
      </w:pPr>
      <w:r w:rsidRPr="00553A54">
        <w:rPr>
          <w:sz w:val="24"/>
          <w:szCs w:val="24"/>
        </w:rPr>
        <w:t xml:space="preserve">Приднестровский республиканский банк осуществляет взаимодействие с Правительством Приднестровской Молдавской Республики, Министерством иностранных дел Приднестровской Молдавской Республики и Министерством внутренних дел Приднестровской Молдавской Республики по вопросу сотрудничества с Республикой Молдова в сфере ОСАГО. </w:t>
      </w:r>
    </w:p>
    <w:p w:rsidR="00C20988" w:rsidRPr="00553A54" w:rsidRDefault="00C20988" w:rsidP="00444A74">
      <w:pPr>
        <w:pStyle w:val="ListParagraph"/>
        <w:ind w:left="0" w:firstLine="425"/>
        <w:jc w:val="both"/>
        <w:rPr>
          <w:sz w:val="24"/>
          <w:szCs w:val="24"/>
        </w:rPr>
      </w:pPr>
      <w:r w:rsidRPr="00553A54">
        <w:rPr>
          <w:sz w:val="24"/>
          <w:szCs w:val="24"/>
        </w:rPr>
        <w:t xml:space="preserve">Во исполнение ходатайства Следственного комитета Приднестровской Молдавской Республики Приднестровским республиканским банком направлена информация о </w:t>
      </w:r>
      <w:r w:rsidRPr="00553A54">
        <w:rPr>
          <w:sz w:val="24"/>
          <w:szCs w:val="24"/>
        </w:rPr>
        <w:br/>
        <w:t>ЗАО «Тираспромстройбанк» в рамках расследуемого уголовного дела</w:t>
      </w:r>
      <w:r>
        <w:rPr>
          <w:sz w:val="24"/>
          <w:szCs w:val="24"/>
        </w:rPr>
        <w:t>, а</w:t>
      </w:r>
      <w:r w:rsidRPr="00553A54">
        <w:rPr>
          <w:sz w:val="24"/>
          <w:szCs w:val="24"/>
        </w:rPr>
        <w:t xml:space="preserve"> также проведен</w:t>
      </w:r>
      <w:r>
        <w:rPr>
          <w:sz w:val="24"/>
          <w:szCs w:val="24"/>
        </w:rPr>
        <w:t>а</w:t>
      </w:r>
      <w:r w:rsidRPr="00553A54">
        <w:rPr>
          <w:sz w:val="24"/>
          <w:szCs w:val="24"/>
        </w:rPr>
        <w:t xml:space="preserve"> дополнительн</w:t>
      </w:r>
      <w:r>
        <w:rPr>
          <w:sz w:val="24"/>
          <w:szCs w:val="24"/>
        </w:rPr>
        <w:t>ая</w:t>
      </w:r>
      <w:r w:rsidRPr="00553A54">
        <w:rPr>
          <w:sz w:val="24"/>
          <w:szCs w:val="24"/>
        </w:rPr>
        <w:t xml:space="preserve"> экспертиз</w:t>
      </w:r>
      <w:r>
        <w:rPr>
          <w:sz w:val="24"/>
          <w:szCs w:val="24"/>
        </w:rPr>
        <w:t>а</w:t>
      </w:r>
      <w:r w:rsidRPr="00553A54">
        <w:rPr>
          <w:sz w:val="24"/>
          <w:szCs w:val="24"/>
        </w:rPr>
        <w:t xml:space="preserve"> по уголовному делу, связанному с деятельностью ООО «Быстроденьги»</w:t>
      </w:r>
      <w:r>
        <w:rPr>
          <w:sz w:val="24"/>
          <w:szCs w:val="24"/>
        </w:rPr>
        <w:t xml:space="preserve"> с </w:t>
      </w:r>
      <w:r w:rsidRPr="00553A54">
        <w:rPr>
          <w:sz w:val="24"/>
          <w:szCs w:val="24"/>
        </w:rPr>
        <w:t>представлени</w:t>
      </w:r>
      <w:r>
        <w:rPr>
          <w:sz w:val="24"/>
          <w:szCs w:val="24"/>
        </w:rPr>
        <w:t>ем</w:t>
      </w:r>
      <w:r w:rsidRPr="00553A54">
        <w:rPr>
          <w:sz w:val="24"/>
          <w:szCs w:val="24"/>
        </w:rPr>
        <w:t xml:space="preserve"> заключения специалистов</w:t>
      </w:r>
      <w:r>
        <w:rPr>
          <w:sz w:val="24"/>
          <w:szCs w:val="24"/>
        </w:rPr>
        <w:t xml:space="preserve"> центрального банка</w:t>
      </w:r>
      <w:r w:rsidRPr="00553A54">
        <w:rPr>
          <w:sz w:val="24"/>
          <w:szCs w:val="24"/>
        </w:rPr>
        <w:t>.</w:t>
      </w:r>
    </w:p>
    <w:p w:rsidR="00C20988" w:rsidRPr="00553A54" w:rsidRDefault="00C20988" w:rsidP="00444A74">
      <w:pPr>
        <w:pStyle w:val="ListParagraph"/>
        <w:ind w:left="0" w:firstLine="425"/>
        <w:jc w:val="both"/>
        <w:rPr>
          <w:sz w:val="24"/>
          <w:szCs w:val="24"/>
        </w:rPr>
      </w:pPr>
      <w:r>
        <w:rPr>
          <w:rStyle w:val="blk"/>
          <w:sz w:val="24"/>
          <w:szCs w:val="24"/>
        </w:rPr>
        <w:t xml:space="preserve">Производилось взаимодействие </w:t>
      </w:r>
      <w:r w:rsidRPr="00553A54">
        <w:rPr>
          <w:rStyle w:val="blk"/>
          <w:sz w:val="24"/>
          <w:szCs w:val="24"/>
        </w:rPr>
        <w:t xml:space="preserve">с органами государственной власти </w:t>
      </w:r>
      <w:r>
        <w:rPr>
          <w:rStyle w:val="blk"/>
          <w:sz w:val="24"/>
          <w:szCs w:val="24"/>
        </w:rPr>
        <w:t xml:space="preserve">в части </w:t>
      </w:r>
      <w:r w:rsidRPr="00553A54">
        <w:rPr>
          <w:rStyle w:val="blk"/>
          <w:sz w:val="24"/>
          <w:szCs w:val="24"/>
        </w:rPr>
        <w:t>финансового мониторинга</w:t>
      </w:r>
      <w:r>
        <w:rPr>
          <w:rStyle w:val="blk"/>
          <w:sz w:val="24"/>
          <w:szCs w:val="24"/>
        </w:rPr>
        <w:t>, в результате чего</w:t>
      </w:r>
      <w:r w:rsidRPr="00553A54">
        <w:rPr>
          <w:sz w:val="24"/>
          <w:szCs w:val="24"/>
        </w:rPr>
        <w:t xml:space="preserve"> разработаны и вступили в силу соответствующие нормативно-правовые акты. </w:t>
      </w:r>
    </w:p>
    <w:p w:rsidR="00C20988" w:rsidRPr="00553A54" w:rsidRDefault="00C20988" w:rsidP="00444A74">
      <w:pPr>
        <w:pStyle w:val="ListParagraph"/>
        <w:ind w:left="0" w:firstLine="425"/>
        <w:jc w:val="both"/>
        <w:rPr>
          <w:sz w:val="24"/>
          <w:szCs w:val="24"/>
        </w:rPr>
      </w:pPr>
      <w:r w:rsidRPr="00EC3B73">
        <w:rPr>
          <w:sz w:val="24"/>
          <w:szCs w:val="24"/>
        </w:rPr>
        <w:t>В 2018 году в соответствии с действующим законодательством Приднестровский республиканский банк совместно с Министерством юстиции Приднестровской Молдавской Республики продолжили взаимодействие в части осуществления государственной регистрации и внесения в Государственный реестр юридических лиц сведений о внесении изменений и дополнений в учредительные документы кредитных организаций.</w:t>
      </w:r>
    </w:p>
    <w:p w:rsidR="00C20988" w:rsidRPr="00EC3B73" w:rsidRDefault="00C20988" w:rsidP="00EC3B73">
      <w:pPr>
        <w:pStyle w:val="ListParagraph"/>
        <w:ind w:left="0" w:firstLine="425"/>
        <w:jc w:val="both"/>
        <w:rPr>
          <w:sz w:val="24"/>
          <w:szCs w:val="24"/>
        </w:rPr>
      </w:pPr>
      <w:r>
        <w:rPr>
          <w:sz w:val="24"/>
          <w:szCs w:val="24"/>
        </w:rPr>
        <w:t>Также в</w:t>
      </w:r>
      <w:r w:rsidRPr="00EC3B73">
        <w:rPr>
          <w:sz w:val="24"/>
          <w:szCs w:val="24"/>
        </w:rPr>
        <w:t>о исполнение положений совместного Приказа о взаимодействии Министерства юстиции Приднестровской Молдавской Республики и Приднестровского республиканского банка (от 28 июня 2010 года № 147/01-05/59) направлялись:</w:t>
      </w:r>
    </w:p>
    <w:p w:rsidR="00C20988" w:rsidRPr="00EC3B73" w:rsidRDefault="00C20988" w:rsidP="008E3FFA">
      <w:pPr>
        <w:numPr>
          <w:ilvl w:val="0"/>
          <w:numId w:val="48"/>
        </w:numPr>
        <w:tabs>
          <w:tab w:val="left" w:pos="709"/>
          <w:tab w:val="left" w:pos="1134"/>
        </w:tabs>
        <w:ind w:left="0" w:firstLine="426"/>
        <w:jc w:val="both"/>
        <w:rPr>
          <w:sz w:val="24"/>
          <w:szCs w:val="24"/>
        </w:rPr>
      </w:pPr>
      <w:r w:rsidRPr="00EC3B73">
        <w:rPr>
          <w:sz w:val="24"/>
          <w:szCs w:val="24"/>
        </w:rPr>
        <w:t>копии лицензий в связи с возвратом кредитными организациями данных лицензий в Приднестровский республиканский банк;</w:t>
      </w:r>
    </w:p>
    <w:p w:rsidR="00C20988" w:rsidRPr="00EC3B73" w:rsidRDefault="00C20988" w:rsidP="008E3FFA">
      <w:pPr>
        <w:numPr>
          <w:ilvl w:val="0"/>
          <w:numId w:val="48"/>
        </w:numPr>
        <w:tabs>
          <w:tab w:val="left" w:pos="709"/>
          <w:tab w:val="left" w:pos="1134"/>
        </w:tabs>
        <w:ind w:left="0" w:firstLine="426"/>
        <w:jc w:val="both"/>
        <w:rPr>
          <w:sz w:val="24"/>
          <w:szCs w:val="24"/>
        </w:rPr>
      </w:pPr>
      <w:r w:rsidRPr="00EC3B73">
        <w:rPr>
          <w:sz w:val="24"/>
          <w:szCs w:val="24"/>
        </w:rPr>
        <w:t>копии лицензий в связи с их переоформлением;</w:t>
      </w:r>
    </w:p>
    <w:p w:rsidR="00C20988" w:rsidRPr="00EC3B73" w:rsidRDefault="00C20988" w:rsidP="008E3FFA">
      <w:pPr>
        <w:numPr>
          <w:ilvl w:val="0"/>
          <w:numId w:val="48"/>
        </w:numPr>
        <w:tabs>
          <w:tab w:val="left" w:pos="709"/>
        </w:tabs>
        <w:ind w:left="0" w:firstLine="426"/>
        <w:jc w:val="both"/>
        <w:rPr>
          <w:sz w:val="24"/>
          <w:szCs w:val="24"/>
        </w:rPr>
      </w:pPr>
      <w:r w:rsidRPr="00EC3B73">
        <w:rPr>
          <w:sz w:val="24"/>
          <w:szCs w:val="24"/>
        </w:rPr>
        <w:t>решения Приднестровского республиканского банка о приостановлении действия лицензии.</w:t>
      </w:r>
    </w:p>
    <w:p w:rsidR="00C20988" w:rsidRPr="00705D52" w:rsidRDefault="00C20988" w:rsidP="00444A74">
      <w:pPr>
        <w:ind w:firstLine="425"/>
        <w:jc w:val="both"/>
        <w:rPr>
          <w:sz w:val="24"/>
          <w:szCs w:val="24"/>
        </w:rPr>
      </w:pPr>
      <w:r w:rsidRPr="00705D52">
        <w:rPr>
          <w:sz w:val="24"/>
          <w:szCs w:val="24"/>
        </w:rPr>
        <w:t xml:space="preserve">В отчётном году проведена оптимизация межведомственного взаимодействия банковской системы с Государственным таможенным комитетом Приднестровской Молдавской Республики по вопросам валютного контроля в части электронного обмена данными без использования бумажных документов. </w:t>
      </w:r>
      <w:r w:rsidRPr="00705D52">
        <w:rPr>
          <w:bCs/>
          <w:color w:val="000000"/>
          <w:sz w:val="24"/>
          <w:szCs w:val="24"/>
        </w:rPr>
        <w:t>В Приднестровском республиканском банке в марте 2018 года начала функционировать Система обмена информационными сообщениями</w:t>
      </w:r>
      <w:r>
        <w:rPr>
          <w:bCs/>
          <w:color w:val="000000"/>
          <w:sz w:val="24"/>
          <w:szCs w:val="24"/>
        </w:rPr>
        <w:t xml:space="preserve"> (СОИС)</w:t>
      </w:r>
      <w:r w:rsidRPr="00705D52">
        <w:rPr>
          <w:bCs/>
          <w:color w:val="000000"/>
          <w:sz w:val="24"/>
          <w:szCs w:val="24"/>
        </w:rPr>
        <w:t>, в</w:t>
      </w:r>
      <w:r w:rsidRPr="00705D52">
        <w:rPr>
          <w:sz w:val="24"/>
          <w:szCs w:val="24"/>
        </w:rPr>
        <w:t xml:space="preserve"> рамках которой организован обмен электронными форматным</w:t>
      </w:r>
      <w:r>
        <w:rPr>
          <w:sz w:val="24"/>
          <w:szCs w:val="24"/>
        </w:rPr>
        <w:t>и</w:t>
      </w:r>
      <w:r w:rsidRPr="00705D52">
        <w:rPr>
          <w:sz w:val="24"/>
          <w:szCs w:val="24"/>
        </w:rPr>
        <w:t xml:space="preserve"> документами с кредитными организациями, Государственным таможенным комитетом Приднестровской Молдавской Республики, клиентами Приднестровского республиканского банка.</w:t>
      </w:r>
    </w:p>
    <w:p w:rsidR="00C20988" w:rsidRPr="00553A54" w:rsidRDefault="00C20988" w:rsidP="00444A74">
      <w:pPr>
        <w:ind w:firstLine="425"/>
        <w:jc w:val="both"/>
        <w:rPr>
          <w:sz w:val="24"/>
          <w:szCs w:val="24"/>
        </w:rPr>
      </w:pPr>
      <w:r w:rsidRPr="00705D52">
        <w:rPr>
          <w:sz w:val="24"/>
          <w:szCs w:val="24"/>
        </w:rPr>
        <w:t>Приднестровским республиканским банком принимались участия в заседаниях ликвидационных комиссий, созданных при государственной администрации г. Бендеры по вопросам ликвидации ОАО «Бендерысоцбанк</w:t>
      </w:r>
      <w:r w:rsidRPr="00553A54">
        <w:rPr>
          <w:sz w:val="24"/>
          <w:szCs w:val="24"/>
        </w:rPr>
        <w:t>», оказывались услуги консультационного характера при составлении промежуточных ликвидационных балансов.</w:t>
      </w:r>
    </w:p>
    <w:p w:rsidR="00C20988" w:rsidRPr="00553A54" w:rsidRDefault="00C20988" w:rsidP="00444A74">
      <w:pPr>
        <w:pStyle w:val="ListParagraph"/>
        <w:ind w:left="0" w:firstLine="425"/>
        <w:jc w:val="both"/>
        <w:rPr>
          <w:sz w:val="24"/>
          <w:szCs w:val="24"/>
        </w:rPr>
      </w:pPr>
      <w:r w:rsidRPr="00553A54">
        <w:rPr>
          <w:sz w:val="24"/>
          <w:szCs w:val="24"/>
        </w:rPr>
        <w:t xml:space="preserve">Для реализации Протокольного решения по итогам заседания экспертных (рабочих) групп из Приднестровской Молдавской Республики и Республики Молдова по вопросам развития транспорта и дорожного </w:t>
      </w:r>
      <w:r w:rsidRPr="00D97042">
        <w:rPr>
          <w:sz w:val="24"/>
          <w:szCs w:val="24"/>
        </w:rPr>
        <w:t>хозяйства в отношении участия транспортных средств из Приднестровья, не осуществляющих коммерческую деятельность</w:t>
      </w:r>
      <w:r>
        <w:rPr>
          <w:sz w:val="24"/>
          <w:szCs w:val="24"/>
        </w:rPr>
        <w:t>,</w:t>
      </w:r>
      <w:r w:rsidRPr="00D97042">
        <w:rPr>
          <w:sz w:val="24"/>
          <w:szCs w:val="24"/>
        </w:rPr>
        <w:t xml:space="preserve"> в международном движении</w:t>
      </w:r>
      <w:r w:rsidRPr="00553A54">
        <w:rPr>
          <w:sz w:val="24"/>
          <w:szCs w:val="24"/>
        </w:rPr>
        <w:t xml:space="preserve"> Приднестровский республиканский банк организовал </w:t>
      </w:r>
      <w:r>
        <w:rPr>
          <w:sz w:val="24"/>
          <w:szCs w:val="24"/>
        </w:rPr>
        <w:t>механизм</w:t>
      </w:r>
      <w:r w:rsidRPr="00553A54">
        <w:rPr>
          <w:sz w:val="24"/>
          <w:szCs w:val="24"/>
        </w:rPr>
        <w:t xml:space="preserve"> оплаты услуг по регистрации транспортных средств в </w:t>
      </w:r>
      <w:r w:rsidRPr="008A059D">
        <w:rPr>
          <w:sz w:val="24"/>
          <w:szCs w:val="24"/>
        </w:rPr>
        <w:t>Пунктах регистрации транспортных средств</w:t>
      </w:r>
      <w:r w:rsidRPr="00553A54">
        <w:rPr>
          <w:sz w:val="24"/>
          <w:szCs w:val="24"/>
        </w:rPr>
        <w:t>, выступив посредником между Агентством Государственных услуг Республики Молдова и ГУП «Специальная техника и снаряжение» М</w:t>
      </w:r>
      <w:r>
        <w:rPr>
          <w:sz w:val="24"/>
          <w:szCs w:val="24"/>
        </w:rPr>
        <w:t>инистерства внутренних дел</w:t>
      </w:r>
      <w:r w:rsidRPr="00414A0B">
        <w:rPr>
          <w:sz w:val="24"/>
          <w:szCs w:val="24"/>
        </w:rPr>
        <w:t xml:space="preserve"> </w:t>
      </w:r>
      <w:r w:rsidRPr="00553A54">
        <w:rPr>
          <w:sz w:val="24"/>
          <w:szCs w:val="24"/>
        </w:rPr>
        <w:t>Приднестровской Молдавской Республики.</w:t>
      </w:r>
    </w:p>
    <w:p w:rsidR="00C20988" w:rsidRPr="00553A54" w:rsidRDefault="00C20988" w:rsidP="00444A74">
      <w:pPr>
        <w:ind w:firstLine="425"/>
        <w:jc w:val="both"/>
        <w:rPr>
          <w:sz w:val="24"/>
          <w:szCs w:val="24"/>
        </w:rPr>
      </w:pPr>
      <w:bookmarkStart w:id="4" w:name="_GoBack"/>
      <w:bookmarkEnd w:id="4"/>
      <w:r w:rsidRPr="00553A54">
        <w:rPr>
          <w:sz w:val="24"/>
          <w:szCs w:val="24"/>
        </w:rPr>
        <w:t>В 2018 году в процессе правового обеспечения деятельности Приднестровского республиканского банка рассматривались и направлялись в различные органы и организации письма разъяснительного характера и правовые заключения по вопросам, связанным с банковским законодательством, законодательством в сфере страхового дела,</w:t>
      </w:r>
      <w:r>
        <w:rPr>
          <w:sz w:val="24"/>
          <w:szCs w:val="24"/>
        </w:rPr>
        <w:t xml:space="preserve"> </w:t>
      </w:r>
      <w:r w:rsidRPr="00553A54">
        <w:rPr>
          <w:sz w:val="24"/>
          <w:szCs w:val="24"/>
        </w:rPr>
        <w:t xml:space="preserve">в том числе и по вопросам применения положений нормативных актов центрального банка. </w:t>
      </w:r>
    </w:p>
    <w:p w:rsidR="00C20988" w:rsidRDefault="00C20988" w:rsidP="00444A74">
      <w:pPr>
        <w:ind w:firstLine="425"/>
        <w:jc w:val="both"/>
        <w:rPr>
          <w:sz w:val="24"/>
          <w:szCs w:val="24"/>
        </w:rPr>
      </w:pPr>
      <w:r w:rsidRPr="00553A54">
        <w:rPr>
          <w:sz w:val="24"/>
          <w:szCs w:val="24"/>
        </w:rPr>
        <w:t xml:space="preserve">Сотрудники Приднестровского республиканского банка взаимодействовали с представителями Министерства экономического развития Приднестровской Молдавской Республики, Министерства финансов </w:t>
      </w:r>
      <w:r w:rsidRPr="00BA38DE">
        <w:rPr>
          <w:sz w:val="24"/>
          <w:szCs w:val="24"/>
        </w:rPr>
        <w:t>Приднестровской Молдавской Республики, Министерства юстиции Приднестровской Молдавской Республики, Государственной службы статистики Приднестровской Молдавской Республики, кредитных и страховых организаций по вопросам бухгалтерского учёта</w:t>
      </w:r>
      <w:r>
        <w:rPr>
          <w:sz w:val="24"/>
          <w:szCs w:val="24"/>
        </w:rPr>
        <w:t>,</w:t>
      </w:r>
      <w:r w:rsidRPr="00BA38DE">
        <w:rPr>
          <w:sz w:val="24"/>
          <w:szCs w:val="24"/>
        </w:rPr>
        <w:t xml:space="preserve"> бухгалтерской (финансовой) и статистической отчётности.</w:t>
      </w:r>
    </w:p>
    <w:p w:rsidR="00C20988" w:rsidRPr="00735F07" w:rsidRDefault="00C20988" w:rsidP="00CB084A">
      <w:pPr>
        <w:ind w:firstLine="425"/>
        <w:jc w:val="both"/>
        <w:rPr>
          <w:sz w:val="24"/>
          <w:szCs w:val="24"/>
        </w:rPr>
      </w:pPr>
      <w:r w:rsidRPr="00735F07">
        <w:rPr>
          <w:sz w:val="24"/>
          <w:szCs w:val="24"/>
        </w:rPr>
        <w:t>Кроме того, по поручениям Президента</w:t>
      </w:r>
      <w:r>
        <w:rPr>
          <w:sz w:val="24"/>
          <w:szCs w:val="24"/>
        </w:rPr>
        <w:t xml:space="preserve"> </w:t>
      </w:r>
      <w:r w:rsidRPr="00BA38DE">
        <w:rPr>
          <w:sz w:val="24"/>
          <w:szCs w:val="24"/>
        </w:rPr>
        <w:t>Приднестровской Молдавской Республики</w:t>
      </w:r>
      <w:r w:rsidRPr="00735F07">
        <w:rPr>
          <w:sz w:val="24"/>
          <w:szCs w:val="24"/>
        </w:rPr>
        <w:t xml:space="preserve"> проводилась работа с обращениями граждан. </w:t>
      </w:r>
    </w:p>
    <w:p w:rsidR="00C20988" w:rsidRDefault="00C20988" w:rsidP="00CB084A">
      <w:pPr>
        <w:widowControl w:val="0"/>
        <w:autoSpaceDE w:val="0"/>
        <w:autoSpaceDN w:val="0"/>
        <w:adjustRightInd w:val="0"/>
        <w:jc w:val="both"/>
        <w:rPr>
          <w:b/>
          <w:bCs/>
          <w:noProof/>
          <w:sz w:val="24"/>
          <w:szCs w:val="24"/>
        </w:rPr>
      </w:pPr>
    </w:p>
    <w:p w:rsidR="00C20988" w:rsidRPr="00553A54" w:rsidRDefault="00C20988" w:rsidP="0091069A">
      <w:pPr>
        <w:widowControl w:val="0"/>
        <w:autoSpaceDE w:val="0"/>
        <w:autoSpaceDN w:val="0"/>
        <w:adjustRightInd w:val="0"/>
        <w:spacing w:before="120" w:after="120"/>
        <w:jc w:val="both"/>
        <w:rPr>
          <w:sz w:val="24"/>
          <w:szCs w:val="24"/>
        </w:rPr>
      </w:pPr>
      <w:r w:rsidRPr="00553A54">
        <w:rPr>
          <w:b/>
          <w:bCs/>
          <w:noProof/>
          <w:sz w:val="24"/>
          <w:szCs w:val="24"/>
        </w:rPr>
        <w:t>2.10. ОРГАНИЗАЦИЯ ВНУТРЕННЕЙ ДЕЯТЕЛЬНОСТИ ПРИДНЕСТРОВСКОГО РЕСПУБЛИКАНСКОГО БАНКА</w:t>
      </w:r>
    </w:p>
    <w:p w:rsidR="00C20988" w:rsidRPr="00553A54" w:rsidRDefault="00C20988" w:rsidP="00444A74">
      <w:pPr>
        <w:widowControl w:val="0"/>
        <w:spacing w:before="120" w:after="120"/>
        <w:ind w:firstLine="425"/>
        <w:jc w:val="both"/>
        <w:rPr>
          <w:i/>
          <w:iCs/>
          <w:sz w:val="24"/>
          <w:szCs w:val="24"/>
        </w:rPr>
      </w:pPr>
      <w:r w:rsidRPr="00553A54">
        <w:rPr>
          <w:i/>
          <w:iCs/>
          <w:sz w:val="24"/>
          <w:szCs w:val="24"/>
        </w:rPr>
        <w:t>Организационная структура</w:t>
      </w:r>
      <w:r>
        <w:rPr>
          <w:i/>
          <w:iCs/>
          <w:sz w:val="24"/>
          <w:szCs w:val="24"/>
        </w:rPr>
        <w:t xml:space="preserve"> банка</w:t>
      </w:r>
      <w:r w:rsidRPr="00553A54">
        <w:rPr>
          <w:i/>
          <w:iCs/>
          <w:sz w:val="24"/>
          <w:szCs w:val="24"/>
        </w:rPr>
        <w:t>, кадровое обеспечение и обучение персонала</w:t>
      </w:r>
    </w:p>
    <w:p w:rsidR="00C20988" w:rsidRPr="00553A54" w:rsidRDefault="00C20988" w:rsidP="00444A74">
      <w:pPr>
        <w:ind w:firstLine="425"/>
        <w:jc w:val="both"/>
        <w:rPr>
          <w:sz w:val="24"/>
          <w:szCs w:val="24"/>
        </w:rPr>
      </w:pPr>
      <w:r w:rsidRPr="00553A54">
        <w:rPr>
          <w:sz w:val="24"/>
          <w:szCs w:val="24"/>
        </w:rPr>
        <w:t xml:space="preserve">Основными задачами в области управления персоналом Приднестровского республиканского банка являются осуществление кадрового обеспечения деятельности банка, организация труда, контроль соблюдения правил внутреннего трудового распорядка, формирование профессионального кадрового состава. </w:t>
      </w:r>
    </w:p>
    <w:p w:rsidR="00C20988" w:rsidRPr="00553A54" w:rsidRDefault="00C20988" w:rsidP="00444A74">
      <w:pPr>
        <w:ind w:firstLine="425"/>
        <w:jc w:val="both"/>
        <w:rPr>
          <w:sz w:val="24"/>
          <w:szCs w:val="24"/>
        </w:rPr>
      </w:pPr>
      <w:r w:rsidRPr="00553A54">
        <w:rPr>
          <w:sz w:val="24"/>
          <w:szCs w:val="24"/>
        </w:rPr>
        <w:t xml:space="preserve">В течение 2018 года проводились мероприятия по укомплектованию штата квалифицированными кадрами, с целью более рационального выполнения задач и функций, возложенных на Приднестровский республиканский банк, продолжалась работа по совершенствованию организационной структуры банка, планомерному реформированию структурных подразделений. Таким образом, на 1 января 2019 года в организационную структуру банка входило </w:t>
      </w:r>
      <w:r>
        <w:rPr>
          <w:sz w:val="24"/>
          <w:szCs w:val="24"/>
        </w:rPr>
        <w:t>10</w:t>
      </w:r>
      <w:r w:rsidRPr="00553A54">
        <w:rPr>
          <w:sz w:val="24"/>
          <w:szCs w:val="24"/>
        </w:rPr>
        <w:t xml:space="preserve"> управлений и </w:t>
      </w:r>
      <w:r>
        <w:rPr>
          <w:sz w:val="24"/>
          <w:szCs w:val="24"/>
        </w:rPr>
        <w:t>5</w:t>
      </w:r>
      <w:r w:rsidRPr="00553A54">
        <w:rPr>
          <w:sz w:val="24"/>
          <w:szCs w:val="24"/>
        </w:rPr>
        <w:t xml:space="preserve"> отдел</w:t>
      </w:r>
      <w:r>
        <w:rPr>
          <w:sz w:val="24"/>
          <w:szCs w:val="24"/>
        </w:rPr>
        <w:t>ов</w:t>
      </w:r>
      <w:r w:rsidRPr="00553A54">
        <w:rPr>
          <w:sz w:val="24"/>
          <w:szCs w:val="24"/>
        </w:rPr>
        <w:t xml:space="preserve"> прямого подчинения:</w:t>
      </w:r>
    </w:p>
    <w:p w:rsidR="00C20988" w:rsidRPr="00553A54" w:rsidRDefault="00C20988" w:rsidP="00556133">
      <w:pPr>
        <w:numPr>
          <w:ilvl w:val="0"/>
          <w:numId w:val="7"/>
        </w:numPr>
        <w:tabs>
          <w:tab w:val="clear" w:pos="1854"/>
          <w:tab w:val="num" w:pos="786"/>
        </w:tabs>
        <w:ind w:left="0" w:firstLine="426"/>
        <w:jc w:val="both"/>
        <w:rPr>
          <w:sz w:val="24"/>
          <w:szCs w:val="24"/>
        </w:rPr>
      </w:pPr>
      <w:r w:rsidRPr="00553A54">
        <w:rPr>
          <w:sz w:val="24"/>
          <w:szCs w:val="24"/>
        </w:rPr>
        <w:t xml:space="preserve">Управление макроэкономического анализа и регулирования денежного обращения; </w:t>
      </w:r>
    </w:p>
    <w:p w:rsidR="00C20988" w:rsidRPr="00553A54" w:rsidRDefault="00C20988" w:rsidP="00556133">
      <w:pPr>
        <w:numPr>
          <w:ilvl w:val="0"/>
          <w:numId w:val="7"/>
        </w:numPr>
        <w:tabs>
          <w:tab w:val="clear" w:pos="1854"/>
          <w:tab w:val="num" w:pos="786"/>
        </w:tabs>
        <w:ind w:left="0" w:firstLine="426"/>
        <w:jc w:val="both"/>
        <w:rPr>
          <w:sz w:val="24"/>
          <w:szCs w:val="24"/>
        </w:rPr>
      </w:pPr>
      <w:r w:rsidRPr="00553A54">
        <w:rPr>
          <w:sz w:val="24"/>
          <w:szCs w:val="24"/>
        </w:rPr>
        <w:t xml:space="preserve">Управление банковского надзора и регламентирования; </w:t>
      </w:r>
    </w:p>
    <w:p w:rsidR="00C20988" w:rsidRPr="00553A54" w:rsidRDefault="00C20988" w:rsidP="00556133">
      <w:pPr>
        <w:numPr>
          <w:ilvl w:val="0"/>
          <w:numId w:val="7"/>
        </w:numPr>
        <w:tabs>
          <w:tab w:val="clear" w:pos="1854"/>
          <w:tab w:val="num" w:pos="786"/>
        </w:tabs>
        <w:ind w:left="0" w:firstLine="426"/>
        <w:jc w:val="both"/>
        <w:rPr>
          <w:sz w:val="24"/>
          <w:szCs w:val="24"/>
        </w:rPr>
      </w:pPr>
      <w:r w:rsidRPr="00553A54">
        <w:rPr>
          <w:sz w:val="24"/>
          <w:szCs w:val="24"/>
        </w:rPr>
        <w:t>Управление валютного регулирования и контроля;</w:t>
      </w:r>
    </w:p>
    <w:p w:rsidR="00C20988" w:rsidRPr="00553A54" w:rsidRDefault="00C20988" w:rsidP="00556133">
      <w:pPr>
        <w:numPr>
          <w:ilvl w:val="0"/>
          <w:numId w:val="7"/>
        </w:numPr>
        <w:tabs>
          <w:tab w:val="clear" w:pos="1854"/>
          <w:tab w:val="num" w:pos="786"/>
        </w:tabs>
        <w:ind w:left="0" w:firstLine="426"/>
        <w:jc w:val="both"/>
        <w:rPr>
          <w:sz w:val="24"/>
          <w:szCs w:val="24"/>
        </w:rPr>
      </w:pPr>
      <w:r w:rsidRPr="00553A54">
        <w:rPr>
          <w:sz w:val="24"/>
          <w:szCs w:val="24"/>
        </w:rPr>
        <w:t>Управление операций на финансовых рынках;</w:t>
      </w:r>
    </w:p>
    <w:p w:rsidR="00C20988" w:rsidRDefault="00C20988" w:rsidP="00556133">
      <w:pPr>
        <w:numPr>
          <w:ilvl w:val="0"/>
          <w:numId w:val="7"/>
        </w:numPr>
        <w:tabs>
          <w:tab w:val="clear" w:pos="1854"/>
          <w:tab w:val="num" w:pos="786"/>
        </w:tabs>
        <w:ind w:left="0" w:firstLine="426"/>
        <w:jc w:val="both"/>
        <w:rPr>
          <w:sz w:val="24"/>
          <w:szCs w:val="24"/>
        </w:rPr>
      </w:pPr>
      <w:r w:rsidRPr="00553A54">
        <w:rPr>
          <w:sz w:val="24"/>
          <w:szCs w:val="24"/>
        </w:rPr>
        <w:t>Управление информационных технологий;</w:t>
      </w:r>
    </w:p>
    <w:p w:rsidR="00C20988" w:rsidRPr="00553A54" w:rsidRDefault="00C20988" w:rsidP="008528C2">
      <w:pPr>
        <w:numPr>
          <w:ilvl w:val="0"/>
          <w:numId w:val="7"/>
        </w:numPr>
        <w:tabs>
          <w:tab w:val="clear" w:pos="1854"/>
          <w:tab w:val="num" w:pos="786"/>
        </w:tabs>
        <w:ind w:left="851" w:hanging="425"/>
        <w:jc w:val="both"/>
        <w:rPr>
          <w:sz w:val="24"/>
          <w:szCs w:val="24"/>
        </w:rPr>
      </w:pPr>
      <w:r w:rsidRPr="00553A54">
        <w:rPr>
          <w:sz w:val="24"/>
          <w:szCs w:val="24"/>
        </w:rPr>
        <w:t xml:space="preserve">Управление методологии бухгалтерского учёта контроля и отчётности; </w:t>
      </w:r>
    </w:p>
    <w:p w:rsidR="00C20988" w:rsidRPr="00553A54" w:rsidRDefault="00C20988" w:rsidP="00556133">
      <w:pPr>
        <w:numPr>
          <w:ilvl w:val="0"/>
          <w:numId w:val="7"/>
        </w:numPr>
        <w:tabs>
          <w:tab w:val="clear" w:pos="1854"/>
          <w:tab w:val="num" w:pos="786"/>
        </w:tabs>
        <w:ind w:left="0" w:firstLine="426"/>
        <w:jc w:val="both"/>
        <w:rPr>
          <w:sz w:val="24"/>
          <w:szCs w:val="24"/>
        </w:rPr>
      </w:pPr>
      <w:r w:rsidRPr="00553A54">
        <w:rPr>
          <w:sz w:val="24"/>
          <w:szCs w:val="24"/>
        </w:rPr>
        <w:t>Правовое управление;</w:t>
      </w:r>
    </w:p>
    <w:p w:rsidR="00C20988" w:rsidRPr="00D97042" w:rsidRDefault="00C20988" w:rsidP="00D97042">
      <w:pPr>
        <w:numPr>
          <w:ilvl w:val="0"/>
          <w:numId w:val="7"/>
        </w:numPr>
        <w:tabs>
          <w:tab w:val="clear" w:pos="1854"/>
          <w:tab w:val="num" w:pos="0"/>
          <w:tab w:val="left" w:pos="798"/>
        </w:tabs>
        <w:ind w:left="0" w:firstLine="426"/>
        <w:jc w:val="both"/>
        <w:rPr>
          <w:sz w:val="24"/>
          <w:szCs w:val="24"/>
        </w:rPr>
      </w:pPr>
      <w:r w:rsidRPr="00D97042">
        <w:rPr>
          <w:sz w:val="24"/>
          <w:szCs w:val="24"/>
        </w:rPr>
        <w:t>Управление бухгалтерского учёта;</w:t>
      </w:r>
    </w:p>
    <w:p w:rsidR="00C20988" w:rsidRPr="00D97042" w:rsidRDefault="00C20988" w:rsidP="00D97042">
      <w:pPr>
        <w:numPr>
          <w:ilvl w:val="0"/>
          <w:numId w:val="7"/>
        </w:numPr>
        <w:tabs>
          <w:tab w:val="clear" w:pos="1854"/>
          <w:tab w:val="num" w:pos="0"/>
          <w:tab w:val="left" w:pos="798"/>
        </w:tabs>
        <w:ind w:left="0" w:firstLine="426"/>
        <w:jc w:val="both"/>
        <w:rPr>
          <w:sz w:val="24"/>
          <w:szCs w:val="24"/>
        </w:rPr>
      </w:pPr>
      <w:r w:rsidRPr="00D97042">
        <w:rPr>
          <w:sz w:val="24"/>
          <w:szCs w:val="24"/>
        </w:rPr>
        <w:t>Операционное управление;</w:t>
      </w:r>
    </w:p>
    <w:p w:rsidR="00C20988" w:rsidRPr="00553A54" w:rsidRDefault="00C20988" w:rsidP="00556133">
      <w:pPr>
        <w:numPr>
          <w:ilvl w:val="0"/>
          <w:numId w:val="7"/>
        </w:numPr>
        <w:tabs>
          <w:tab w:val="clear" w:pos="1854"/>
          <w:tab w:val="num" w:pos="786"/>
        </w:tabs>
        <w:ind w:left="851" w:hanging="425"/>
        <w:jc w:val="both"/>
        <w:rPr>
          <w:sz w:val="24"/>
          <w:szCs w:val="24"/>
        </w:rPr>
      </w:pPr>
      <w:r w:rsidRPr="00553A54">
        <w:rPr>
          <w:sz w:val="24"/>
          <w:szCs w:val="24"/>
        </w:rPr>
        <w:t>Управление безопасности;</w:t>
      </w:r>
    </w:p>
    <w:p w:rsidR="00C20988" w:rsidRPr="00553A54" w:rsidRDefault="00C20988" w:rsidP="00B00745">
      <w:pPr>
        <w:numPr>
          <w:ilvl w:val="0"/>
          <w:numId w:val="7"/>
        </w:numPr>
        <w:tabs>
          <w:tab w:val="clear" w:pos="1854"/>
          <w:tab w:val="num" w:pos="786"/>
        </w:tabs>
        <w:ind w:left="851" w:hanging="425"/>
        <w:jc w:val="both"/>
        <w:rPr>
          <w:sz w:val="24"/>
          <w:szCs w:val="24"/>
        </w:rPr>
      </w:pPr>
      <w:r w:rsidRPr="00553A54">
        <w:rPr>
          <w:sz w:val="24"/>
          <w:szCs w:val="24"/>
        </w:rPr>
        <w:t>Отдел обеспечения производства денежных знаков</w:t>
      </w:r>
      <w:r>
        <w:rPr>
          <w:sz w:val="24"/>
          <w:szCs w:val="24"/>
        </w:rPr>
        <w:t>;</w:t>
      </w:r>
    </w:p>
    <w:p w:rsidR="00C20988" w:rsidRPr="00BA38DE" w:rsidRDefault="00C20988" w:rsidP="00AE39DE">
      <w:pPr>
        <w:numPr>
          <w:ilvl w:val="0"/>
          <w:numId w:val="7"/>
        </w:numPr>
        <w:tabs>
          <w:tab w:val="clear" w:pos="1854"/>
          <w:tab w:val="num" w:pos="0"/>
          <w:tab w:val="left" w:pos="798"/>
        </w:tabs>
        <w:ind w:left="0" w:firstLine="426"/>
        <w:jc w:val="both"/>
        <w:rPr>
          <w:sz w:val="24"/>
          <w:szCs w:val="24"/>
        </w:rPr>
      </w:pPr>
      <w:r w:rsidRPr="00BA38DE">
        <w:rPr>
          <w:sz w:val="24"/>
          <w:szCs w:val="24"/>
        </w:rPr>
        <w:t>Отдел контроля и внутрибанковского аудита;</w:t>
      </w:r>
    </w:p>
    <w:p w:rsidR="00C20988" w:rsidRPr="00553A54" w:rsidRDefault="00C20988" w:rsidP="00556133">
      <w:pPr>
        <w:numPr>
          <w:ilvl w:val="0"/>
          <w:numId w:val="7"/>
        </w:numPr>
        <w:tabs>
          <w:tab w:val="clear" w:pos="1854"/>
          <w:tab w:val="num" w:pos="786"/>
        </w:tabs>
        <w:ind w:left="851" w:hanging="425"/>
        <w:jc w:val="both"/>
        <w:rPr>
          <w:sz w:val="24"/>
          <w:szCs w:val="24"/>
        </w:rPr>
      </w:pPr>
      <w:r w:rsidRPr="00553A54">
        <w:rPr>
          <w:sz w:val="24"/>
          <w:szCs w:val="24"/>
        </w:rPr>
        <w:t>Отдел оценки рисков;</w:t>
      </w:r>
    </w:p>
    <w:p w:rsidR="00C20988" w:rsidRPr="00553A54" w:rsidRDefault="00C20988" w:rsidP="00556133">
      <w:pPr>
        <w:numPr>
          <w:ilvl w:val="0"/>
          <w:numId w:val="7"/>
        </w:numPr>
        <w:tabs>
          <w:tab w:val="clear" w:pos="1854"/>
          <w:tab w:val="num" w:pos="786"/>
        </w:tabs>
        <w:ind w:left="851" w:hanging="425"/>
        <w:jc w:val="both"/>
        <w:rPr>
          <w:sz w:val="24"/>
          <w:szCs w:val="24"/>
        </w:rPr>
      </w:pPr>
      <w:r w:rsidRPr="00553A54">
        <w:rPr>
          <w:sz w:val="24"/>
          <w:szCs w:val="24"/>
        </w:rPr>
        <w:t>Отдел финансового мониторинга;</w:t>
      </w:r>
    </w:p>
    <w:p w:rsidR="00C20988" w:rsidRPr="00553A54" w:rsidRDefault="00C20988" w:rsidP="00556133">
      <w:pPr>
        <w:numPr>
          <w:ilvl w:val="0"/>
          <w:numId w:val="7"/>
        </w:numPr>
        <w:tabs>
          <w:tab w:val="clear" w:pos="1854"/>
          <w:tab w:val="num" w:pos="786"/>
        </w:tabs>
        <w:ind w:left="851" w:hanging="425"/>
        <w:jc w:val="both"/>
        <w:rPr>
          <w:sz w:val="24"/>
          <w:szCs w:val="24"/>
        </w:rPr>
      </w:pPr>
      <w:r w:rsidRPr="00553A54">
        <w:rPr>
          <w:sz w:val="24"/>
          <w:szCs w:val="24"/>
        </w:rPr>
        <w:t>Отдел управления персоналом и документационного обеспечения</w:t>
      </w:r>
      <w:r>
        <w:rPr>
          <w:sz w:val="24"/>
          <w:szCs w:val="24"/>
        </w:rPr>
        <w:t>.</w:t>
      </w:r>
    </w:p>
    <w:p w:rsidR="00C20988" w:rsidRPr="00553A54" w:rsidRDefault="00C20988" w:rsidP="00444A74">
      <w:pPr>
        <w:ind w:firstLine="425"/>
        <w:jc w:val="both"/>
        <w:rPr>
          <w:sz w:val="24"/>
          <w:szCs w:val="24"/>
        </w:rPr>
      </w:pPr>
      <w:r w:rsidRPr="00553A54">
        <w:rPr>
          <w:sz w:val="24"/>
          <w:szCs w:val="24"/>
        </w:rPr>
        <w:t xml:space="preserve">В 2018 году приоритетными направлениями в работе с персоналом были: </w:t>
      </w:r>
    </w:p>
    <w:p w:rsidR="00C20988" w:rsidRPr="00553A54" w:rsidRDefault="00C20988" w:rsidP="00556133">
      <w:pPr>
        <w:numPr>
          <w:ilvl w:val="0"/>
          <w:numId w:val="8"/>
        </w:numPr>
        <w:tabs>
          <w:tab w:val="clear" w:pos="1854"/>
        </w:tabs>
        <w:ind w:left="709" w:hanging="283"/>
        <w:jc w:val="both"/>
        <w:rPr>
          <w:sz w:val="24"/>
          <w:szCs w:val="24"/>
        </w:rPr>
      </w:pPr>
      <w:r w:rsidRPr="00553A54">
        <w:rPr>
          <w:sz w:val="24"/>
          <w:szCs w:val="24"/>
        </w:rPr>
        <w:t xml:space="preserve">оптимизация кадрового состава структурных подразделений банка; </w:t>
      </w:r>
    </w:p>
    <w:p w:rsidR="00C20988" w:rsidRPr="00553A54" w:rsidRDefault="00C20988" w:rsidP="00556133">
      <w:pPr>
        <w:numPr>
          <w:ilvl w:val="0"/>
          <w:numId w:val="8"/>
        </w:numPr>
        <w:tabs>
          <w:tab w:val="clear" w:pos="1854"/>
        </w:tabs>
        <w:ind w:left="0" w:firstLine="426"/>
        <w:jc w:val="both"/>
        <w:rPr>
          <w:sz w:val="24"/>
          <w:szCs w:val="24"/>
        </w:rPr>
      </w:pPr>
      <w:r w:rsidRPr="00553A54">
        <w:rPr>
          <w:sz w:val="24"/>
          <w:szCs w:val="24"/>
        </w:rPr>
        <w:t xml:space="preserve">расстановка персонала с учётом профессионализма и личностного потенциала работников; </w:t>
      </w:r>
    </w:p>
    <w:p w:rsidR="00C20988" w:rsidRPr="00553A54" w:rsidRDefault="00C20988" w:rsidP="00D97042">
      <w:pPr>
        <w:pStyle w:val="BodyTextIndent"/>
        <w:widowControl w:val="0"/>
        <w:numPr>
          <w:ilvl w:val="0"/>
          <w:numId w:val="5"/>
        </w:numPr>
        <w:tabs>
          <w:tab w:val="clear" w:pos="1531"/>
          <w:tab w:val="num" w:pos="0"/>
          <w:tab w:val="left" w:pos="742"/>
        </w:tabs>
        <w:spacing w:after="0"/>
        <w:ind w:left="0" w:firstLine="426"/>
        <w:jc w:val="both"/>
        <w:rPr>
          <w:sz w:val="24"/>
          <w:szCs w:val="24"/>
        </w:rPr>
      </w:pPr>
      <w:r w:rsidRPr="00553A54">
        <w:rPr>
          <w:sz w:val="24"/>
          <w:szCs w:val="24"/>
        </w:rPr>
        <w:t>совершенствование организационно-управленческой деятельности в подразделениях;</w:t>
      </w:r>
    </w:p>
    <w:p w:rsidR="00C20988" w:rsidRPr="00553A54" w:rsidRDefault="00C20988" w:rsidP="00556133">
      <w:pPr>
        <w:numPr>
          <w:ilvl w:val="0"/>
          <w:numId w:val="8"/>
        </w:numPr>
        <w:tabs>
          <w:tab w:val="clear" w:pos="1854"/>
        </w:tabs>
        <w:ind w:left="709" w:hanging="283"/>
        <w:jc w:val="both"/>
        <w:rPr>
          <w:sz w:val="24"/>
          <w:szCs w:val="24"/>
        </w:rPr>
      </w:pPr>
      <w:r w:rsidRPr="00553A54">
        <w:rPr>
          <w:sz w:val="24"/>
          <w:szCs w:val="24"/>
        </w:rPr>
        <w:t>разработка и совершенствование организационной структуры, её оптимизация;</w:t>
      </w:r>
    </w:p>
    <w:p w:rsidR="00C20988" w:rsidRDefault="00C20988" w:rsidP="00556133">
      <w:pPr>
        <w:numPr>
          <w:ilvl w:val="0"/>
          <w:numId w:val="8"/>
        </w:numPr>
        <w:tabs>
          <w:tab w:val="clear" w:pos="1854"/>
        </w:tabs>
        <w:ind w:left="709" w:hanging="283"/>
        <w:jc w:val="both"/>
        <w:rPr>
          <w:sz w:val="24"/>
          <w:szCs w:val="24"/>
        </w:rPr>
      </w:pPr>
      <w:r w:rsidRPr="00553A54">
        <w:rPr>
          <w:sz w:val="24"/>
          <w:szCs w:val="24"/>
        </w:rPr>
        <w:t>повышение эффективности труда</w:t>
      </w:r>
      <w:r>
        <w:rPr>
          <w:sz w:val="24"/>
          <w:szCs w:val="24"/>
        </w:rPr>
        <w:t>.</w:t>
      </w:r>
    </w:p>
    <w:p w:rsidR="00C20988" w:rsidRPr="00553A54" w:rsidRDefault="00C20988" w:rsidP="0091069A">
      <w:pPr>
        <w:ind w:firstLine="426"/>
        <w:jc w:val="both"/>
        <w:rPr>
          <w:sz w:val="24"/>
          <w:szCs w:val="24"/>
        </w:rPr>
      </w:pPr>
      <w:r w:rsidRPr="00553A54">
        <w:rPr>
          <w:sz w:val="24"/>
          <w:szCs w:val="24"/>
        </w:rPr>
        <w:t xml:space="preserve">Важным направлением повышения профессионального уровня персонала банка и совершенствования работы структурных подразделений являлись консультации, проводимые со специалистами Центрального банка Российской Федерации по различным </w:t>
      </w:r>
      <w:r>
        <w:rPr>
          <w:sz w:val="24"/>
          <w:szCs w:val="24"/>
        </w:rPr>
        <w:t>аспектам</w:t>
      </w:r>
      <w:r w:rsidRPr="00553A54">
        <w:rPr>
          <w:sz w:val="24"/>
          <w:szCs w:val="24"/>
        </w:rPr>
        <w:t xml:space="preserve"> деятельности.</w:t>
      </w:r>
      <w:r>
        <w:rPr>
          <w:sz w:val="24"/>
          <w:szCs w:val="24"/>
        </w:rPr>
        <w:t xml:space="preserve"> </w:t>
      </w:r>
    </w:p>
    <w:p w:rsidR="00C20988" w:rsidRPr="00553A54" w:rsidRDefault="00C20988" w:rsidP="0091069A">
      <w:pPr>
        <w:ind w:firstLine="425"/>
        <w:jc w:val="both"/>
        <w:rPr>
          <w:color w:val="000000"/>
          <w:sz w:val="24"/>
          <w:szCs w:val="24"/>
        </w:rPr>
      </w:pPr>
      <w:r w:rsidRPr="00553A54">
        <w:rPr>
          <w:color w:val="000000"/>
          <w:sz w:val="24"/>
          <w:szCs w:val="24"/>
        </w:rPr>
        <w:t xml:space="preserve">Общая численность работающих в </w:t>
      </w:r>
      <w:r>
        <w:rPr>
          <w:color w:val="000000"/>
          <w:sz w:val="24"/>
          <w:szCs w:val="24"/>
        </w:rPr>
        <w:t xml:space="preserve">Приднестровском республиканском </w:t>
      </w:r>
      <w:r w:rsidRPr="00553A54">
        <w:rPr>
          <w:color w:val="000000"/>
          <w:sz w:val="24"/>
          <w:szCs w:val="24"/>
        </w:rPr>
        <w:t>банке на</w:t>
      </w:r>
      <w:r>
        <w:rPr>
          <w:color w:val="000000"/>
          <w:sz w:val="24"/>
          <w:szCs w:val="24"/>
        </w:rPr>
        <w:t xml:space="preserve"> 1 января 2019 года составила </w:t>
      </w:r>
      <w:r w:rsidRPr="00553A54">
        <w:rPr>
          <w:color w:val="000000"/>
          <w:sz w:val="24"/>
          <w:szCs w:val="24"/>
        </w:rPr>
        <w:t>19</w:t>
      </w:r>
      <w:r>
        <w:rPr>
          <w:color w:val="000000"/>
          <w:sz w:val="24"/>
          <w:szCs w:val="24"/>
        </w:rPr>
        <w:t>6 человек</w:t>
      </w:r>
      <w:r w:rsidRPr="00553A54">
        <w:rPr>
          <w:color w:val="000000"/>
          <w:sz w:val="24"/>
          <w:szCs w:val="24"/>
        </w:rPr>
        <w:t xml:space="preserve">. </w:t>
      </w:r>
      <w:r>
        <w:rPr>
          <w:color w:val="000000"/>
          <w:sz w:val="24"/>
          <w:szCs w:val="24"/>
        </w:rPr>
        <w:t>У</w:t>
      </w:r>
      <w:r w:rsidRPr="00553A54">
        <w:rPr>
          <w:color w:val="000000"/>
          <w:sz w:val="24"/>
          <w:szCs w:val="24"/>
        </w:rPr>
        <w:t xml:space="preserve"> 19,7% сотрудников стаж работы в банке составляет более 20 лет, у 15,0% </w:t>
      </w:r>
      <w:r>
        <w:rPr>
          <w:color w:val="000000"/>
          <w:sz w:val="24"/>
          <w:szCs w:val="24"/>
        </w:rPr>
        <w:t xml:space="preserve">– от 15 </w:t>
      </w:r>
      <w:r w:rsidRPr="00553A54">
        <w:rPr>
          <w:color w:val="000000"/>
          <w:sz w:val="24"/>
          <w:szCs w:val="24"/>
        </w:rPr>
        <w:t>до 20 лет, у 27,7</w:t>
      </w:r>
      <w:r>
        <w:rPr>
          <w:color w:val="000000"/>
          <w:sz w:val="24"/>
          <w:szCs w:val="24"/>
        </w:rPr>
        <w:t xml:space="preserve">% – от 10 до </w:t>
      </w:r>
      <w:r w:rsidRPr="00553A54">
        <w:rPr>
          <w:color w:val="000000"/>
          <w:sz w:val="24"/>
          <w:szCs w:val="24"/>
        </w:rPr>
        <w:t xml:space="preserve">15 лет, у 16,2% </w:t>
      </w:r>
      <w:r>
        <w:rPr>
          <w:color w:val="000000"/>
          <w:sz w:val="24"/>
          <w:szCs w:val="24"/>
        </w:rPr>
        <w:t>–</w:t>
      </w:r>
      <w:r w:rsidRPr="00553A54">
        <w:rPr>
          <w:color w:val="000000"/>
          <w:sz w:val="24"/>
          <w:szCs w:val="24"/>
        </w:rPr>
        <w:t xml:space="preserve"> от 5 до 10 лет и у 21,4% </w:t>
      </w:r>
      <w:r>
        <w:rPr>
          <w:color w:val="000000"/>
          <w:sz w:val="24"/>
          <w:szCs w:val="24"/>
        </w:rPr>
        <w:t>–</w:t>
      </w:r>
      <w:r w:rsidRPr="00553A54">
        <w:rPr>
          <w:color w:val="000000"/>
          <w:sz w:val="24"/>
          <w:szCs w:val="24"/>
        </w:rPr>
        <w:t xml:space="preserve"> менее 5 лет.</w:t>
      </w:r>
    </w:p>
    <w:p w:rsidR="00C20988" w:rsidRPr="00553A54" w:rsidRDefault="00C20988" w:rsidP="0091069A">
      <w:pPr>
        <w:widowControl w:val="0"/>
        <w:spacing w:before="120" w:after="120"/>
        <w:ind w:firstLine="425"/>
        <w:jc w:val="both"/>
        <w:rPr>
          <w:i/>
          <w:iCs/>
          <w:sz w:val="24"/>
          <w:szCs w:val="24"/>
        </w:rPr>
      </w:pPr>
      <w:r w:rsidRPr="00F42BBD">
        <w:rPr>
          <w:i/>
          <w:iCs/>
          <w:sz w:val="24"/>
          <w:szCs w:val="24"/>
        </w:rPr>
        <w:t>Техническое обеспечение</w:t>
      </w:r>
    </w:p>
    <w:p w:rsidR="00C20988" w:rsidRPr="00553A54" w:rsidRDefault="00C20988" w:rsidP="0091069A">
      <w:pPr>
        <w:ind w:firstLine="426"/>
        <w:jc w:val="both"/>
        <w:rPr>
          <w:sz w:val="24"/>
          <w:szCs w:val="24"/>
        </w:rPr>
      </w:pPr>
      <w:r w:rsidRPr="00553A54">
        <w:rPr>
          <w:sz w:val="24"/>
          <w:szCs w:val="24"/>
        </w:rPr>
        <w:t>В</w:t>
      </w:r>
      <w:r>
        <w:rPr>
          <w:sz w:val="24"/>
          <w:szCs w:val="24"/>
        </w:rPr>
        <w:t xml:space="preserve"> части технического обеспечения деятельности Приднестровского республиканского банка в</w:t>
      </w:r>
      <w:r w:rsidRPr="00553A54">
        <w:rPr>
          <w:sz w:val="24"/>
          <w:szCs w:val="24"/>
        </w:rPr>
        <w:t xml:space="preserve"> отчётном году завершены работы по обновлению компьютерного парка Приднестровского республиканского банка. Также был проведён ряд запланированных м</w:t>
      </w:r>
      <w:r>
        <w:rPr>
          <w:sz w:val="24"/>
          <w:szCs w:val="24"/>
        </w:rPr>
        <w:t>ероприятий в рамках исполнения П</w:t>
      </w:r>
      <w:r w:rsidRPr="00553A54">
        <w:rPr>
          <w:sz w:val="24"/>
          <w:szCs w:val="24"/>
        </w:rPr>
        <w:t xml:space="preserve">рограммы модернизации сетевой и информационной инфраструктуры ПРБ </w:t>
      </w:r>
      <w:r>
        <w:rPr>
          <w:sz w:val="24"/>
          <w:szCs w:val="24"/>
        </w:rPr>
        <w:t>(</w:t>
      </w:r>
      <w:r w:rsidRPr="00553A54">
        <w:rPr>
          <w:sz w:val="24"/>
          <w:szCs w:val="24"/>
        </w:rPr>
        <w:t xml:space="preserve">далее </w:t>
      </w:r>
      <w:r>
        <w:rPr>
          <w:sz w:val="24"/>
          <w:szCs w:val="24"/>
        </w:rPr>
        <w:t xml:space="preserve">– </w:t>
      </w:r>
      <w:r w:rsidRPr="00553A54">
        <w:rPr>
          <w:sz w:val="24"/>
          <w:szCs w:val="24"/>
        </w:rPr>
        <w:t>программа)</w:t>
      </w:r>
      <w:r>
        <w:rPr>
          <w:sz w:val="24"/>
          <w:szCs w:val="24"/>
        </w:rPr>
        <w:t xml:space="preserve">, разработанной на </w:t>
      </w:r>
      <w:r w:rsidRPr="00553A54">
        <w:rPr>
          <w:sz w:val="24"/>
          <w:szCs w:val="24"/>
        </w:rPr>
        <w:t xml:space="preserve">2017-2019 гг. Разработка и реализация данной программы является одной из приоритетных задач, поскольку серверное и коммутационное оборудование эксплуатируется на протяжении длительного срока (от </w:t>
      </w:r>
      <w:r w:rsidRPr="00B00745">
        <w:rPr>
          <w:sz w:val="24"/>
          <w:szCs w:val="24"/>
        </w:rPr>
        <w:t>7 до 15 лет), физически и морально устарело.</w:t>
      </w:r>
    </w:p>
    <w:p w:rsidR="00C20988" w:rsidRDefault="00C20988" w:rsidP="0091069A">
      <w:pPr>
        <w:ind w:firstLine="426"/>
        <w:jc w:val="both"/>
        <w:rPr>
          <w:sz w:val="24"/>
          <w:szCs w:val="24"/>
        </w:rPr>
      </w:pPr>
      <w:r w:rsidRPr="00553A54">
        <w:rPr>
          <w:sz w:val="24"/>
          <w:szCs w:val="24"/>
        </w:rPr>
        <w:t xml:space="preserve">В течение 2018 года </w:t>
      </w:r>
      <w:r>
        <w:rPr>
          <w:sz w:val="24"/>
          <w:szCs w:val="24"/>
        </w:rPr>
        <w:t>специалистами ПРБ</w:t>
      </w:r>
      <w:r w:rsidRPr="00553A54">
        <w:rPr>
          <w:sz w:val="24"/>
          <w:szCs w:val="24"/>
        </w:rPr>
        <w:t xml:space="preserve"> проводились работы по введению в эксплуатацию двух сетевых устройств дискового хранения данных как части системы резервного копирования информационных ресурсов. Завершение работ по созданию системы резервирования информационных ресурсов запланировано на 2019 год, после замены и модернизации серверного оборудования в рамках исполнения программы.</w:t>
      </w:r>
    </w:p>
    <w:p w:rsidR="00C20988" w:rsidRPr="000D36D0" w:rsidRDefault="00C20988" w:rsidP="008E3FFA">
      <w:pPr>
        <w:ind w:firstLine="425"/>
        <w:jc w:val="both"/>
        <w:rPr>
          <w:sz w:val="24"/>
          <w:szCs w:val="24"/>
        </w:rPr>
      </w:pPr>
      <w:r w:rsidRPr="000D36D0">
        <w:rPr>
          <w:sz w:val="24"/>
          <w:szCs w:val="24"/>
        </w:rPr>
        <w:t xml:space="preserve">В рамках программы по развитию и совершенствованию СОИС </w:t>
      </w:r>
      <w:r w:rsidRPr="000D36D0">
        <w:rPr>
          <w:bCs/>
          <w:sz w:val="24"/>
          <w:szCs w:val="24"/>
        </w:rPr>
        <w:t xml:space="preserve">и программного комплекса </w:t>
      </w:r>
      <w:r w:rsidRPr="000D36D0">
        <w:rPr>
          <w:sz w:val="24"/>
          <w:szCs w:val="24"/>
        </w:rPr>
        <w:t>«Банк-Клиент», являющегося надстройкой над СОИС, в отчётном году специалистами центрального банка проводились следующие мероприятия:</w:t>
      </w:r>
    </w:p>
    <w:p w:rsidR="00C20988" w:rsidRPr="000D36D0" w:rsidRDefault="00C20988" w:rsidP="008E3FFA">
      <w:pPr>
        <w:pStyle w:val="ListParagraph"/>
        <w:numPr>
          <w:ilvl w:val="0"/>
          <w:numId w:val="47"/>
        </w:numPr>
        <w:ind w:left="0" w:firstLine="425"/>
        <w:jc w:val="both"/>
        <w:rPr>
          <w:sz w:val="24"/>
          <w:szCs w:val="24"/>
        </w:rPr>
      </w:pPr>
      <w:r>
        <w:rPr>
          <w:sz w:val="24"/>
          <w:szCs w:val="24"/>
        </w:rPr>
        <w:t>р</w:t>
      </w:r>
      <w:r w:rsidRPr="000D36D0">
        <w:rPr>
          <w:sz w:val="24"/>
          <w:szCs w:val="24"/>
        </w:rPr>
        <w:t>езервирование и обеспечение отказоустойчивости коммуникационной сети ПРБ;</w:t>
      </w:r>
    </w:p>
    <w:p w:rsidR="00C20988" w:rsidRPr="000D36D0" w:rsidRDefault="00C20988" w:rsidP="008E3FFA">
      <w:pPr>
        <w:pStyle w:val="ListParagraph"/>
        <w:numPr>
          <w:ilvl w:val="0"/>
          <w:numId w:val="47"/>
        </w:numPr>
        <w:ind w:left="0" w:firstLine="425"/>
        <w:jc w:val="both"/>
        <w:rPr>
          <w:sz w:val="24"/>
          <w:szCs w:val="24"/>
        </w:rPr>
      </w:pPr>
      <w:r>
        <w:rPr>
          <w:sz w:val="24"/>
          <w:szCs w:val="24"/>
        </w:rPr>
        <w:t>з</w:t>
      </w:r>
      <w:r w:rsidRPr="000D36D0">
        <w:rPr>
          <w:sz w:val="24"/>
          <w:szCs w:val="24"/>
        </w:rPr>
        <w:t>амена и модернизация систем дискового хранения данных (работы будут продолжены в 2019 году);</w:t>
      </w:r>
    </w:p>
    <w:p w:rsidR="00C20988" w:rsidRPr="000D36D0" w:rsidRDefault="00C20988" w:rsidP="008E3FFA">
      <w:pPr>
        <w:pStyle w:val="ListParagraph"/>
        <w:numPr>
          <w:ilvl w:val="0"/>
          <w:numId w:val="47"/>
        </w:numPr>
        <w:ind w:left="0" w:firstLine="425"/>
        <w:jc w:val="both"/>
        <w:rPr>
          <w:sz w:val="24"/>
          <w:szCs w:val="24"/>
        </w:rPr>
      </w:pPr>
      <w:r>
        <w:rPr>
          <w:bCs/>
          <w:sz w:val="24"/>
          <w:szCs w:val="24"/>
        </w:rPr>
        <w:t>о</w:t>
      </w:r>
      <w:r w:rsidRPr="000D36D0">
        <w:rPr>
          <w:bCs/>
          <w:sz w:val="24"/>
          <w:szCs w:val="24"/>
        </w:rPr>
        <w:t xml:space="preserve">рганизация виртуальной приватной сети для обеспечения надёжного, защищённого, изолированного от глобальной сети </w:t>
      </w:r>
      <w:r w:rsidRPr="000D36D0">
        <w:rPr>
          <w:bCs/>
          <w:sz w:val="24"/>
          <w:szCs w:val="24"/>
          <w:lang w:val="en-US"/>
        </w:rPr>
        <w:t>Internet</w:t>
      </w:r>
      <w:r w:rsidRPr="000D36D0">
        <w:rPr>
          <w:bCs/>
          <w:sz w:val="24"/>
          <w:szCs w:val="24"/>
        </w:rPr>
        <w:t xml:space="preserve"> транспортного канала, служащего для передачи электронных данных через СОИС и её программных надстроек.</w:t>
      </w:r>
    </w:p>
    <w:p w:rsidR="00C20988" w:rsidRPr="000D36D0" w:rsidRDefault="00C20988" w:rsidP="008E3FFA">
      <w:pPr>
        <w:ind w:firstLine="425"/>
        <w:jc w:val="both"/>
        <w:rPr>
          <w:spacing w:val="20"/>
          <w:sz w:val="24"/>
          <w:szCs w:val="24"/>
        </w:rPr>
      </w:pPr>
      <w:r w:rsidRPr="000D36D0">
        <w:rPr>
          <w:sz w:val="24"/>
          <w:szCs w:val="24"/>
        </w:rPr>
        <w:t>Все вышеперечисленные мероприятия нацелены на обеспечение бесперебойности в работе и надёжности хранения пользовательских и служебных баз данных СОИС и её надстроек.</w:t>
      </w:r>
    </w:p>
    <w:p w:rsidR="00C20988" w:rsidRPr="000D36D0" w:rsidRDefault="00C20988" w:rsidP="008E3FFA">
      <w:pPr>
        <w:autoSpaceDE w:val="0"/>
        <w:autoSpaceDN w:val="0"/>
        <w:adjustRightInd w:val="0"/>
        <w:ind w:firstLine="425"/>
        <w:jc w:val="both"/>
        <w:rPr>
          <w:bCs/>
          <w:sz w:val="24"/>
          <w:szCs w:val="24"/>
        </w:rPr>
      </w:pPr>
      <w:r w:rsidRPr="000D36D0">
        <w:rPr>
          <w:bCs/>
          <w:sz w:val="24"/>
          <w:szCs w:val="24"/>
        </w:rPr>
        <w:t>Для передачи информации и платёжных документов в рамках разработанного Приднестровским республиканским банком программного обеспечения используется Сеть передачи данных межведомственного электронного взаимодействия Приднестровской Молдавской Республики Государственной службы связи, которая обеспечивает целостность и конфиденциальность передаваемой информации. В случае, если у клиента отсутствует точка доступа к данной сети, электронное взаимодействие с банком возможно через указанный канал связи вышестоящей организации либо через организованную Приднестровским республиканским банком виртуальную локальную сеть, соответствующую всем необходимым требованиям безопасности и конфиденциальности передачи данных.</w:t>
      </w:r>
    </w:p>
    <w:p w:rsidR="00C20988" w:rsidRPr="00553A54" w:rsidRDefault="00C20988" w:rsidP="0027181C">
      <w:pPr>
        <w:widowControl w:val="0"/>
        <w:spacing w:before="240" w:after="120"/>
        <w:ind w:firstLine="425"/>
        <w:jc w:val="both"/>
        <w:rPr>
          <w:i/>
          <w:iCs/>
          <w:sz w:val="24"/>
          <w:szCs w:val="24"/>
        </w:rPr>
      </w:pPr>
      <w:r w:rsidRPr="0031173B">
        <w:rPr>
          <w:i/>
          <w:iCs/>
          <w:sz w:val="24"/>
          <w:szCs w:val="24"/>
        </w:rPr>
        <w:t>Совершенствование законодательства. Претензионно</w:t>
      </w:r>
      <w:r w:rsidRPr="00553A54">
        <w:rPr>
          <w:i/>
          <w:iCs/>
          <w:sz w:val="24"/>
          <w:szCs w:val="24"/>
        </w:rPr>
        <w:t>-исковая работа</w:t>
      </w:r>
    </w:p>
    <w:p w:rsidR="00C20988" w:rsidRPr="00553A54" w:rsidRDefault="00C20988" w:rsidP="00C2298F">
      <w:pPr>
        <w:autoSpaceDE w:val="0"/>
        <w:autoSpaceDN w:val="0"/>
        <w:adjustRightInd w:val="0"/>
        <w:ind w:firstLine="425"/>
        <w:jc w:val="both"/>
        <w:rPr>
          <w:sz w:val="24"/>
          <w:szCs w:val="24"/>
        </w:rPr>
      </w:pPr>
      <w:r w:rsidRPr="00553A54">
        <w:rPr>
          <w:sz w:val="24"/>
          <w:szCs w:val="24"/>
        </w:rPr>
        <w:t>В целях правового обеспечени</w:t>
      </w:r>
      <w:r>
        <w:rPr>
          <w:sz w:val="24"/>
          <w:szCs w:val="24"/>
        </w:rPr>
        <w:t>я</w:t>
      </w:r>
      <w:r w:rsidRPr="00553A54">
        <w:rPr>
          <w:sz w:val="24"/>
          <w:szCs w:val="24"/>
        </w:rPr>
        <w:t xml:space="preserve"> деятельности в 2018 году Приднестровским</w:t>
      </w:r>
      <w:r>
        <w:rPr>
          <w:sz w:val="24"/>
          <w:szCs w:val="24"/>
        </w:rPr>
        <w:t xml:space="preserve"> </w:t>
      </w:r>
      <w:r w:rsidRPr="00553A54">
        <w:rPr>
          <w:sz w:val="24"/>
          <w:szCs w:val="24"/>
        </w:rPr>
        <w:t>республиканским банком проводилась работа по совершенствованию банковского законодательства, законодательства в сфере противодействия</w:t>
      </w:r>
      <w:r>
        <w:rPr>
          <w:sz w:val="24"/>
          <w:szCs w:val="24"/>
        </w:rPr>
        <w:t xml:space="preserve"> </w:t>
      </w:r>
      <w:r w:rsidRPr="00553A54">
        <w:rPr>
          <w:sz w:val="24"/>
          <w:szCs w:val="24"/>
        </w:rPr>
        <w:t xml:space="preserve">легализации (отмыванию) доходов, полученных преступным путём, и финансированию терроризма, а также в сфере страховой деятельности (страхового дела) </w:t>
      </w:r>
      <w:r w:rsidRPr="00BF1F7C">
        <w:rPr>
          <w:sz w:val="24"/>
          <w:szCs w:val="24"/>
        </w:rPr>
        <w:t>и валютного контроля и регулирования.</w:t>
      </w:r>
      <w:r>
        <w:rPr>
          <w:sz w:val="24"/>
          <w:szCs w:val="24"/>
        </w:rPr>
        <w:t xml:space="preserve"> </w:t>
      </w:r>
    </w:p>
    <w:p w:rsidR="00C20988" w:rsidRPr="000D36D0" w:rsidRDefault="00C20988" w:rsidP="00C2298F">
      <w:pPr>
        <w:widowControl w:val="0"/>
        <w:ind w:firstLine="425"/>
        <w:jc w:val="both"/>
        <w:rPr>
          <w:sz w:val="24"/>
          <w:szCs w:val="24"/>
        </w:rPr>
      </w:pPr>
      <w:r w:rsidRPr="00553A54">
        <w:rPr>
          <w:sz w:val="24"/>
          <w:szCs w:val="24"/>
        </w:rPr>
        <w:t>Проводим</w:t>
      </w:r>
      <w:r>
        <w:rPr>
          <w:sz w:val="24"/>
          <w:szCs w:val="24"/>
        </w:rPr>
        <w:t>ые мероприятия</w:t>
      </w:r>
      <w:r w:rsidRPr="00553A54">
        <w:rPr>
          <w:sz w:val="24"/>
          <w:szCs w:val="24"/>
        </w:rPr>
        <w:t xml:space="preserve"> выражал</w:t>
      </w:r>
      <w:r>
        <w:rPr>
          <w:sz w:val="24"/>
          <w:szCs w:val="24"/>
        </w:rPr>
        <w:t>и</w:t>
      </w:r>
      <w:r w:rsidRPr="00553A54">
        <w:rPr>
          <w:sz w:val="24"/>
          <w:szCs w:val="24"/>
        </w:rPr>
        <w:t xml:space="preserve">сь в разработке законодательных актов, в подготовке правовых заключений на законодательные акты, затрагивающие </w:t>
      </w:r>
      <w:r>
        <w:rPr>
          <w:sz w:val="24"/>
          <w:szCs w:val="24"/>
        </w:rPr>
        <w:t>перечисленные сферы</w:t>
      </w:r>
      <w:r w:rsidRPr="00553A54">
        <w:rPr>
          <w:sz w:val="24"/>
          <w:szCs w:val="24"/>
        </w:rPr>
        <w:t>,</w:t>
      </w:r>
      <w:r>
        <w:rPr>
          <w:sz w:val="24"/>
          <w:szCs w:val="24"/>
        </w:rPr>
        <w:t xml:space="preserve"> а также</w:t>
      </w:r>
      <w:r w:rsidRPr="00553A54">
        <w:rPr>
          <w:sz w:val="24"/>
          <w:szCs w:val="24"/>
        </w:rPr>
        <w:t xml:space="preserve"> в п</w:t>
      </w:r>
      <w:r>
        <w:rPr>
          <w:sz w:val="24"/>
          <w:szCs w:val="24"/>
        </w:rPr>
        <w:t>ринятии новых нормативных актов</w:t>
      </w:r>
      <w:r w:rsidRPr="00553A54">
        <w:rPr>
          <w:sz w:val="24"/>
          <w:szCs w:val="24"/>
        </w:rPr>
        <w:t xml:space="preserve"> Приднестровск</w:t>
      </w:r>
      <w:r>
        <w:rPr>
          <w:sz w:val="24"/>
          <w:szCs w:val="24"/>
        </w:rPr>
        <w:t>ого</w:t>
      </w:r>
      <w:r w:rsidRPr="00553A54">
        <w:rPr>
          <w:sz w:val="24"/>
          <w:szCs w:val="24"/>
        </w:rPr>
        <w:t xml:space="preserve"> республиканск</w:t>
      </w:r>
      <w:r>
        <w:rPr>
          <w:sz w:val="24"/>
          <w:szCs w:val="24"/>
        </w:rPr>
        <w:t xml:space="preserve">ого </w:t>
      </w:r>
      <w:r w:rsidRPr="000D36D0">
        <w:rPr>
          <w:sz w:val="24"/>
          <w:szCs w:val="24"/>
        </w:rPr>
        <w:t>банка.</w:t>
      </w:r>
    </w:p>
    <w:p w:rsidR="00C20988" w:rsidRPr="000D36D0" w:rsidRDefault="00C20988" w:rsidP="00C2298F">
      <w:pPr>
        <w:ind w:firstLine="425"/>
        <w:jc w:val="both"/>
        <w:rPr>
          <w:sz w:val="24"/>
          <w:szCs w:val="24"/>
        </w:rPr>
      </w:pPr>
      <w:r w:rsidRPr="000D36D0">
        <w:rPr>
          <w:sz w:val="24"/>
          <w:szCs w:val="24"/>
        </w:rPr>
        <w:t>Всего за отчётный год Приднестровским республиканским банком было разработано и (или) согласовано 30 проектов Распоряжений Правительства Приднестровской Молдавской Республики, 2 проекта Закона Приднестровской Молдавской Республики, 1 проект Указа Президента Приднестровской Молдавской Республики, 21 проект Постановлений Правительства Приднестровской Молдавской Республики.</w:t>
      </w:r>
    </w:p>
    <w:p w:rsidR="00C20988" w:rsidRPr="000D36D0" w:rsidRDefault="00C20988" w:rsidP="00C2298F">
      <w:pPr>
        <w:ind w:firstLine="425"/>
        <w:jc w:val="both"/>
        <w:rPr>
          <w:sz w:val="24"/>
          <w:szCs w:val="24"/>
        </w:rPr>
      </w:pPr>
      <w:r w:rsidRPr="000D36D0">
        <w:rPr>
          <w:sz w:val="24"/>
          <w:szCs w:val="24"/>
        </w:rPr>
        <w:t xml:space="preserve">В установленном порядке проводилась работа по рассмотрению принятых Верховным Советом Приднестровской Молдавской Республики законодательных актов, затрагивающих компетенцию центрального банка, перед подписанием их Президентом Приднестровской Молдавской Республики. </w:t>
      </w:r>
    </w:p>
    <w:p w:rsidR="00C20988" w:rsidRPr="000D36D0" w:rsidRDefault="00C20988" w:rsidP="00C2298F">
      <w:pPr>
        <w:ind w:firstLine="425"/>
        <w:jc w:val="both"/>
        <w:rPr>
          <w:sz w:val="24"/>
          <w:szCs w:val="24"/>
        </w:rPr>
      </w:pPr>
      <w:r w:rsidRPr="000D36D0">
        <w:rPr>
          <w:sz w:val="24"/>
          <w:szCs w:val="24"/>
        </w:rPr>
        <w:t>Принималось активное участие в разработке проектов законодательных актов о центральном банке ПМР, о банках и банковской деятельности в ПМР, об ОСАГО, об организации страхового дела, проектов нормативных документов, регулирующих бухгалтерский учёт субъектов страхового дела.</w:t>
      </w:r>
    </w:p>
    <w:p w:rsidR="00C20988" w:rsidRPr="00553A54" w:rsidRDefault="00C20988" w:rsidP="00C2298F">
      <w:pPr>
        <w:ind w:firstLine="425"/>
        <w:jc w:val="both"/>
        <w:rPr>
          <w:sz w:val="24"/>
          <w:szCs w:val="24"/>
        </w:rPr>
      </w:pPr>
      <w:r w:rsidRPr="000D36D0">
        <w:rPr>
          <w:sz w:val="24"/>
          <w:szCs w:val="24"/>
        </w:rPr>
        <w:t>В ходе реализации запланированных мероприятий по созданию и внедрению системы</w:t>
      </w:r>
      <w:r w:rsidRPr="00553A54">
        <w:rPr>
          <w:sz w:val="24"/>
          <w:szCs w:val="24"/>
        </w:rPr>
        <w:t xml:space="preserve"> электронного взаимодействия банковской системы и Государственного таможенного комитета Приднестровской Молдавской Республики был разработан и принят ряд нормативных актов, определяющих порядок присвоения идентификационного номера и банковского кода контракта, порядок </w:t>
      </w:r>
      <w:r w:rsidRPr="00553A54">
        <w:rPr>
          <w:color w:val="000000"/>
          <w:sz w:val="24"/>
          <w:szCs w:val="24"/>
        </w:rPr>
        <w:t xml:space="preserve">электронного обмена данными </w:t>
      </w:r>
      <w:r w:rsidRPr="00553A54">
        <w:rPr>
          <w:sz w:val="24"/>
          <w:szCs w:val="24"/>
        </w:rPr>
        <w:t>между Государственным таможенным комитетом Приднестровской Молдавской Республики и Приднестровским республиканским банком,</w:t>
      </w:r>
      <w:r w:rsidRPr="00553A54">
        <w:rPr>
          <w:color w:val="000000"/>
          <w:sz w:val="24"/>
          <w:szCs w:val="24"/>
        </w:rPr>
        <w:t xml:space="preserve"> </w:t>
      </w:r>
      <w:r w:rsidRPr="00553A54">
        <w:rPr>
          <w:sz w:val="24"/>
          <w:szCs w:val="24"/>
        </w:rPr>
        <w:t xml:space="preserve">порядок осуществления </w:t>
      </w:r>
      <w:r w:rsidRPr="00553A54">
        <w:rPr>
          <w:color w:val="000000"/>
          <w:sz w:val="24"/>
          <w:szCs w:val="24"/>
        </w:rPr>
        <w:t xml:space="preserve">валютного контроля за репатриацией валютных средств </w:t>
      </w:r>
      <w:r w:rsidRPr="00553A54">
        <w:rPr>
          <w:sz w:val="24"/>
          <w:szCs w:val="24"/>
        </w:rPr>
        <w:t xml:space="preserve">при </w:t>
      </w:r>
      <w:r w:rsidRPr="00553A54">
        <w:rPr>
          <w:color w:val="000000"/>
          <w:sz w:val="24"/>
          <w:szCs w:val="24"/>
        </w:rPr>
        <w:t xml:space="preserve">экспорте товаров из </w:t>
      </w:r>
      <w:r w:rsidRPr="00553A54">
        <w:rPr>
          <w:sz w:val="24"/>
          <w:szCs w:val="24"/>
        </w:rPr>
        <w:t>Приднестровской Молдавской Республики</w:t>
      </w:r>
      <w:r w:rsidRPr="00553A54">
        <w:rPr>
          <w:color w:val="000000"/>
          <w:sz w:val="24"/>
          <w:szCs w:val="24"/>
        </w:rPr>
        <w:t>.</w:t>
      </w:r>
    </w:p>
    <w:p w:rsidR="00C20988" w:rsidRDefault="00C20988" w:rsidP="005359E3">
      <w:pPr>
        <w:autoSpaceDE w:val="0"/>
        <w:autoSpaceDN w:val="0"/>
        <w:adjustRightInd w:val="0"/>
        <w:ind w:firstLine="425"/>
        <w:jc w:val="both"/>
        <w:rPr>
          <w:sz w:val="24"/>
          <w:szCs w:val="24"/>
        </w:rPr>
      </w:pPr>
      <w:r w:rsidRPr="00553A54">
        <w:rPr>
          <w:sz w:val="24"/>
          <w:szCs w:val="24"/>
        </w:rPr>
        <w:t xml:space="preserve">В части полномочий, </w:t>
      </w:r>
      <w:r>
        <w:rPr>
          <w:sz w:val="24"/>
          <w:szCs w:val="24"/>
        </w:rPr>
        <w:t>закреплённых</w:t>
      </w:r>
      <w:r w:rsidRPr="00553A54">
        <w:rPr>
          <w:sz w:val="24"/>
          <w:szCs w:val="24"/>
        </w:rPr>
        <w:t xml:space="preserve"> Законом Приднестровской Молдавской Республики от 8 февраля 2018 года № 37-ЗИД-VI «О внесении изменения и дополнений в Закон Приднестровской Молдавской Республики «О валютном регулировании и валютном контроле»</w:t>
      </w:r>
      <w:r>
        <w:rPr>
          <w:sz w:val="24"/>
          <w:szCs w:val="24"/>
        </w:rPr>
        <w:t>,</w:t>
      </w:r>
      <w:r w:rsidRPr="00553A54">
        <w:rPr>
          <w:sz w:val="24"/>
          <w:szCs w:val="24"/>
        </w:rPr>
        <w:t xml:space="preserve"> установлен</w:t>
      </w:r>
      <w:r>
        <w:rPr>
          <w:sz w:val="24"/>
          <w:szCs w:val="24"/>
        </w:rPr>
        <w:t>ы</w:t>
      </w:r>
      <w:r w:rsidRPr="00553A54">
        <w:rPr>
          <w:sz w:val="24"/>
          <w:szCs w:val="24"/>
        </w:rPr>
        <w:t xml:space="preserve"> порядок, наименование и предельный объём иностранной валюты для отдельных операций с наличной иностранной валютой в целях осуществления юридическими лицами</w:t>
      </w:r>
      <w:r>
        <w:rPr>
          <w:sz w:val="24"/>
          <w:szCs w:val="24"/>
        </w:rPr>
        <w:t xml:space="preserve"> </w:t>
      </w:r>
      <w:r w:rsidRPr="00553A54">
        <w:rPr>
          <w:sz w:val="24"/>
          <w:szCs w:val="24"/>
        </w:rPr>
        <w:t>-</w:t>
      </w:r>
      <w:r>
        <w:rPr>
          <w:sz w:val="24"/>
          <w:szCs w:val="24"/>
        </w:rPr>
        <w:t xml:space="preserve"> </w:t>
      </w:r>
      <w:r w:rsidRPr="00553A54">
        <w:rPr>
          <w:sz w:val="24"/>
          <w:szCs w:val="24"/>
        </w:rPr>
        <w:t>резидентами</w:t>
      </w:r>
      <w:r w:rsidRPr="00553A54">
        <w:rPr>
          <w:b/>
          <w:sz w:val="24"/>
          <w:szCs w:val="24"/>
        </w:rPr>
        <w:t xml:space="preserve"> </w:t>
      </w:r>
      <w:r w:rsidRPr="00553A54">
        <w:rPr>
          <w:sz w:val="24"/>
          <w:szCs w:val="24"/>
        </w:rPr>
        <w:t>ПМР расчётов в наличной иностранной валюте по внешнеэкономическим сделкам без заключения внешнеэкономических контрактов</w:t>
      </w:r>
      <w:r w:rsidRPr="00553A54">
        <w:rPr>
          <w:b/>
          <w:sz w:val="24"/>
          <w:szCs w:val="24"/>
        </w:rPr>
        <w:t xml:space="preserve"> </w:t>
      </w:r>
      <w:r w:rsidRPr="00553A54">
        <w:rPr>
          <w:sz w:val="24"/>
          <w:szCs w:val="24"/>
        </w:rPr>
        <w:t>через уполномоченных физических лиц, состоящих в трудовых отношениях с этим юридическим лицом.</w:t>
      </w:r>
    </w:p>
    <w:p w:rsidR="00C20988" w:rsidRDefault="00C20988" w:rsidP="005359E3">
      <w:pPr>
        <w:autoSpaceDE w:val="0"/>
        <w:autoSpaceDN w:val="0"/>
        <w:adjustRightInd w:val="0"/>
        <w:ind w:firstLine="425"/>
        <w:jc w:val="both"/>
        <w:rPr>
          <w:sz w:val="24"/>
          <w:szCs w:val="24"/>
        </w:rPr>
      </w:pPr>
      <w:r w:rsidRPr="005359E3">
        <w:rPr>
          <w:sz w:val="24"/>
          <w:szCs w:val="24"/>
        </w:rPr>
        <w:t>В 2018 году Приднестровский республиканский банк принимал участие в пяти судебных процессах, по одному из которых в качестве уполномоченного органа в сфере регулирования страховой деятельности в процедуре несостоятельности (банкротства).</w:t>
      </w:r>
      <w:r>
        <w:rPr>
          <w:sz w:val="24"/>
          <w:szCs w:val="24"/>
        </w:rPr>
        <w:t xml:space="preserve"> </w:t>
      </w:r>
      <w:r w:rsidRPr="005359E3">
        <w:rPr>
          <w:sz w:val="24"/>
          <w:szCs w:val="24"/>
        </w:rPr>
        <w:t xml:space="preserve">В части предъявленных Приднестровским республиканским банком требований суды удовлетворили исковые заявления в полном объёме. </w:t>
      </w:r>
    </w:p>
    <w:p w:rsidR="00C20988" w:rsidRPr="005359E3" w:rsidRDefault="00C20988" w:rsidP="005359E3">
      <w:pPr>
        <w:autoSpaceDE w:val="0"/>
        <w:autoSpaceDN w:val="0"/>
        <w:adjustRightInd w:val="0"/>
        <w:ind w:firstLine="425"/>
        <w:jc w:val="both"/>
        <w:rPr>
          <w:sz w:val="24"/>
          <w:szCs w:val="24"/>
        </w:rPr>
      </w:pPr>
    </w:p>
    <w:p w:rsidR="00C20988" w:rsidRPr="00553A54" w:rsidRDefault="00C20988" w:rsidP="00CA5CFD">
      <w:pPr>
        <w:widowControl w:val="0"/>
        <w:ind w:firstLine="425"/>
        <w:jc w:val="both"/>
        <w:rPr>
          <w:i/>
          <w:color w:val="000000"/>
          <w:sz w:val="24"/>
          <w:szCs w:val="24"/>
        </w:rPr>
      </w:pPr>
      <w:r w:rsidRPr="00553A54">
        <w:rPr>
          <w:i/>
          <w:color w:val="000000"/>
          <w:sz w:val="24"/>
          <w:szCs w:val="24"/>
        </w:rPr>
        <w:t>Управление рисками банковских операций</w:t>
      </w:r>
    </w:p>
    <w:p w:rsidR="00C20988" w:rsidRPr="000D36D0" w:rsidRDefault="00C20988" w:rsidP="00CA5CFD">
      <w:pPr>
        <w:tabs>
          <w:tab w:val="left" w:pos="851"/>
          <w:tab w:val="left" w:pos="993"/>
        </w:tabs>
        <w:spacing w:before="120"/>
        <w:ind w:firstLine="425"/>
        <w:jc w:val="both"/>
        <w:rPr>
          <w:sz w:val="24"/>
          <w:szCs w:val="24"/>
        </w:rPr>
      </w:pPr>
      <w:r w:rsidRPr="00553A54">
        <w:rPr>
          <w:color w:val="000000"/>
          <w:sz w:val="24"/>
          <w:szCs w:val="24"/>
        </w:rPr>
        <w:t>В 2018 году Приднестровским республикан</w:t>
      </w:r>
      <w:r>
        <w:rPr>
          <w:color w:val="000000"/>
          <w:sz w:val="24"/>
          <w:szCs w:val="24"/>
        </w:rPr>
        <w:t>ским банком завершена работа по</w:t>
      </w:r>
      <w:r w:rsidRPr="00553A54">
        <w:rPr>
          <w:color w:val="000000"/>
          <w:sz w:val="24"/>
          <w:szCs w:val="24"/>
        </w:rPr>
        <w:t xml:space="preserve"> внедрению методики определения финансового положения банков-нерезидентов на базе присвоения рейтинговой оценки, закреплены основные подходы и инструменты управления рисками </w:t>
      </w:r>
      <w:r w:rsidRPr="000D36D0">
        <w:rPr>
          <w:sz w:val="24"/>
          <w:szCs w:val="24"/>
        </w:rPr>
        <w:t>центрального банка:</w:t>
      </w:r>
    </w:p>
    <w:p w:rsidR="00C20988" w:rsidRPr="000D36D0" w:rsidRDefault="00C20988" w:rsidP="00556133">
      <w:pPr>
        <w:numPr>
          <w:ilvl w:val="0"/>
          <w:numId w:val="6"/>
        </w:numPr>
        <w:tabs>
          <w:tab w:val="left" w:pos="630"/>
          <w:tab w:val="left" w:pos="993"/>
        </w:tabs>
        <w:ind w:left="0" w:firstLine="425"/>
        <w:jc w:val="both"/>
        <w:rPr>
          <w:sz w:val="24"/>
          <w:szCs w:val="24"/>
        </w:rPr>
      </w:pPr>
      <w:r w:rsidRPr="000D36D0">
        <w:rPr>
          <w:sz w:val="24"/>
          <w:szCs w:val="24"/>
        </w:rPr>
        <w:t xml:space="preserve"> Внесены изменения в нормативные акты, определяющие эффективное функционирование системы управления рисками </w:t>
      </w:r>
      <w:r>
        <w:rPr>
          <w:sz w:val="24"/>
          <w:szCs w:val="24"/>
        </w:rPr>
        <w:t>в центральном банке</w:t>
      </w:r>
      <w:r w:rsidRPr="000D36D0">
        <w:rPr>
          <w:sz w:val="24"/>
          <w:szCs w:val="24"/>
        </w:rPr>
        <w:t>, с закреплением возможности оперативного реагирования на возникающие риски с учётом изменений во внешней среде, в частности разработаны и внедрены методики определения финансового положения банков-нерезидентов на базе присвоения рейтинговой оценки:</w:t>
      </w:r>
    </w:p>
    <w:p w:rsidR="00C20988" w:rsidRPr="00553A54" w:rsidRDefault="00C20988" w:rsidP="00556133">
      <w:pPr>
        <w:pStyle w:val="ListParagraph"/>
        <w:numPr>
          <w:ilvl w:val="0"/>
          <w:numId w:val="24"/>
        </w:numPr>
        <w:tabs>
          <w:tab w:val="left" w:pos="0"/>
          <w:tab w:val="left" w:pos="567"/>
          <w:tab w:val="left" w:pos="630"/>
        </w:tabs>
        <w:ind w:left="0" w:firstLine="426"/>
        <w:contextualSpacing/>
        <w:jc w:val="both"/>
        <w:rPr>
          <w:color w:val="000000"/>
          <w:sz w:val="24"/>
          <w:szCs w:val="24"/>
        </w:rPr>
      </w:pPr>
      <w:r w:rsidRPr="000D36D0">
        <w:rPr>
          <w:sz w:val="24"/>
          <w:szCs w:val="24"/>
        </w:rPr>
        <w:t xml:space="preserve"> для ограничения (снижения уровня, минимизаци</w:t>
      </w:r>
      <w:r>
        <w:rPr>
          <w:sz w:val="24"/>
          <w:szCs w:val="24"/>
        </w:rPr>
        <w:t>и</w:t>
      </w:r>
      <w:r w:rsidRPr="000D36D0">
        <w:rPr>
          <w:sz w:val="24"/>
          <w:szCs w:val="24"/>
        </w:rPr>
        <w:t>) риска путём установления лимитов</w:t>
      </w:r>
      <w:r w:rsidRPr="00553A54">
        <w:rPr>
          <w:color w:val="000000"/>
          <w:sz w:val="24"/>
          <w:szCs w:val="24"/>
        </w:rPr>
        <w:t xml:space="preserve"> на межбанковские операции Приднестровского республиканского банка;</w:t>
      </w:r>
    </w:p>
    <w:p w:rsidR="00C20988" w:rsidRPr="00553A54" w:rsidRDefault="00C20988" w:rsidP="00556133">
      <w:pPr>
        <w:pStyle w:val="ListParagraph"/>
        <w:numPr>
          <w:ilvl w:val="0"/>
          <w:numId w:val="24"/>
        </w:numPr>
        <w:tabs>
          <w:tab w:val="left" w:pos="0"/>
          <w:tab w:val="left" w:pos="567"/>
          <w:tab w:val="left" w:pos="630"/>
        </w:tabs>
        <w:ind w:left="0" w:firstLine="426"/>
        <w:contextualSpacing/>
        <w:jc w:val="both"/>
        <w:rPr>
          <w:color w:val="000000"/>
          <w:sz w:val="24"/>
          <w:szCs w:val="24"/>
        </w:rPr>
      </w:pPr>
      <w:r w:rsidRPr="00553A54">
        <w:rPr>
          <w:color w:val="000000"/>
          <w:sz w:val="24"/>
          <w:szCs w:val="24"/>
        </w:rPr>
        <w:t xml:space="preserve"> </w:t>
      </w:r>
      <w:r>
        <w:rPr>
          <w:color w:val="000000"/>
          <w:sz w:val="24"/>
          <w:szCs w:val="24"/>
        </w:rPr>
        <w:t xml:space="preserve">для </w:t>
      </w:r>
      <w:r w:rsidRPr="00553A54">
        <w:rPr>
          <w:color w:val="000000"/>
          <w:sz w:val="24"/>
          <w:szCs w:val="24"/>
        </w:rPr>
        <w:t>финансирования риска на межбанковские операции Приднестровского республиканского банка, в соответствии с нормативным актом, регламентирующи</w:t>
      </w:r>
      <w:r>
        <w:rPr>
          <w:color w:val="000000"/>
          <w:sz w:val="24"/>
          <w:szCs w:val="24"/>
        </w:rPr>
        <w:t>м</w:t>
      </w:r>
      <w:r w:rsidRPr="00553A54">
        <w:rPr>
          <w:color w:val="000000"/>
          <w:sz w:val="24"/>
          <w:szCs w:val="24"/>
        </w:rPr>
        <w:t xml:space="preserve"> порядок формирования (восстановления) и использования Приднестровским республиканским банком резервов на возможные потери.</w:t>
      </w:r>
    </w:p>
    <w:p w:rsidR="00C20988" w:rsidRDefault="00C20988" w:rsidP="00556133">
      <w:pPr>
        <w:numPr>
          <w:ilvl w:val="0"/>
          <w:numId w:val="6"/>
        </w:numPr>
        <w:tabs>
          <w:tab w:val="left" w:pos="630"/>
          <w:tab w:val="left" w:pos="993"/>
        </w:tabs>
        <w:ind w:left="0" w:firstLine="425"/>
        <w:jc w:val="both"/>
        <w:rPr>
          <w:color w:val="000000"/>
          <w:sz w:val="24"/>
          <w:szCs w:val="24"/>
        </w:rPr>
      </w:pPr>
      <w:r>
        <w:rPr>
          <w:color w:val="000000"/>
          <w:sz w:val="24"/>
          <w:szCs w:val="24"/>
        </w:rPr>
        <w:t xml:space="preserve"> </w:t>
      </w:r>
      <w:r w:rsidRPr="00553A54">
        <w:rPr>
          <w:color w:val="000000"/>
          <w:sz w:val="24"/>
          <w:szCs w:val="24"/>
        </w:rPr>
        <w:t>Усовершенствована организационная система управления рисками центрального банка с распределением основных функций и полномочий её субъектов.</w:t>
      </w:r>
    </w:p>
    <w:p w:rsidR="00C20988" w:rsidRPr="00553A54" w:rsidRDefault="00C20988" w:rsidP="004801C7">
      <w:pPr>
        <w:widowControl w:val="0"/>
        <w:tabs>
          <w:tab w:val="left" w:pos="630"/>
        </w:tabs>
        <w:spacing w:before="120" w:after="120"/>
        <w:ind w:firstLine="425"/>
        <w:jc w:val="both"/>
        <w:rPr>
          <w:color w:val="000000"/>
          <w:sz w:val="24"/>
          <w:szCs w:val="24"/>
        </w:rPr>
      </w:pPr>
      <w:r w:rsidRPr="00553A54">
        <w:rPr>
          <w:i/>
          <w:color w:val="000000"/>
          <w:sz w:val="24"/>
          <w:szCs w:val="24"/>
        </w:rPr>
        <w:t>Контроль и внутренний ауди</w:t>
      </w:r>
      <w:r>
        <w:rPr>
          <w:i/>
          <w:color w:val="000000"/>
          <w:sz w:val="24"/>
          <w:szCs w:val="24"/>
        </w:rPr>
        <w:t>т</w:t>
      </w:r>
    </w:p>
    <w:p w:rsidR="00C20988" w:rsidRPr="00553A54" w:rsidRDefault="00C20988" w:rsidP="00444A74">
      <w:pPr>
        <w:ind w:firstLine="425"/>
        <w:jc w:val="both"/>
        <w:rPr>
          <w:sz w:val="24"/>
          <w:szCs w:val="24"/>
        </w:rPr>
      </w:pPr>
      <w:r w:rsidRPr="00553A54">
        <w:rPr>
          <w:sz w:val="24"/>
          <w:szCs w:val="24"/>
        </w:rPr>
        <w:t>В 2018 году контрол</w:t>
      </w:r>
      <w:r>
        <w:rPr>
          <w:sz w:val="24"/>
          <w:szCs w:val="24"/>
        </w:rPr>
        <w:t>ь</w:t>
      </w:r>
      <w:r w:rsidRPr="00553A54">
        <w:rPr>
          <w:sz w:val="24"/>
          <w:szCs w:val="24"/>
        </w:rPr>
        <w:t xml:space="preserve"> и внутрибанковск</w:t>
      </w:r>
      <w:r>
        <w:rPr>
          <w:sz w:val="24"/>
          <w:szCs w:val="24"/>
        </w:rPr>
        <w:t>ий</w:t>
      </w:r>
      <w:r w:rsidRPr="00553A54">
        <w:rPr>
          <w:sz w:val="24"/>
          <w:szCs w:val="24"/>
        </w:rPr>
        <w:t xml:space="preserve"> аудит был ориентирован на обеспечение надёжного функционирования </w:t>
      </w:r>
      <w:r>
        <w:rPr>
          <w:sz w:val="24"/>
          <w:szCs w:val="24"/>
        </w:rPr>
        <w:t xml:space="preserve">Банка Приднестровья </w:t>
      </w:r>
      <w:r w:rsidRPr="00553A54">
        <w:rPr>
          <w:sz w:val="24"/>
          <w:szCs w:val="24"/>
        </w:rPr>
        <w:t xml:space="preserve">в рамках выполнения возложенных на него задач и функций. </w:t>
      </w:r>
    </w:p>
    <w:p w:rsidR="00C20988" w:rsidRPr="00553A54" w:rsidRDefault="00C20988" w:rsidP="00444A74">
      <w:pPr>
        <w:ind w:firstLine="425"/>
        <w:jc w:val="both"/>
        <w:rPr>
          <w:sz w:val="24"/>
          <w:szCs w:val="24"/>
        </w:rPr>
      </w:pPr>
      <w:r w:rsidRPr="00553A54">
        <w:rPr>
          <w:sz w:val="24"/>
          <w:szCs w:val="24"/>
        </w:rPr>
        <w:t>В целях повышения эффективности внутреннего аудита произведено смещение приоритетов от аудита отдельных структурных подразделений к аудиту бизнес-процессов на основе риск-ориентированного подхода. В ходе проведения процедур внутреннего аудита акцентировалось внимание на выявлении потенциальных рисков и системных проблем в работе банка.</w:t>
      </w:r>
    </w:p>
    <w:p w:rsidR="00C20988" w:rsidRDefault="00C20988" w:rsidP="00444A74">
      <w:pPr>
        <w:ind w:firstLine="425"/>
        <w:jc w:val="both"/>
        <w:rPr>
          <w:sz w:val="24"/>
          <w:szCs w:val="24"/>
        </w:rPr>
      </w:pPr>
      <w:r w:rsidRPr="00553A54">
        <w:rPr>
          <w:sz w:val="24"/>
          <w:szCs w:val="24"/>
        </w:rPr>
        <w:t xml:space="preserve">В течение отчётного года было проведено 13 плановых аудиторских проверок по различным направлениям </w:t>
      </w:r>
      <w:r w:rsidRPr="00636A1C">
        <w:rPr>
          <w:sz w:val="24"/>
          <w:szCs w:val="24"/>
        </w:rPr>
        <w:t>деятельности банка, в том числе анализ организации кадрового делопроизводства, оформления гражданско-правовых договоров, организации процесс</w:t>
      </w:r>
      <w:r>
        <w:rPr>
          <w:sz w:val="24"/>
          <w:szCs w:val="24"/>
        </w:rPr>
        <w:t>ов</w:t>
      </w:r>
      <w:r w:rsidRPr="00636A1C">
        <w:rPr>
          <w:sz w:val="24"/>
          <w:szCs w:val="24"/>
        </w:rPr>
        <w:t xml:space="preserve"> управления рисками в банке, выдачи лицензий на право реализации гражданам на территории Приднестровской Молдавской Республики товаров (работ, услуг) за наличную иностранную валюту. </w:t>
      </w:r>
    </w:p>
    <w:p w:rsidR="00C20988" w:rsidRPr="00553A54" w:rsidRDefault="00C20988" w:rsidP="00444A74">
      <w:pPr>
        <w:ind w:firstLine="425"/>
        <w:jc w:val="both"/>
        <w:rPr>
          <w:sz w:val="24"/>
          <w:szCs w:val="24"/>
        </w:rPr>
      </w:pPr>
      <w:r w:rsidRPr="00636A1C">
        <w:rPr>
          <w:sz w:val="24"/>
          <w:szCs w:val="24"/>
        </w:rPr>
        <w:t>Объектами аудита</w:t>
      </w:r>
      <w:r w:rsidRPr="00553A54">
        <w:rPr>
          <w:sz w:val="24"/>
          <w:szCs w:val="24"/>
        </w:rPr>
        <w:t xml:space="preserve"> являлись структурные подразделения, годовая фи</w:t>
      </w:r>
      <w:r>
        <w:rPr>
          <w:sz w:val="24"/>
          <w:szCs w:val="24"/>
        </w:rPr>
        <w:t>нансовая отчётность Приднестровского республиканского банка за 2017 год</w:t>
      </w:r>
      <w:r w:rsidRPr="00553A54">
        <w:rPr>
          <w:sz w:val="24"/>
          <w:szCs w:val="24"/>
        </w:rPr>
        <w:t>.</w:t>
      </w:r>
    </w:p>
    <w:p w:rsidR="00C20988" w:rsidRPr="00553A54" w:rsidRDefault="00C20988" w:rsidP="00444A74">
      <w:pPr>
        <w:ind w:firstLine="425"/>
        <w:jc w:val="both"/>
        <w:rPr>
          <w:sz w:val="24"/>
          <w:szCs w:val="24"/>
        </w:rPr>
      </w:pPr>
      <w:r w:rsidRPr="00553A54">
        <w:rPr>
          <w:sz w:val="24"/>
          <w:szCs w:val="24"/>
        </w:rPr>
        <w:t>Масштабная проверка была проведена в части организации и функционирования системы управления охраной и безопасностью труда в банке. С целью повышения её эффективности даны рекомендации по совершенствованию нормативной баз</w:t>
      </w:r>
      <w:r>
        <w:rPr>
          <w:sz w:val="24"/>
          <w:szCs w:val="24"/>
        </w:rPr>
        <w:t>ы и процедур управления рисками</w:t>
      </w:r>
      <w:r w:rsidRPr="00553A54">
        <w:rPr>
          <w:sz w:val="24"/>
          <w:szCs w:val="24"/>
        </w:rPr>
        <w:t>.</w:t>
      </w:r>
    </w:p>
    <w:p w:rsidR="00C20988" w:rsidRPr="00553A54" w:rsidRDefault="00C20988" w:rsidP="00444A74">
      <w:pPr>
        <w:ind w:firstLine="425"/>
        <w:jc w:val="both"/>
        <w:rPr>
          <w:sz w:val="24"/>
          <w:szCs w:val="24"/>
        </w:rPr>
      </w:pPr>
      <w:r w:rsidRPr="00553A54">
        <w:rPr>
          <w:sz w:val="24"/>
          <w:szCs w:val="24"/>
        </w:rPr>
        <w:t>В рамках проверки эффективности выполнения возложенных на банк функций был проведён аудит кассовых операций банка. Ключевыми вопросами при аудите расчётов с подотч</w:t>
      </w:r>
      <w:r>
        <w:rPr>
          <w:sz w:val="24"/>
          <w:szCs w:val="24"/>
        </w:rPr>
        <w:t>ё</w:t>
      </w:r>
      <w:r w:rsidRPr="00553A54">
        <w:rPr>
          <w:sz w:val="24"/>
          <w:szCs w:val="24"/>
        </w:rPr>
        <w:t>тными лицами являлись соблюдение требований действующего законодательства и правильность документального оформления и отражения в учёте командировочных, хозяйственных и представительских расходов.</w:t>
      </w:r>
    </w:p>
    <w:p w:rsidR="00C20988" w:rsidRPr="00553A54" w:rsidRDefault="00C20988" w:rsidP="00444A74">
      <w:pPr>
        <w:ind w:firstLine="425"/>
        <w:jc w:val="both"/>
        <w:rPr>
          <w:sz w:val="24"/>
          <w:szCs w:val="24"/>
        </w:rPr>
      </w:pPr>
      <w:r w:rsidRPr="00553A54">
        <w:rPr>
          <w:sz w:val="24"/>
          <w:szCs w:val="24"/>
        </w:rPr>
        <w:t xml:space="preserve">С целью контроля за устранением выявленных несоответствий и внедрением рекомендаций в течение года проводился мониторинг выполнения мероприятий по результатам аудиторских проверок. </w:t>
      </w:r>
    </w:p>
    <w:p w:rsidR="00C20988" w:rsidRPr="00553A54" w:rsidRDefault="00C20988" w:rsidP="00444A74">
      <w:pPr>
        <w:ind w:firstLine="425"/>
        <w:jc w:val="both"/>
        <w:rPr>
          <w:sz w:val="24"/>
          <w:szCs w:val="24"/>
        </w:rPr>
      </w:pPr>
      <w:r w:rsidRPr="00553A54">
        <w:rPr>
          <w:sz w:val="24"/>
          <w:szCs w:val="24"/>
        </w:rPr>
        <w:t xml:space="preserve">Результаты внутреннего аудита в целом подтверждают выполнение объектами аудита возложенных на них функций и соблюдение требований законодательства Приднестровской Молдавской Республики, нормативных и иных актов </w:t>
      </w:r>
      <w:r>
        <w:rPr>
          <w:sz w:val="24"/>
          <w:szCs w:val="24"/>
        </w:rPr>
        <w:t>Приднестровского республиканского банка</w:t>
      </w:r>
      <w:r w:rsidRPr="00553A54">
        <w:rPr>
          <w:sz w:val="24"/>
          <w:szCs w:val="24"/>
        </w:rPr>
        <w:t xml:space="preserve">, соответствие системы внутреннего контроля и управления рисками характеру совершаемых операций. </w:t>
      </w:r>
    </w:p>
    <w:p w:rsidR="00C20988" w:rsidRPr="00553A54" w:rsidRDefault="00C20988" w:rsidP="004801C7">
      <w:pPr>
        <w:widowControl w:val="0"/>
        <w:spacing w:before="120" w:after="120"/>
        <w:ind w:firstLine="425"/>
        <w:jc w:val="both"/>
        <w:rPr>
          <w:i/>
          <w:color w:val="000000"/>
          <w:sz w:val="24"/>
          <w:szCs w:val="24"/>
        </w:rPr>
      </w:pPr>
      <w:r w:rsidRPr="00553A54">
        <w:rPr>
          <w:i/>
          <w:color w:val="000000"/>
          <w:sz w:val="24"/>
          <w:szCs w:val="24"/>
        </w:rPr>
        <w:t xml:space="preserve">Информационно-разъяснительная </w:t>
      </w:r>
      <w:r>
        <w:rPr>
          <w:i/>
          <w:color w:val="000000"/>
          <w:sz w:val="24"/>
          <w:szCs w:val="24"/>
        </w:rPr>
        <w:t>деятельность</w:t>
      </w:r>
    </w:p>
    <w:p w:rsidR="00C20988" w:rsidRPr="00553A54" w:rsidRDefault="00C20988" w:rsidP="00444A74">
      <w:pPr>
        <w:widowControl w:val="0"/>
        <w:spacing w:before="120"/>
        <w:ind w:firstLine="425"/>
        <w:jc w:val="both"/>
        <w:rPr>
          <w:color w:val="000000"/>
          <w:sz w:val="24"/>
          <w:szCs w:val="24"/>
        </w:rPr>
      </w:pPr>
      <w:r w:rsidRPr="00553A54">
        <w:rPr>
          <w:color w:val="000000"/>
          <w:sz w:val="24"/>
          <w:szCs w:val="24"/>
        </w:rPr>
        <w:t>Для освещения деятельности Приднестровского республиканского банка</w:t>
      </w:r>
      <w:r>
        <w:rPr>
          <w:color w:val="000000"/>
          <w:sz w:val="24"/>
          <w:szCs w:val="24"/>
        </w:rPr>
        <w:t xml:space="preserve">, вопросов </w:t>
      </w:r>
      <w:r w:rsidRPr="00553A54">
        <w:rPr>
          <w:color w:val="000000"/>
          <w:sz w:val="24"/>
          <w:szCs w:val="24"/>
        </w:rPr>
        <w:t>реализации основных задач и функций в течение отчётного года проводилась</w:t>
      </w:r>
      <w:r>
        <w:rPr>
          <w:color w:val="000000"/>
          <w:sz w:val="24"/>
          <w:szCs w:val="24"/>
        </w:rPr>
        <w:t xml:space="preserve"> </w:t>
      </w:r>
      <w:r w:rsidRPr="00553A54">
        <w:rPr>
          <w:color w:val="000000"/>
          <w:sz w:val="24"/>
          <w:szCs w:val="24"/>
        </w:rPr>
        <w:t>информационно-разъяснительная работа, прежде всего посредством размещения информации на официальном сайте банка. За год количество пресс-релизов и новостей превысило 250 публикаций.</w:t>
      </w:r>
    </w:p>
    <w:p w:rsidR="00C20988" w:rsidRPr="00553A54" w:rsidRDefault="00C20988" w:rsidP="00444A74">
      <w:pPr>
        <w:widowControl w:val="0"/>
        <w:ind w:firstLine="425"/>
        <w:jc w:val="both"/>
        <w:rPr>
          <w:color w:val="000000"/>
          <w:sz w:val="24"/>
          <w:szCs w:val="24"/>
        </w:rPr>
      </w:pPr>
      <w:r w:rsidRPr="00553A54">
        <w:rPr>
          <w:color w:val="000000"/>
          <w:sz w:val="24"/>
          <w:szCs w:val="24"/>
        </w:rPr>
        <w:t>Совместно со средствами массовой информации осуществлялась активная работа по информированию обществен</w:t>
      </w:r>
      <w:r>
        <w:rPr>
          <w:color w:val="000000"/>
          <w:sz w:val="24"/>
          <w:szCs w:val="24"/>
        </w:rPr>
        <w:t>ности о деятельности ц</w:t>
      </w:r>
      <w:r w:rsidRPr="00553A54">
        <w:rPr>
          <w:color w:val="000000"/>
          <w:sz w:val="24"/>
          <w:szCs w:val="24"/>
        </w:rPr>
        <w:t>ентрального банка. За 2018 год в газете «Приднестровье» были размещены более 20 пресс-релизов и информационных статей различной тематики, более 30 – на сайте информационного агентства «Новости Приднестровья</w:t>
      </w:r>
      <w:r w:rsidRPr="004B23AC">
        <w:rPr>
          <w:color w:val="000000"/>
          <w:sz w:val="24"/>
          <w:szCs w:val="24"/>
        </w:rPr>
        <w:t>». Руководство Приднестровского республиканского банка неоднократно принимало участие в качестве</w:t>
      </w:r>
      <w:r w:rsidRPr="00553A54">
        <w:rPr>
          <w:color w:val="000000"/>
          <w:sz w:val="24"/>
          <w:szCs w:val="24"/>
        </w:rPr>
        <w:t xml:space="preserve"> экспертов в передачах экономической тематики на «Первом Приднестровском телеканале» и «Телевидении свободного выбора», а также на «Радио 1».</w:t>
      </w:r>
    </w:p>
    <w:p w:rsidR="00C20988" w:rsidRDefault="00C20988" w:rsidP="00444A74">
      <w:pPr>
        <w:widowControl w:val="0"/>
        <w:ind w:firstLine="425"/>
        <w:jc w:val="both"/>
        <w:rPr>
          <w:color w:val="000000"/>
          <w:sz w:val="24"/>
          <w:szCs w:val="24"/>
        </w:rPr>
      </w:pPr>
      <w:r w:rsidRPr="00553A54">
        <w:rPr>
          <w:color w:val="000000"/>
          <w:sz w:val="24"/>
          <w:szCs w:val="24"/>
        </w:rPr>
        <w:t xml:space="preserve">С целью повышения экономической и финансовой грамотности населения Приднестровским республиканским банком при содействии Приднестровской государственной телерадиокомпании и телерадиокомпании «Объектив» была записана серия интервью с </w:t>
      </w:r>
      <w:r>
        <w:rPr>
          <w:color w:val="000000"/>
          <w:sz w:val="24"/>
          <w:szCs w:val="24"/>
        </w:rPr>
        <w:t>руководством банка.</w:t>
      </w:r>
      <w:r w:rsidRPr="00553A54">
        <w:rPr>
          <w:color w:val="000000"/>
          <w:sz w:val="24"/>
          <w:szCs w:val="24"/>
        </w:rPr>
        <w:t xml:space="preserve"> </w:t>
      </w:r>
    </w:p>
    <w:p w:rsidR="00C20988" w:rsidRPr="000D36D0" w:rsidRDefault="00C20988" w:rsidP="00444A74">
      <w:pPr>
        <w:widowControl w:val="0"/>
        <w:ind w:firstLine="425"/>
        <w:jc w:val="both"/>
        <w:rPr>
          <w:sz w:val="24"/>
          <w:szCs w:val="24"/>
        </w:rPr>
      </w:pPr>
      <w:r w:rsidRPr="00553A54">
        <w:rPr>
          <w:sz w:val="24"/>
          <w:szCs w:val="24"/>
        </w:rPr>
        <w:t xml:space="preserve">В 2018 году Приднестровским республиканским банком в средствах массовой информации освещались вопросы развития безналичных расчётов путём публикаций информационных </w:t>
      </w:r>
      <w:r>
        <w:rPr>
          <w:sz w:val="24"/>
          <w:szCs w:val="24"/>
        </w:rPr>
        <w:t xml:space="preserve">и аналитических </w:t>
      </w:r>
      <w:r w:rsidRPr="00553A54">
        <w:rPr>
          <w:sz w:val="24"/>
          <w:szCs w:val="24"/>
        </w:rPr>
        <w:t xml:space="preserve">сообщений. Данная деятельность направлена </w:t>
      </w:r>
      <w:r w:rsidRPr="00636A1C">
        <w:rPr>
          <w:sz w:val="24"/>
          <w:szCs w:val="24"/>
        </w:rPr>
        <w:t xml:space="preserve">на активизацию использования в расчётах современных электронных платёжных инструментов </w:t>
      </w:r>
      <w:r w:rsidRPr="000D36D0">
        <w:rPr>
          <w:sz w:val="24"/>
          <w:szCs w:val="24"/>
        </w:rPr>
        <w:t>и средств платежа, систем дистанционного банковского обслуживания.</w:t>
      </w:r>
    </w:p>
    <w:p w:rsidR="00C20988" w:rsidRPr="00E85DD7" w:rsidRDefault="00C20988" w:rsidP="002F10AC">
      <w:pPr>
        <w:widowControl w:val="0"/>
        <w:ind w:firstLine="425"/>
        <w:jc w:val="both"/>
        <w:rPr>
          <w:i/>
          <w:iCs/>
          <w:sz w:val="24"/>
          <w:szCs w:val="24"/>
        </w:rPr>
      </w:pPr>
      <w:r w:rsidRPr="00553A54">
        <w:rPr>
          <w:color w:val="000000"/>
          <w:sz w:val="24"/>
          <w:szCs w:val="24"/>
        </w:rPr>
        <w:t xml:space="preserve">В 2018 году продолжилась публикация информационно-аналитического журнала «Вестник Приднестровского республиканского банка», в котором размещались наиболее актуальные и подробные аналитические материалы о состоянии и развитии </w:t>
      </w:r>
      <w:r w:rsidRPr="0046087E">
        <w:rPr>
          <w:color w:val="000000"/>
          <w:sz w:val="24"/>
          <w:szCs w:val="24"/>
        </w:rPr>
        <w:t>банковской системы Приднестровской Молдавской Республики, денежно-кредитной сферы, отражалась ситуация в основных секторах экономики, публиковались результаты макроэкономических исследований, мониторинга предприятий республики, данные платёжного баланса, банковская статистика и другая обзорная информация.</w:t>
      </w:r>
    </w:p>
    <w:p w:rsidR="00C20988" w:rsidRPr="000D36D0" w:rsidRDefault="00C20988" w:rsidP="00444A74">
      <w:pPr>
        <w:widowControl w:val="0"/>
        <w:ind w:firstLine="425"/>
        <w:jc w:val="both"/>
        <w:rPr>
          <w:sz w:val="24"/>
          <w:szCs w:val="24"/>
        </w:rPr>
      </w:pPr>
      <w:r w:rsidRPr="000D36D0">
        <w:rPr>
          <w:sz w:val="24"/>
          <w:szCs w:val="24"/>
        </w:rPr>
        <w:t>Продолжилось взаимодействие с Приднестровским государственным университетом имени Т.Г. Шевченко, в рамках которого проводились встречи со студентами экономического факультета по вопросам деятельности центрального банка, проводимой денежно-кредитной политики.</w:t>
      </w:r>
    </w:p>
    <w:p w:rsidR="00C20988" w:rsidRPr="00553A54" w:rsidRDefault="00C20988" w:rsidP="00444A74">
      <w:pPr>
        <w:widowControl w:val="0"/>
        <w:ind w:firstLine="425"/>
        <w:jc w:val="both"/>
        <w:rPr>
          <w:color w:val="000000"/>
          <w:sz w:val="24"/>
          <w:szCs w:val="24"/>
        </w:rPr>
      </w:pPr>
      <w:r w:rsidRPr="00636A1C">
        <w:rPr>
          <w:color w:val="000000"/>
          <w:sz w:val="24"/>
          <w:szCs w:val="24"/>
        </w:rPr>
        <w:t xml:space="preserve">Большая работа проводилась в сфере информирования как в печатных и электронных изданиях, так и на приднестровском телевидении о выпускаемых банком памятных монетах и банкнотах. Кроме того, для их популяризации на российском рынке продолжено сотрудничество с журналом «Водяной знак», </w:t>
      </w:r>
      <w:r>
        <w:rPr>
          <w:color w:val="000000"/>
          <w:sz w:val="24"/>
          <w:szCs w:val="24"/>
        </w:rPr>
        <w:t>издаваемом</w:t>
      </w:r>
      <w:r w:rsidRPr="00636A1C">
        <w:rPr>
          <w:color w:val="000000"/>
          <w:sz w:val="24"/>
          <w:szCs w:val="24"/>
        </w:rPr>
        <w:t xml:space="preserve"> при информационной поддержке</w:t>
      </w:r>
      <w:r w:rsidRPr="00553A54">
        <w:rPr>
          <w:color w:val="000000"/>
          <w:sz w:val="24"/>
          <w:szCs w:val="24"/>
        </w:rPr>
        <w:t xml:space="preserve"> Министерства финансов Российской Федерации, Банка России и ФГУП «Гознак», а также с российским нумизматическим порталом «Золотой червонец». </w:t>
      </w:r>
    </w:p>
    <w:p w:rsidR="00C20988" w:rsidRPr="00553A54" w:rsidRDefault="00C20988" w:rsidP="00444A74">
      <w:pPr>
        <w:widowControl w:val="0"/>
        <w:ind w:firstLine="425"/>
        <w:jc w:val="both"/>
        <w:rPr>
          <w:color w:val="000000"/>
          <w:sz w:val="24"/>
          <w:szCs w:val="24"/>
        </w:rPr>
      </w:pPr>
      <w:r w:rsidRPr="00553A54">
        <w:rPr>
          <w:color w:val="000000"/>
          <w:sz w:val="24"/>
          <w:szCs w:val="24"/>
        </w:rPr>
        <w:t>В 2018 году также продолжилось многолетнее сотрудничество с Каталогом «MRI Bankers` Guide to Foreign Currency Edition» (Института исследования денежных отношений и иностранных валют)</w:t>
      </w:r>
      <w:r>
        <w:rPr>
          <w:color w:val="000000"/>
          <w:sz w:val="24"/>
          <w:szCs w:val="24"/>
        </w:rPr>
        <w:t>,</w:t>
      </w:r>
      <w:r w:rsidRPr="00553A54">
        <w:rPr>
          <w:color w:val="000000"/>
          <w:sz w:val="24"/>
          <w:szCs w:val="24"/>
        </w:rPr>
        <w:t xml:space="preserve"> г. Хьюстон (США). На его страницах регулярно публиковалась актуальная информация о монетах и банкнотах Приднестровской Молдавской Республики.</w:t>
      </w:r>
    </w:p>
    <w:p w:rsidR="00C20988" w:rsidRPr="00553A54" w:rsidRDefault="00C20988" w:rsidP="00444A74">
      <w:pPr>
        <w:widowControl w:val="0"/>
        <w:ind w:firstLine="425"/>
        <w:jc w:val="both"/>
        <w:rPr>
          <w:color w:val="000000"/>
          <w:sz w:val="24"/>
          <w:szCs w:val="24"/>
        </w:rPr>
      </w:pPr>
      <w:r w:rsidRPr="00553A54">
        <w:rPr>
          <w:color w:val="000000"/>
          <w:sz w:val="24"/>
          <w:szCs w:val="24"/>
        </w:rPr>
        <w:t xml:space="preserve">Традиционно </w:t>
      </w:r>
      <w:r>
        <w:rPr>
          <w:color w:val="000000"/>
          <w:sz w:val="24"/>
          <w:szCs w:val="24"/>
        </w:rPr>
        <w:t>ц</w:t>
      </w:r>
      <w:r w:rsidRPr="00553A54">
        <w:rPr>
          <w:color w:val="000000"/>
          <w:sz w:val="24"/>
          <w:szCs w:val="24"/>
        </w:rPr>
        <w:t xml:space="preserve">ентральным банком проводился конкурс на лучшие эскизные проекты памятных монет. Для получения необходимых консультаций при разработке эскизов памятных монет и буклетов было инициировано сотрудничество с Министерствами и ведомствами Приднестровской Молдавской Республики, Главами государственных администраций городов и районов, а также с общественными организациями республики и Тираспольско-Дубоссарской епархией. </w:t>
      </w:r>
    </w:p>
    <w:p w:rsidR="00C20988" w:rsidRPr="00A061A3" w:rsidRDefault="00C20988" w:rsidP="00083CAB">
      <w:pPr>
        <w:widowControl w:val="0"/>
        <w:jc w:val="center"/>
        <w:rPr>
          <w:b/>
          <w:bCs/>
          <w:noProof/>
          <w:sz w:val="28"/>
          <w:szCs w:val="28"/>
        </w:rPr>
      </w:pPr>
      <w:r w:rsidRPr="00E85DD7">
        <w:rPr>
          <w:b/>
          <w:bCs/>
          <w:noProof/>
          <w:sz w:val="28"/>
          <w:szCs w:val="28"/>
        </w:rPr>
        <w:br w:type="page"/>
      </w:r>
      <w:r w:rsidRPr="00A061A3">
        <w:rPr>
          <w:b/>
          <w:bCs/>
          <w:noProof/>
          <w:sz w:val="28"/>
          <w:szCs w:val="28"/>
        </w:rPr>
        <w:t>РАЗДЕЛ 3. ОСНОВНЫЕ НОРМАТИВНО-ПРАВОВЫЕ АКТЫ ПРИДНЕСТРОВСКОГО РЕСПУБЛИКАНСКОГО БАНКА, ПРИНЯТЫЕ В 201</w:t>
      </w:r>
      <w:r>
        <w:rPr>
          <w:b/>
          <w:bCs/>
          <w:noProof/>
          <w:sz w:val="28"/>
          <w:szCs w:val="28"/>
        </w:rPr>
        <w:t>8</w:t>
      </w:r>
      <w:r w:rsidRPr="00A061A3">
        <w:rPr>
          <w:b/>
          <w:bCs/>
          <w:noProof/>
          <w:sz w:val="28"/>
          <w:szCs w:val="28"/>
        </w:rPr>
        <w:t xml:space="preserve"> ГОДУ</w:t>
      </w:r>
    </w:p>
    <w:p w:rsidR="00C20988" w:rsidRPr="00B137C1" w:rsidRDefault="00C20988" w:rsidP="00444A74">
      <w:pPr>
        <w:pStyle w:val="3"/>
        <w:spacing w:before="120" w:after="120"/>
        <w:ind w:firstLine="425"/>
        <w:jc w:val="both"/>
        <w:rPr>
          <w:i/>
          <w:szCs w:val="24"/>
        </w:rPr>
      </w:pPr>
      <w:r w:rsidRPr="00B137C1">
        <w:rPr>
          <w:i/>
          <w:szCs w:val="24"/>
        </w:rPr>
        <w:t>В области валютного регулирования и валютного контроля:</w:t>
      </w:r>
    </w:p>
    <w:p w:rsidR="00C20988" w:rsidRPr="00B137C1" w:rsidRDefault="00C20988" w:rsidP="00444A74">
      <w:pPr>
        <w:pStyle w:val="ListParagraph"/>
        <w:numPr>
          <w:ilvl w:val="0"/>
          <w:numId w:val="32"/>
        </w:numPr>
        <w:tabs>
          <w:tab w:val="left" w:pos="709"/>
        </w:tabs>
        <w:ind w:left="0" w:firstLine="425"/>
        <w:contextualSpacing/>
        <w:jc w:val="both"/>
        <w:rPr>
          <w:sz w:val="24"/>
          <w:szCs w:val="24"/>
        </w:rPr>
      </w:pPr>
      <w:r w:rsidRPr="00B137C1">
        <w:rPr>
          <w:sz w:val="24"/>
          <w:szCs w:val="24"/>
        </w:rPr>
        <w:t>Указание Приднестровского республиканского банка о</w:t>
      </w:r>
      <w:r>
        <w:rPr>
          <w:sz w:val="24"/>
          <w:szCs w:val="24"/>
        </w:rPr>
        <w:t xml:space="preserve">т 26 января 2018 года </w:t>
      </w:r>
      <w:r>
        <w:rPr>
          <w:sz w:val="24"/>
          <w:szCs w:val="24"/>
        </w:rPr>
        <w:br/>
        <w:t xml:space="preserve">№ 1034-У </w:t>
      </w:r>
      <w:r w:rsidRPr="00B137C1">
        <w:rPr>
          <w:sz w:val="24"/>
          <w:szCs w:val="24"/>
        </w:rPr>
        <w:t>«О внесении изменений в Положение Приднестровского республиканского банка от 31 января 2001 года № 9-П «О порядке ввоза в Приднестровскую Молдавскую Республику и вывоза из Приднестровской Молдавской Республики наличной иностранной валюты и ценных бумаг в иностранной валюте» (регистрационный № 1401 от 12 февраля 2002 года) (САЗ 02-7)»;</w:t>
      </w:r>
    </w:p>
    <w:p w:rsidR="00C20988" w:rsidRPr="00B137C1" w:rsidRDefault="00C20988" w:rsidP="00444A74">
      <w:pPr>
        <w:pStyle w:val="ListParagraph"/>
        <w:numPr>
          <w:ilvl w:val="0"/>
          <w:numId w:val="32"/>
        </w:numPr>
        <w:tabs>
          <w:tab w:val="left" w:pos="709"/>
        </w:tabs>
        <w:ind w:left="0" w:firstLine="425"/>
        <w:contextualSpacing/>
        <w:jc w:val="both"/>
        <w:rPr>
          <w:sz w:val="24"/>
          <w:szCs w:val="24"/>
        </w:rPr>
      </w:pPr>
      <w:r w:rsidRPr="00B137C1">
        <w:rPr>
          <w:sz w:val="24"/>
          <w:szCs w:val="24"/>
        </w:rPr>
        <w:t xml:space="preserve">Указание Приднестровского республиканского банка от 26 января 2018 года </w:t>
      </w:r>
      <w:r>
        <w:rPr>
          <w:sz w:val="24"/>
          <w:szCs w:val="24"/>
        </w:rPr>
        <w:br/>
      </w:r>
      <w:r w:rsidRPr="00B137C1">
        <w:rPr>
          <w:sz w:val="24"/>
          <w:szCs w:val="24"/>
        </w:rPr>
        <w:t>№ 1035-У «О внесении изменений в Положение Приднестровского республиканского банка от 17 августа 2006 года № 65-П «О порядке проведения операций с иностранной валютой в Приднестровской Молдавской Республике» (регистрационный № 3661 от 29 августа 2006 года) (САЗ 06-36)»;</w:t>
      </w:r>
    </w:p>
    <w:p w:rsidR="00C20988" w:rsidRPr="00B137C1" w:rsidRDefault="00C20988" w:rsidP="00444A74">
      <w:pPr>
        <w:pStyle w:val="ListParagraph"/>
        <w:numPr>
          <w:ilvl w:val="0"/>
          <w:numId w:val="32"/>
        </w:numPr>
        <w:tabs>
          <w:tab w:val="left" w:pos="709"/>
        </w:tabs>
        <w:ind w:left="0" w:firstLine="425"/>
        <w:contextualSpacing/>
        <w:jc w:val="both"/>
        <w:rPr>
          <w:sz w:val="24"/>
          <w:szCs w:val="24"/>
        </w:rPr>
      </w:pPr>
      <w:r w:rsidRPr="00B137C1">
        <w:rPr>
          <w:sz w:val="24"/>
          <w:szCs w:val="24"/>
        </w:rPr>
        <w:t xml:space="preserve">Указание Приднестровского республиканского банка от 31 января 2018 года </w:t>
      </w:r>
      <w:r>
        <w:rPr>
          <w:sz w:val="24"/>
          <w:szCs w:val="24"/>
        </w:rPr>
        <w:br/>
      </w:r>
      <w:r w:rsidRPr="00B137C1">
        <w:rPr>
          <w:sz w:val="24"/>
          <w:szCs w:val="24"/>
        </w:rPr>
        <w:t>№ 1037-У «О внесении изменения в Положение Приднестровского республиканского банка от 3 августа 2017 года № 123-П «Об утверждении порядка и оснований снятия с валютного контроля сумм безнадёжной задолженности» (регистрационный № 7944 от 18 августа 2017 года) (САЗ 17-34)»;</w:t>
      </w:r>
    </w:p>
    <w:p w:rsidR="00C20988" w:rsidRPr="00B137C1" w:rsidRDefault="00C20988" w:rsidP="00444A74">
      <w:pPr>
        <w:pStyle w:val="ListParagraph"/>
        <w:numPr>
          <w:ilvl w:val="0"/>
          <w:numId w:val="32"/>
        </w:numPr>
        <w:tabs>
          <w:tab w:val="left" w:pos="709"/>
        </w:tabs>
        <w:ind w:left="0" w:firstLine="425"/>
        <w:contextualSpacing/>
        <w:jc w:val="both"/>
        <w:rPr>
          <w:sz w:val="24"/>
          <w:szCs w:val="24"/>
        </w:rPr>
      </w:pPr>
      <w:r w:rsidRPr="00B137C1">
        <w:rPr>
          <w:sz w:val="24"/>
          <w:szCs w:val="24"/>
        </w:rPr>
        <w:t xml:space="preserve">Указание Приднестровского республиканского банка от 9 февраля 2018 года </w:t>
      </w:r>
      <w:r>
        <w:rPr>
          <w:sz w:val="24"/>
          <w:szCs w:val="24"/>
        </w:rPr>
        <w:br/>
      </w:r>
      <w:r w:rsidRPr="00B137C1">
        <w:rPr>
          <w:sz w:val="24"/>
          <w:szCs w:val="24"/>
        </w:rPr>
        <w:t>№ 1043-У «О регулировании отдельных операций с наличной иностранной валютой, при расчётах по внешнеэкономическим сделкам без заключения внешнеэкономических контрактов»;</w:t>
      </w:r>
    </w:p>
    <w:p w:rsidR="00C20988" w:rsidRPr="00B137C1" w:rsidRDefault="00C20988" w:rsidP="00444A74">
      <w:pPr>
        <w:pStyle w:val="ListParagraph"/>
        <w:numPr>
          <w:ilvl w:val="0"/>
          <w:numId w:val="32"/>
        </w:numPr>
        <w:tabs>
          <w:tab w:val="left" w:pos="709"/>
        </w:tabs>
        <w:ind w:left="0" w:firstLine="425"/>
        <w:contextualSpacing/>
        <w:jc w:val="both"/>
        <w:rPr>
          <w:sz w:val="24"/>
          <w:szCs w:val="24"/>
        </w:rPr>
      </w:pPr>
      <w:r w:rsidRPr="00B137C1">
        <w:rPr>
          <w:sz w:val="24"/>
          <w:szCs w:val="24"/>
        </w:rPr>
        <w:t xml:space="preserve">Указание Приднестровского республиканского банка от 16 февраля 2018 года </w:t>
      </w:r>
      <w:r>
        <w:rPr>
          <w:sz w:val="24"/>
          <w:szCs w:val="24"/>
        </w:rPr>
        <w:br/>
      </w:r>
      <w:r w:rsidRPr="00B137C1">
        <w:rPr>
          <w:sz w:val="24"/>
          <w:szCs w:val="24"/>
        </w:rPr>
        <w:t>№ 1044 -У «О внесении дополнений в Положение Приднестровского республиканского банка от 31 января 2001 года № 9-П «О порядке ввоза в Приднестровскую Молдавскую Республику и вывоза из Приднестровской Молдавской Республики наличной иностранной валюты и ценных бумаг в иностранной валюте» (регистрационный № 1401 от 12 февраля 2002 года) (САЗ 02-7)»;</w:t>
      </w:r>
    </w:p>
    <w:p w:rsidR="00C20988" w:rsidRPr="00B137C1" w:rsidRDefault="00C20988" w:rsidP="00444A74">
      <w:pPr>
        <w:pStyle w:val="ListParagraph"/>
        <w:numPr>
          <w:ilvl w:val="0"/>
          <w:numId w:val="32"/>
        </w:numPr>
        <w:tabs>
          <w:tab w:val="left" w:pos="709"/>
        </w:tabs>
        <w:ind w:left="0" w:firstLine="425"/>
        <w:contextualSpacing/>
        <w:jc w:val="both"/>
        <w:rPr>
          <w:sz w:val="24"/>
          <w:szCs w:val="24"/>
        </w:rPr>
      </w:pPr>
      <w:r w:rsidRPr="00B137C1">
        <w:rPr>
          <w:sz w:val="24"/>
          <w:szCs w:val="24"/>
        </w:rPr>
        <w:t xml:space="preserve">Указание Приднестровского республиканского банка от 12 марта 2018 года № 1050-У </w:t>
      </w:r>
      <w:r w:rsidRPr="00B137C1">
        <w:rPr>
          <w:sz w:val="24"/>
          <w:szCs w:val="24"/>
        </w:rPr>
        <w:br/>
        <w:t>«О внесении изменения и дополнения в Положение Приднестровского республиканского банка от 19 июня 2007 года № 75-П «Об осуществлении обязательной продажи части валютной выручки» (регистрационный № 4016 от 26 июля 2007 года) (САЗ 07-31)»;</w:t>
      </w:r>
    </w:p>
    <w:p w:rsidR="00C20988" w:rsidRPr="00B137C1" w:rsidRDefault="00C20988" w:rsidP="00444A74">
      <w:pPr>
        <w:pStyle w:val="ListParagraph"/>
        <w:numPr>
          <w:ilvl w:val="0"/>
          <w:numId w:val="32"/>
        </w:numPr>
        <w:tabs>
          <w:tab w:val="left" w:pos="709"/>
        </w:tabs>
        <w:ind w:left="0" w:firstLine="425"/>
        <w:contextualSpacing/>
        <w:jc w:val="both"/>
        <w:rPr>
          <w:sz w:val="24"/>
          <w:szCs w:val="24"/>
        </w:rPr>
      </w:pPr>
      <w:r w:rsidRPr="00B137C1">
        <w:rPr>
          <w:sz w:val="24"/>
          <w:szCs w:val="24"/>
        </w:rPr>
        <w:t xml:space="preserve">Указание Приднестровского республиканского банка от 20 марта 2018 года № 1053-У </w:t>
      </w:r>
      <w:r w:rsidRPr="00B137C1">
        <w:rPr>
          <w:sz w:val="24"/>
          <w:szCs w:val="24"/>
        </w:rPr>
        <w:br/>
        <w:t>«О внесении изменения в Положение Приднестровского республиканского банка от 17 августа 2006 года № 65-П «О порядке проведения операций с иностранной валютой в Приднестровской Молдавской Республике» (регистрационный № 3661 от 29 августа 2006 года) (САЗ 06-36)»;</w:t>
      </w:r>
    </w:p>
    <w:p w:rsidR="00C20988" w:rsidRPr="00B137C1" w:rsidRDefault="00C20988" w:rsidP="00444A74">
      <w:pPr>
        <w:pStyle w:val="ListParagraph"/>
        <w:numPr>
          <w:ilvl w:val="0"/>
          <w:numId w:val="32"/>
        </w:numPr>
        <w:tabs>
          <w:tab w:val="left" w:pos="709"/>
        </w:tabs>
        <w:ind w:left="0" w:firstLine="425"/>
        <w:contextualSpacing/>
        <w:jc w:val="both"/>
        <w:rPr>
          <w:sz w:val="24"/>
          <w:szCs w:val="24"/>
        </w:rPr>
      </w:pPr>
      <w:r w:rsidRPr="00B137C1">
        <w:rPr>
          <w:sz w:val="24"/>
          <w:szCs w:val="24"/>
        </w:rPr>
        <w:t xml:space="preserve">Указание Приднестровского республиканского банка от 11 апреля 2018 года </w:t>
      </w:r>
      <w:r>
        <w:rPr>
          <w:sz w:val="24"/>
          <w:szCs w:val="24"/>
        </w:rPr>
        <w:br/>
      </w:r>
      <w:r w:rsidRPr="00B137C1">
        <w:rPr>
          <w:sz w:val="24"/>
          <w:szCs w:val="24"/>
        </w:rPr>
        <w:t>№ 1058-У «О внесении изменений в Положение Приднестровского республиканского банка от 20 ноября 2002 года № 25-П «О порядке реализации гражданам на территории Приднестровской Молдавской Республики товаров (работ, услуг) за наличную иностранную валюту» (регистрационный № 1966 от 17 января 2003 года) (САЗ 03-3)»;</w:t>
      </w:r>
    </w:p>
    <w:p w:rsidR="00C20988" w:rsidRPr="00B137C1" w:rsidRDefault="00C20988" w:rsidP="00444A74">
      <w:pPr>
        <w:pStyle w:val="ListParagraph"/>
        <w:numPr>
          <w:ilvl w:val="0"/>
          <w:numId w:val="32"/>
        </w:numPr>
        <w:tabs>
          <w:tab w:val="left" w:pos="709"/>
        </w:tabs>
        <w:ind w:left="0" w:firstLine="425"/>
        <w:contextualSpacing/>
        <w:jc w:val="both"/>
        <w:rPr>
          <w:sz w:val="24"/>
          <w:szCs w:val="24"/>
        </w:rPr>
      </w:pPr>
      <w:r w:rsidRPr="00B137C1">
        <w:rPr>
          <w:sz w:val="24"/>
          <w:szCs w:val="24"/>
        </w:rPr>
        <w:t xml:space="preserve">Указание Приднестровского республиканского банка от 23 апреля 2018 года </w:t>
      </w:r>
      <w:r>
        <w:rPr>
          <w:sz w:val="24"/>
          <w:szCs w:val="24"/>
        </w:rPr>
        <w:br/>
      </w:r>
      <w:r w:rsidRPr="00B137C1">
        <w:rPr>
          <w:sz w:val="24"/>
          <w:szCs w:val="24"/>
        </w:rPr>
        <w:t>№ 1060-У «О внесении дополнений в Инструкцию Приднестровского республиканского банка от 26 июня 2007 года № 21-И «О порядке выдачи Приднестровским республиканским банком разрешений на открытие счетов в банках за пределами территории Приднестровской Молдавской Республики и проведение операций по ним» (регистрационный № 4029 от 6 августа 2007 года) (САЗ 07-33)»;</w:t>
      </w:r>
    </w:p>
    <w:p w:rsidR="00C20988" w:rsidRDefault="00C20988" w:rsidP="00B137C1">
      <w:pPr>
        <w:pStyle w:val="ListParagraph"/>
        <w:numPr>
          <w:ilvl w:val="0"/>
          <w:numId w:val="32"/>
        </w:numPr>
        <w:tabs>
          <w:tab w:val="left" w:pos="709"/>
        </w:tabs>
        <w:ind w:left="0" w:firstLine="425"/>
        <w:contextualSpacing/>
        <w:jc w:val="both"/>
        <w:rPr>
          <w:sz w:val="24"/>
          <w:szCs w:val="24"/>
        </w:rPr>
      </w:pPr>
      <w:r w:rsidRPr="00B137C1">
        <w:rPr>
          <w:sz w:val="24"/>
          <w:szCs w:val="24"/>
        </w:rPr>
        <w:t>Указание Приднестровского республиканского банка от 5 июня 201</w:t>
      </w:r>
      <w:r>
        <w:rPr>
          <w:sz w:val="24"/>
          <w:szCs w:val="24"/>
        </w:rPr>
        <w:t xml:space="preserve">8 года № 1078-У </w:t>
      </w:r>
      <w:r w:rsidRPr="00B137C1">
        <w:rPr>
          <w:sz w:val="24"/>
          <w:szCs w:val="24"/>
        </w:rPr>
        <w:t>«О внесении изменений и дополнения в Положение Приднестровского республиканского банка от 19 июня 2007 года № 75-П «Об осуществлении обязательной продажи части валютной выручки» (регистрационный № 4016 от 26 июля 2007 года) (САЗ 07-31)»;</w:t>
      </w:r>
    </w:p>
    <w:p w:rsidR="00C20988" w:rsidRPr="00B137C1" w:rsidRDefault="00C20988" w:rsidP="00B137C1">
      <w:pPr>
        <w:pStyle w:val="ListParagraph"/>
        <w:numPr>
          <w:ilvl w:val="0"/>
          <w:numId w:val="32"/>
        </w:numPr>
        <w:tabs>
          <w:tab w:val="left" w:pos="709"/>
          <w:tab w:val="left" w:pos="851"/>
        </w:tabs>
        <w:ind w:left="0" w:firstLine="425"/>
        <w:contextualSpacing/>
        <w:jc w:val="both"/>
        <w:rPr>
          <w:sz w:val="24"/>
          <w:szCs w:val="24"/>
        </w:rPr>
      </w:pPr>
      <w:r w:rsidRPr="00B137C1">
        <w:rPr>
          <w:sz w:val="24"/>
          <w:szCs w:val="24"/>
        </w:rPr>
        <w:t xml:space="preserve"> Указание Приднестровского республиканского банка от 11 июня 2018 года </w:t>
      </w:r>
      <w:r>
        <w:rPr>
          <w:sz w:val="24"/>
          <w:szCs w:val="24"/>
        </w:rPr>
        <w:br/>
      </w:r>
      <w:r w:rsidRPr="00B137C1">
        <w:rPr>
          <w:sz w:val="24"/>
          <w:szCs w:val="24"/>
        </w:rPr>
        <w:t xml:space="preserve">№ 1082-У «О внесении изменений и дополнений в Инструкцию Приднестровского республиканского банка от 9 июля 2010 года № 31-И «О порядке осуществления валютного контроля за платежами в иностранной валюте в пользу нерезидентов» (регистрационный </w:t>
      </w:r>
      <w:r>
        <w:rPr>
          <w:sz w:val="24"/>
          <w:szCs w:val="24"/>
        </w:rPr>
        <w:br/>
      </w:r>
      <w:r w:rsidRPr="00B137C1">
        <w:rPr>
          <w:sz w:val="24"/>
          <w:szCs w:val="24"/>
        </w:rPr>
        <w:t>№ 5385 от 15 сентября 2010 года) (САЗ 10-37)»;</w:t>
      </w:r>
    </w:p>
    <w:p w:rsidR="00C20988" w:rsidRPr="00B137C1" w:rsidRDefault="00C20988" w:rsidP="00B137C1">
      <w:pPr>
        <w:pStyle w:val="ListParagraph"/>
        <w:numPr>
          <w:ilvl w:val="0"/>
          <w:numId w:val="32"/>
        </w:numPr>
        <w:tabs>
          <w:tab w:val="left" w:pos="709"/>
          <w:tab w:val="left" w:pos="851"/>
          <w:tab w:val="left" w:pos="1701"/>
        </w:tabs>
        <w:ind w:left="0" w:firstLine="425"/>
        <w:contextualSpacing/>
        <w:jc w:val="both"/>
        <w:rPr>
          <w:sz w:val="24"/>
          <w:szCs w:val="24"/>
        </w:rPr>
      </w:pPr>
      <w:r w:rsidRPr="00B137C1">
        <w:rPr>
          <w:sz w:val="24"/>
          <w:szCs w:val="24"/>
        </w:rPr>
        <w:t xml:space="preserve"> Указание Приднестровского республиканского банка от 18 июня 2018 года </w:t>
      </w:r>
      <w:r>
        <w:rPr>
          <w:sz w:val="24"/>
          <w:szCs w:val="24"/>
        </w:rPr>
        <w:br/>
      </w:r>
      <w:r w:rsidRPr="00B137C1">
        <w:rPr>
          <w:sz w:val="24"/>
          <w:szCs w:val="24"/>
        </w:rPr>
        <w:t>№ 1086-У «О внесении изменений в некоторые нормативные акты Приднестровского республиканского банка»;</w:t>
      </w:r>
    </w:p>
    <w:p w:rsidR="00C20988" w:rsidRPr="00B137C1" w:rsidRDefault="00C20988" w:rsidP="00B137C1">
      <w:pPr>
        <w:pStyle w:val="ListParagraph"/>
        <w:numPr>
          <w:ilvl w:val="0"/>
          <w:numId w:val="32"/>
        </w:numPr>
        <w:tabs>
          <w:tab w:val="left" w:pos="709"/>
          <w:tab w:val="left" w:pos="851"/>
        </w:tabs>
        <w:ind w:left="0" w:firstLine="425"/>
        <w:contextualSpacing/>
        <w:jc w:val="both"/>
        <w:rPr>
          <w:sz w:val="24"/>
          <w:szCs w:val="24"/>
        </w:rPr>
      </w:pPr>
      <w:r w:rsidRPr="00B137C1">
        <w:rPr>
          <w:sz w:val="24"/>
          <w:szCs w:val="24"/>
        </w:rPr>
        <w:t xml:space="preserve"> Инструкция Приднестровского республиканского банка от 11 июня 2018 года </w:t>
      </w:r>
      <w:r>
        <w:rPr>
          <w:sz w:val="24"/>
          <w:szCs w:val="24"/>
        </w:rPr>
        <w:br/>
      </w:r>
      <w:r w:rsidRPr="00B137C1">
        <w:rPr>
          <w:sz w:val="24"/>
          <w:szCs w:val="24"/>
        </w:rPr>
        <w:t>№ 35-И «О порядке присвоения субъекту хозяйственной деятельности идентификационного номера, присвоения банковского кода контракта и представления в центральный банк информации о реквизитах открытых счетов субъектов хозяйственной деятельности для целей валютного контроля»;</w:t>
      </w:r>
    </w:p>
    <w:p w:rsidR="00C20988" w:rsidRPr="00B137C1" w:rsidRDefault="00C20988" w:rsidP="00B137C1">
      <w:pPr>
        <w:pStyle w:val="ListParagraph"/>
        <w:numPr>
          <w:ilvl w:val="0"/>
          <w:numId w:val="32"/>
        </w:numPr>
        <w:tabs>
          <w:tab w:val="left" w:pos="709"/>
          <w:tab w:val="left" w:pos="851"/>
        </w:tabs>
        <w:ind w:left="0" w:firstLine="425"/>
        <w:contextualSpacing/>
        <w:jc w:val="both"/>
        <w:rPr>
          <w:sz w:val="24"/>
          <w:szCs w:val="24"/>
        </w:rPr>
      </w:pPr>
      <w:r w:rsidRPr="00B137C1">
        <w:rPr>
          <w:sz w:val="24"/>
          <w:szCs w:val="24"/>
        </w:rPr>
        <w:t xml:space="preserve"> Инструкция Приднестровского республиканского банка от 24 августа 2018 года </w:t>
      </w:r>
      <w:r>
        <w:rPr>
          <w:sz w:val="24"/>
          <w:szCs w:val="24"/>
        </w:rPr>
        <w:br/>
      </w:r>
      <w:r w:rsidRPr="00B137C1">
        <w:rPr>
          <w:sz w:val="24"/>
          <w:szCs w:val="24"/>
        </w:rPr>
        <w:t>№ 37-И «О порядке осуществления валютного контроля за репатриацией валютных средств при экспорте товаров из Приднестровской Молдавской Республики»;</w:t>
      </w:r>
    </w:p>
    <w:p w:rsidR="00C20988" w:rsidRPr="00B137C1" w:rsidRDefault="00C20988" w:rsidP="00B137C1">
      <w:pPr>
        <w:pStyle w:val="ListParagraph"/>
        <w:numPr>
          <w:ilvl w:val="0"/>
          <w:numId w:val="32"/>
        </w:numPr>
        <w:tabs>
          <w:tab w:val="left" w:pos="709"/>
          <w:tab w:val="left" w:pos="851"/>
        </w:tabs>
        <w:ind w:left="0" w:firstLine="425"/>
        <w:contextualSpacing/>
        <w:jc w:val="both"/>
        <w:rPr>
          <w:sz w:val="24"/>
          <w:szCs w:val="24"/>
        </w:rPr>
      </w:pPr>
      <w:r w:rsidRPr="00B137C1">
        <w:rPr>
          <w:sz w:val="24"/>
          <w:szCs w:val="24"/>
        </w:rPr>
        <w:t xml:space="preserve"> Указание Приднестровского республиканского банка от 27 августа 2018 года </w:t>
      </w:r>
      <w:r>
        <w:rPr>
          <w:sz w:val="24"/>
          <w:szCs w:val="24"/>
        </w:rPr>
        <w:br/>
      </w:r>
      <w:r w:rsidRPr="00B137C1">
        <w:rPr>
          <w:sz w:val="24"/>
          <w:szCs w:val="24"/>
        </w:rPr>
        <w:t>№ 1103-У «О внесении изменения в Указание Приднестровского республиканского банка от 9 февраля 2018 года № 1043-У «О регулировании отдельных операций с наличной иностранной валютой, при расчётах по внешнеэкономическим сделкам без заключения внешнеэкономических контрактов» (регистрационный № 8137 от 12 февраля 2018 года) (САЗ 18-07)»;</w:t>
      </w:r>
    </w:p>
    <w:p w:rsidR="00C20988" w:rsidRPr="00B137C1" w:rsidRDefault="00C20988" w:rsidP="00B137C1">
      <w:pPr>
        <w:pStyle w:val="ListParagraph"/>
        <w:numPr>
          <w:ilvl w:val="0"/>
          <w:numId w:val="32"/>
        </w:numPr>
        <w:tabs>
          <w:tab w:val="left" w:pos="709"/>
          <w:tab w:val="left" w:pos="851"/>
        </w:tabs>
        <w:ind w:left="0" w:firstLine="425"/>
        <w:contextualSpacing/>
        <w:jc w:val="both"/>
        <w:rPr>
          <w:sz w:val="24"/>
          <w:szCs w:val="24"/>
        </w:rPr>
      </w:pPr>
      <w:r w:rsidRPr="00B137C1">
        <w:rPr>
          <w:sz w:val="24"/>
          <w:szCs w:val="24"/>
        </w:rPr>
        <w:t xml:space="preserve"> Указание Приднестровского республиканского банка от 23 октября 2018 года №1115-У «О внесении изменения в Положение Приднестровского республиканского банка от 17 августа 2006 года № 65-П «О порядке проведения операций с иностранной валютой в Приднестровской Молдавской Республике» (регистрационный № 3661 от 29 августа 2006 года) (САЗ 06-36)»;</w:t>
      </w:r>
    </w:p>
    <w:p w:rsidR="00C20988" w:rsidRPr="00B137C1" w:rsidRDefault="00C20988" w:rsidP="00B137C1">
      <w:pPr>
        <w:pStyle w:val="ListParagraph"/>
        <w:numPr>
          <w:ilvl w:val="0"/>
          <w:numId w:val="32"/>
        </w:numPr>
        <w:tabs>
          <w:tab w:val="left" w:pos="709"/>
          <w:tab w:val="left" w:pos="851"/>
        </w:tabs>
        <w:ind w:left="0" w:firstLine="425"/>
        <w:contextualSpacing/>
        <w:jc w:val="both"/>
        <w:rPr>
          <w:sz w:val="24"/>
          <w:szCs w:val="24"/>
        </w:rPr>
      </w:pPr>
      <w:r w:rsidRPr="00B137C1">
        <w:rPr>
          <w:sz w:val="24"/>
          <w:szCs w:val="24"/>
        </w:rPr>
        <w:t xml:space="preserve"> Указание Приднестровского республиканского банка от 15 ноября 2018 года №1123-У «О внесении изменения и дополнения в Положение Приднестровского республиканского банка от 19 июня 2007 года № 73-П «О регистрации Приднестровским республиканским банком отдельных видов валютных операций, связанных с движением капитала» (регистрационный № 4015 от 26 июля 2007 года) (САЗ 07-31)»;</w:t>
      </w:r>
    </w:p>
    <w:p w:rsidR="00C20988" w:rsidRPr="00B137C1" w:rsidRDefault="00C20988" w:rsidP="00B137C1">
      <w:pPr>
        <w:pStyle w:val="ListParagraph"/>
        <w:numPr>
          <w:ilvl w:val="0"/>
          <w:numId w:val="32"/>
        </w:numPr>
        <w:tabs>
          <w:tab w:val="left" w:pos="709"/>
          <w:tab w:val="left" w:pos="851"/>
        </w:tabs>
        <w:ind w:left="0" w:firstLine="425"/>
        <w:contextualSpacing/>
        <w:jc w:val="both"/>
        <w:rPr>
          <w:sz w:val="24"/>
          <w:szCs w:val="24"/>
        </w:rPr>
      </w:pPr>
      <w:r w:rsidRPr="00B137C1">
        <w:rPr>
          <w:sz w:val="24"/>
          <w:szCs w:val="24"/>
        </w:rPr>
        <w:t xml:space="preserve"> Указание Приднестровского республиканского банка от 3 декабря 2018 года </w:t>
      </w:r>
      <w:r>
        <w:rPr>
          <w:sz w:val="24"/>
          <w:szCs w:val="24"/>
        </w:rPr>
        <w:br/>
      </w:r>
      <w:r w:rsidRPr="00B137C1">
        <w:rPr>
          <w:sz w:val="24"/>
          <w:szCs w:val="24"/>
        </w:rPr>
        <w:t>№ 1124-У «О внесении изменений в Положение Приднестровского республиканского банка от 20 ноября 2002 года № 25-П «О лицензировании деятельности по реализации физическим лицам на территории Приднестровской Молдавской Республики товаров (работ, услуг) за наличную и (или) безналичную иностранную валюту, в том числе с использованием банковских (платёжных) карт» (регистрационный № 1966 от 17 января 2003 года)</w:t>
      </w:r>
      <w:r>
        <w:rPr>
          <w:sz w:val="24"/>
          <w:szCs w:val="24"/>
        </w:rPr>
        <w:t xml:space="preserve"> </w:t>
      </w:r>
      <w:r>
        <w:rPr>
          <w:sz w:val="24"/>
          <w:szCs w:val="24"/>
        </w:rPr>
        <w:br/>
      </w:r>
      <w:r w:rsidRPr="00B137C1">
        <w:rPr>
          <w:sz w:val="24"/>
          <w:szCs w:val="24"/>
        </w:rPr>
        <w:t>(САЗ 03-3)»;</w:t>
      </w:r>
    </w:p>
    <w:p w:rsidR="00C20988" w:rsidRPr="00B137C1" w:rsidRDefault="00C20988" w:rsidP="00B137C1">
      <w:pPr>
        <w:pStyle w:val="ListParagraph"/>
        <w:numPr>
          <w:ilvl w:val="0"/>
          <w:numId w:val="32"/>
        </w:numPr>
        <w:tabs>
          <w:tab w:val="left" w:pos="709"/>
          <w:tab w:val="left" w:pos="851"/>
        </w:tabs>
        <w:ind w:left="0" w:firstLine="425"/>
        <w:contextualSpacing/>
        <w:jc w:val="both"/>
        <w:rPr>
          <w:sz w:val="24"/>
          <w:szCs w:val="24"/>
        </w:rPr>
      </w:pPr>
      <w:r w:rsidRPr="00B137C1">
        <w:rPr>
          <w:sz w:val="24"/>
          <w:szCs w:val="24"/>
        </w:rPr>
        <w:t xml:space="preserve"> Указание Приднестровского республиканского банка от 20 декабря 2018 года </w:t>
      </w:r>
      <w:r>
        <w:rPr>
          <w:sz w:val="24"/>
          <w:szCs w:val="24"/>
        </w:rPr>
        <w:br/>
      </w:r>
      <w:r w:rsidRPr="00B137C1">
        <w:rPr>
          <w:sz w:val="24"/>
          <w:szCs w:val="24"/>
        </w:rPr>
        <w:t>№ 1131-У «О внесении дополнения в Положение Приднестровского республиканского банка от 19 июня 2007 года № 75-П «Об осуществлении обязательной продажи части валютной выручки» (регистрационный № 4016 от 26 июля 2007 года) (САЗ 07-31)»;</w:t>
      </w:r>
    </w:p>
    <w:p w:rsidR="00C20988" w:rsidRPr="00B137C1" w:rsidRDefault="00C20988" w:rsidP="00B137C1">
      <w:pPr>
        <w:pStyle w:val="ListParagraph"/>
        <w:numPr>
          <w:ilvl w:val="0"/>
          <w:numId w:val="32"/>
        </w:numPr>
        <w:tabs>
          <w:tab w:val="left" w:pos="709"/>
          <w:tab w:val="left" w:pos="851"/>
        </w:tabs>
        <w:ind w:left="0" w:firstLine="425"/>
        <w:contextualSpacing/>
        <w:jc w:val="both"/>
        <w:rPr>
          <w:sz w:val="24"/>
          <w:szCs w:val="24"/>
        </w:rPr>
      </w:pPr>
      <w:r w:rsidRPr="00B137C1">
        <w:rPr>
          <w:sz w:val="24"/>
          <w:szCs w:val="24"/>
        </w:rPr>
        <w:t xml:space="preserve"> Указание Приднестровского республиканского банка от 27 декабря 2018 года №1133-У «О внесении изменений в Указание Приднестровского республиканского банка от 11 декабря 2017 года № 1024-У «Об установлении срока репатриации для договоров по экспортным операциям резидентов с зерновыми, масличными и техническими культурами» (регистрационный № 8062 от 20 декабря 2017 года) (САЗ 17-52)».</w:t>
      </w:r>
    </w:p>
    <w:p w:rsidR="00C20988" w:rsidRPr="00B137C1" w:rsidRDefault="00C20988" w:rsidP="00973502">
      <w:pPr>
        <w:pStyle w:val="3"/>
        <w:spacing w:before="120" w:after="120"/>
        <w:ind w:firstLine="425"/>
        <w:jc w:val="both"/>
        <w:rPr>
          <w:i/>
          <w:szCs w:val="24"/>
        </w:rPr>
      </w:pPr>
      <w:r w:rsidRPr="00B137C1">
        <w:rPr>
          <w:i/>
          <w:szCs w:val="24"/>
        </w:rPr>
        <w:t>В сфере регулирования и надзора кредитных организаций:</w:t>
      </w:r>
    </w:p>
    <w:p w:rsidR="00C20988" w:rsidRPr="00B137C1" w:rsidRDefault="00C20988" w:rsidP="00444A74">
      <w:pPr>
        <w:pStyle w:val="3"/>
        <w:numPr>
          <w:ilvl w:val="0"/>
          <w:numId w:val="33"/>
        </w:numPr>
        <w:tabs>
          <w:tab w:val="left" w:pos="709"/>
        </w:tabs>
        <w:spacing w:before="0" w:after="0"/>
        <w:ind w:left="0" w:firstLine="425"/>
        <w:jc w:val="both"/>
        <w:rPr>
          <w:szCs w:val="24"/>
        </w:rPr>
      </w:pPr>
      <w:r w:rsidRPr="00B137C1">
        <w:rPr>
          <w:szCs w:val="24"/>
        </w:rPr>
        <w:t xml:space="preserve">Указание Приднестровского республиканского банка от 30 января 2018 года </w:t>
      </w:r>
      <w:r w:rsidRPr="00B137C1">
        <w:rPr>
          <w:szCs w:val="24"/>
        </w:rPr>
        <w:br/>
        <w:t xml:space="preserve">№ 1036-У «О внесении изменений в Положение Приднестровского республиканского банка от 21 ноября 2006 года № 71-П «О внутренних структурных подразделениях (отделениях) банка и небанковской кредитной организации» (Регистрационный № 3792 от 23 января </w:t>
      </w:r>
      <w:r w:rsidRPr="00B137C1">
        <w:rPr>
          <w:szCs w:val="24"/>
        </w:rPr>
        <w:br/>
        <w:t>2007 года) (САЗ 07-05)»;</w:t>
      </w:r>
    </w:p>
    <w:p w:rsidR="00C20988" w:rsidRPr="00B137C1" w:rsidRDefault="00C20988" w:rsidP="00444A74">
      <w:pPr>
        <w:pStyle w:val="3"/>
        <w:numPr>
          <w:ilvl w:val="0"/>
          <w:numId w:val="33"/>
        </w:numPr>
        <w:tabs>
          <w:tab w:val="left" w:pos="709"/>
        </w:tabs>
        <w:spacing w:before="0" w:after="0"/>
        <w:ind w:left="0" w:firstLine="425"/>
        <w:jc w:val="both"/>
        <w:rPr>
          <w:szCs w:val="24"/>
        </w:rPr>
      </w:pPr>
      <w:r w:rsidRPr="00B137C1">
        <w:rPr>
          <w:szCs w:val="24"/>
        </w:rPr>
        <w:t>Указание Приднестровского республиканского банка от 31 января 2018 года</w:t>
      </w:r>
      <w:r w:rsidRPr="00B137C1">
        <w:rPr>
          <w:szCs w:val="24"/>
        </w:rPr>
        <w:br/>
        <w:t xml:space="preserve"> № 1038-У «О внесении изменений и дополнений в Положение Приднестровского республиканского банка от 13 июня 2006 года № 63-П «О порядке деятельности обменных пунктов на территории Приднестровской Молдавской Республики» (Регистрационный </w:t>
      </w:r>
      <w:r w:rsidRPr="00B137C1">
        <w:rPr>
          <w:szCs w:val="24"/>
        </w:rPr>
        <w:br/>
        <w:t>№ 3616 от 3 июля 2006 года) (САЗ 06-28)»;</w:t>
      </w:r>
    </w:p>
    <w:p w:rsidR="00C20988" w:rsidRPr="00B137C1" w:rsidRDefault="00C20988" w:rsidP="00444A74">
      <w:pPr>
        <w:pStyle w:val="3"/>
        <w:numPr>
          <w:ilvl w:val="0"/>
          <w:numId w:val="33"/>
        </w:numPr>
        <w:tabs>
          <w:tab w:val="left" w:pos="709"/>
        </w:tabs>
        <w:spacing w:before="0" w:after="0"/>
        <w:ind w:left="0" w:firstLine="425"/>
        <w:jc w:val="both"/>
        <w:rPr>
          <w:szCs w:val="24"/>
        </w:rPr>
      </w:pPr>
      <w:r w:rsidRPr="00B137C1">
        <w:rPr>
          <w:szCs w:val="24"/>
        </w:rPr>
        <w:t xml:space="preserve">Указание Приднестровского республиканского банка от 31 января 2018 года </w:t>
      </w:r>
      <w:r w:rsidRPr="00B137C1">
        <w:rPr>
          <w:szCs w:val="24"/>
        </w:rPr>
        <w:br/>
        <w:t xml:space="preserve">№ 1039-У «О внесении изменений в Положение Приднестровского республиканского банка от 10 ноября 2009 года № 91-П «О порядке формирования и использования кредитными организациями фонда риска» (Регистрационный № 5089 от 17 декабря 2009 года) </w:t>
      </w:r>
      <w:r w:rsidRPr="00B137C1">
        <w:rPr>
          <w:szCs w:val="24"/>
        </w:rPr>
        <w:br/>
        <w:t>(САЗ 09-51)»;</w:t>
      </w:r>
    </w:p>
    <w:p w:rsidR="00C20988" w:rsidRPr="00B137C1" w:rsidRDefault="00C20988" w:rsidP="00444A74">
      <w:pPr>
        <w:pStyle w:val="3"/>
        <w:numPr>
          <w:ilvl w:val="0"/>
          <w:numId w:val="33"/>
        </w:numPr>
        <w:tabs>
          <w:tab w:val="left" w:pos="709"/>
        </w:tabs>
        <w:spacing w:before="0" w:after="0"/>
        <w:ind w:left="0" w:firstLine="425"/>
        <w:jc w:val="both"/>
        <w:rPr>
          <w:szCs w:val="24"/>
        </w:rPr>
      </w:pPr>
      <w:r w:rsidRPr="00B137C1">
        <w:rPr>
          <w:szCs w:val="24"/>
        </w:rPr>
        <w:t xml:space="preserve">Указание Приднестровского республиканского банка от 8 февраля 2018 года </w:t>
      </w:r>
      <w:r w:rsidRPr="00B137C1">
        <w:rPr>
          <w:szCs w:val="24"/>
        </w:rPr>
        <w:br/>
        <w:t>№ 1042-У «О внесении изменений и дополнений в Инструкцию Приднестровского республиканского банка от 22 ноября 2007 года № 23-И «О порядке осуществления Приднестровским республиканским банком камерального надзора (контроля) за деятельностью юридических лиц, осуществляющих операции с иностранной валютой, и кредитных организаций» (Регистрационный № 4220 от 25 декабря 2007 года) (САЗ 07-53)»;</w:t>
      </w:r>
    </w:p>
    <w:p w:rsidR="00C20988" w:rsidRPr="00B137C1" w:rsidRDefault="00C20988" w:rsidP="00444A74">
      <w:pPr>
        <w:pStyle w:val="3"/>
        <w:numPr>
          <w:ilvl w:val="0"/>
          <w:numId w:val="33"/>
        </w:numPr>
        <w:tabs>
          <w:tab w:val="left" w:pos="709"/>
        </w:tabs>
        <w:spacing w:before="0" w:after="0"/>
        <w:ind w:left="0" w:firstLine="425"/>
        <w:jc w:val="both"/>
        <w:rPr>
          <w:szCs w:val="24"/>
        </w:rPr>
      </w:pPr>
      <w:r w:rsidRPr="00B137C1">
        <w:rPr>
          <w:szCs w:val="24"/>
        </w:rPr>
        <w:t xml:space="preserve">Указание Приднестровского республиканского банка от 6 марта 2018 года № 1049-У </w:t>
      </w:r>
      <w:r w:rsidRPr="00B137C1">
        <w:rPr>
          <w:szCs w:val="24"/>
        </w:rPr>
        <w:br/>
        <w:t xml:space="preserve">«О внесении изменения в Инструкцию Приднестровского республиканского банка от </w:t>
      </w:r>
      <w:r>
        <w:rPr>
          <w:szCs w:val="24"/>
        </w:rPr>
        <w:br/>
      </w:r>
      <w:r w:rsidRPr="00B137C1">
        <w:rPr>
          <w:szCs w:val="24"/>
        </w:rPr>
        <w:t xml:space="preserve">8 августа 2006 года № 17-И «О порядке открытия, ведения, переоформления и закрытия счетов в банках Приднестровской Молдавской Республики» (регистрационный № 3662 от </w:t>
      </w:r>
      <w:r>
        <w:rPr>
          <w:szCs w:val="24"/>
        </w:rPr>
        <w:br/>
      </w:r>
      <w:r w:rsidRPr="00B137C1">
        <w:rPr>
          <w:szCs w:val="24"/>
        </w:rPr>
        <w:t>29 августа 2006 года) (САЗ 06-36)»;</w:t>
      </w:r>
    </w:p>
    <w:p w:rsidR="00C20988" w:rsidRPr="00B137C1" w:rsidRDefault="00C20988" w:rsidP="00444A74">
      <w:pPr>
        <w:pStyle w:val="3"/>
        <w:numPr>
          <w:ilvl w:val="0"/>
          <w:numId w:val="33"/>
        </w:numPr>
        <w:tabs>
          <w:tab w:val="left" w:pos="709"/>
        </w:tabs>
        <w:spacing w:before="0" w:after="0"/>
        <w:ind w:left="0" w:firstLine="425"/>
        <w:jc w:val="both"/>
        <w:rPr>
          <w:szCs w:val="24"/>
        </w:rPr>
      </w:pPr>
      <w:r w:rsidRPr="00B137C1">
        <w:rPr>
          <w:szCs w:val="24"/>
        </w:rPr>
        <w:t xml:space="preserve">Указание Приднестровского республиканского банка от 30 марта 2018 года № 1056-У </w:t>
      </w:r>
      <w:r w:rsidRPr="00B137C1">
        <w:rPr>
          <w:szCs w:val="24"/>
        </w:rPr>
        <w:br/>
        <w:t xml:space="preserve">«О внесении дополнений в Указание Приднестровского республиканского банка от </w:t>
      </w:r>
      <w:r>
        <w:rPr>
          <w:szCs w:val="24"/>
        </w:rPr>
        <w:br/>
      </w:r>
      <w:r w:rsidRPr="00B137C1">
        <w:rPr>
          <w:szCs w:val="24"/>
        </w:rPr>
        <w:t>23 января 2016 года № 889-У «О временном порядке применения некоторых нормативных актов Приднестровского республиканского банка» (Регистрационный № 7354 от 16 февраля 2016 года) (САЗ 16-7)»;</w:t>
      </w:r>
    </w:p>
    <w:p w:rsidR="00C20988" w:rsidRPr="00B137C1" w:rsidRDefault="00C20988" w:rsidP="00444A74">
      <w:pPr>
        <w:pStyle w:val="3"/>
        <w:numPr>
          <w:ilvl w:val="0"/>
          <w:numId w:val="33"/>
        </w:numPr>
        <w:tabs>
          <w:tab w:val="left" w:pos="709"/>
        </w:tabs>
        <w:spacing w:before="0" w:after="0"/>
        <w:ind w:left="0" w:firstLine="425"/>
        <w:jc w:val="both"/>
        <w:rPr>
          <w:szCs w:val="24"/>
        </w:rPr>
      </w:pPr>
      <w:r w:rsidRPr="00B137C1">
        <w:rPr>
          <w:szCs w:val="24"/>
        </w:rPr>
        <w:t xml:space="preserve">Указание Приднестровского республиканского банка от 30 марта 2018 года № 1055-У </w:t>
      </w:r>
      <w:r w:rsidRPr="00B137C1">
        <w:rPr>
          <w:szCs w:val="24"/>
        </w:rPr>
        <w:br/>
        <w:t>«О внесении изменений и дополнения в Положение Приднестровского республиканского банка от 9 февраля 2011 года № 102-П «О порядке формирования и использования кредитными организациями фонда риска по прочим операциям» (Регистрационный № 5580 от 5 апреля 2011 года) (САЗ 11-14)»;</w:t>
      </w:r>
    </w:p>
    <w:p w:rsidR="00C20988" w:rsidRPr="00B137C1" w:rsidRDefault="00C20988" w:rsidP="00444A74">
      <w:pPr>
        <w:pStyle w:val="3"/>
        <w:numPr>
          <w:ilvl w:val="0"/>
          <w:numId w:val="33"/>
        </w:numPr>
        <w:tabs>
          <w:tab w:val="left" w:pos="709"/>
        </w:tabs>
        <w:spacing w:before="0" w:after="0"/>
        <w:ind w:left="0" w:firstLine="425"/>
        <w:jc w:val="both"/>
        <w:rPr>
          <w:szCs w:val="24"/>
        </w:rPr>
      </w:pPr>
      <w:r w:rsidRPr="00B137C1">
        <w:rPr>
          <w:szCs w:val="24"/>
        </w:rPr>
        <w:t xml:space="preserve">Указание Приднестровского республиканского банка от 23 апреля 2018 года № 1063-У «Об отмене Указания Приднестровского республиканского банка от 26 июня 2013 года </w:t>
      </w:r>
      <w:r>
        <w:rPr>
          <w:szCs w:val="24"/>
        </w:rPr>
        <w:br/>
      </w:r>
      <w:r w:rsidRPr="00B137C1">
        <w:rPr>
          <w:szCs w:val="24"/>
        </w:rPr>
        <w:t>№ 697-У «Об учёте программно-технических комплексов, предназначенных для совершения банковских операций без участия уполномоченного работника» (Регистрационный № 6515 от 5 августа 2013 года) (САЗ 13-31)»;</w:t>
      </w:r>
    </w:p>
    <w:p w:rsidR="00C20988" w:rsidRPr="00B137C1" w:rsidRDefault="00C20988" w:rsidP="00444A74">
      <w:pPr>
        <w:pStyle w:val="3"/>
        <w:numPr>
          <w:ilvl w:val="0"/>
          <w:numId w:val="33"/>
        </w:numPr>
        <w:tabs>
          <w:tab w:val="left" w:pos="709"/>
        </w:tabs>
        <w:spacing w:before="0" w:after="0"/>
        <w:ind w:left="0" w:firstLine="425"/>
        <w:jc w:val="both"/>
        <w:rPr>
          <w:szCs w:val="24"/>
        </w:rPr>
      </w:pPr>
      <w:r w:rsidRPr="00B137C1">
        <w:rPr>
          <w:szCs w:val="24"/>
        </w:rPr>
        <w:t>Указание Приднестровского республиканского банка от 10 мая 2018 года № 1071-У</w:t>
      </w:r>
      <w:r w:rsidRPr="00B137C1">
        <w:rPr>
          <w:szCs w:val="24"/>
        </w:rPr>
        <w:br/>
        <w:t xml:space="preserve">«О внесении изменения в Инструкцию Приднестровского республиканского банка от </w:t>
      </w:r>
      <w:r>
        <w:rPr>
          <w:szCs w:val="24"/>
        </w:rPr>
        <w:br/>
      </w:r>
      <w:r w:rsidRPr="00B137C1">
        <w:rPr>
          <w:szCs w:val="24"/>
        </w:rPr>
        <w:t>6 апреля 2004 года № 12-И «О регистрации банков, кредитных организаций и лицензировании банковской деятельности» (Регистрационный № 2813 от 16 июня 2004 года) (САЗ 04-25)»;</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10 мая 2018 года № 1072-У «О внесении изменения в Положение Приднестровского республиканского банка от </w:t>
      </w:r>
      <w:r>
        <w:rPr>
          <w:szCs w:val="24"/>
        </w:rPr>
        <w:br/>
      </w:r>
      <w:r w:rsidRPr="00B137C1">
        <w:rPr>
          <w:szCs w:val="24"/>
        </w:rPr>
        <w:t xml:space="preserve">25 апреля 2007 года № 72-П «О порядке эмиссии банковских карт и об операциях, совершаемых с использованием платёжных карт» (Регистрационный № 3945 от 31 мая </w:t>
      </w:r>
      <w:r>
        <w:rPr>
          <w:szCs w:val="24"/>
        </w:rPr>
        <w:br/>
      </w:r>
      <w:r w:rsidRPr="00B137C1">
        <w:rPr>
          <w:szCs w:val="24"/>
        </w:rPr>
        <w:t>2007 года) (САЗ 07-23)»;</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30 мая 2018 года № 1075-У </w:t>
      </w:r>
      <w:r w:rsidRPr="00B137C1">
        <w:rPr>
          <w:szCs w:val="24"/>
        </w:rPr>
        <w:br/>
        <w:t>«О внесении изменений в Положение Приднестровского республиканского банка от 9 ноября 2007 года № 83-П «О кредитных организациях, осуществляющих отдельные банковские операции» (Регистрационный № 4194 от 17 декабря 2007 года) (САЗ 07-52)»;</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30 мая 2018 года № 1076-У </w:t>
      </w:r>
      <w:r w:rsidRPr="00B137C1">
        <w:rPr>
          <w:szCs w:val="24"/>
        </w:rPr>
        <w:br/>
        <w:t>«О внесении изменений в Положение Приднестровского республиканского банка от 13 июня 2006 года № 63-П «О порядке деятельности обменных пунктов на территории Приднестровской Молдавской Республики» (Регистрационный № 3616 от 3 июля 2006 года) (САЗ 06-28)»;</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29 июня 2018 года </w:t>
      </w:r>
      <w:r>
        <w:rPr>
          <w:szCs w:val="24"/>
        </w:rPr>
        <w:br/>
      </w:r>
      <w:r w:rsidRPr="00B137C1">
        <w:rPr>
          <w:szCs w:val="24"/>
        </w:rPr>
        <w:t xml:space="preserve">№ 1089-У «О внесении изменений и дополнения в Инструкцию Приднестровского республиканского банка от 6 апреля 2004 года № 12-И «О регистрации банков, кредитных организаций и лицензировании банковской деятельности» (Регистрационный № 2813 от </w:t>
      </w:r>
      <w:r>
        <w:rPr>
          <w:szCs w:val="24"/>
        </w:rPr>
        <w:br/>
      </w:r>
      <w:r w:rsidRPr="00B137C1">
        <w:rPr>
          <w:szCs w:val="24"/>
        </w:rPr>
        <w:t>16 июня 2004 года) (САЗ 04-25)»;</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1 августа 2018 года </w:t>
      </w:r>
      <w:r>
        <w:rPr>
          <w:szCs w:val="24"/>
        </w:rPr>
        <w:br/>
      </w:r>
      <w:r w:rsidRPr="00B137C1">
        <w:rPr>
          <w:szCs w:val="24"/>
        </w:rPr>
        <w:t>№</w:t>
      </w:r>
      <w:r>
        <w:rPr>
          <w:szCs w:val="24"/>
        </w:rPr>
        <w:t xml:space="preserve"> </w:t>
      </w:r>
      <w:r w:rsidRPr="00B137C1">
        <w:rPr>
          <w:szCs w:val="24"/>
        </w:rPr>
        <w:t>1093-У «О внесении изменений в Положение Приднестровского республиканского банка от 9 ноября 2007 года № 81-П «О порядке организации эффективного управления и контроля за ликвидностью в кредитных организациях Приднестровской Молдавской Республики» (Регистрационный № 4191 от 13 декабря 2007 года) (САЗ 07-51)»;</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8 августа 2018 года </w:t>
      </w:r>
      <w:r>
        <w:rPr>
          <w:szCs w:val="24"/>
        </w:rPr>
        <w:br/>
      </w:r>
      <w:r w:rsidRPr="00B137C1">
        <w:rPr>
          <w:szCs w:val="24"/>
        </w:rPr>
        <w:t>№</w:t>
      </w:r>
      <w:r>
        <w:rPr>
          <w:szCs w:val="24"/>
        </w:rPr>
        <w:t xml:space="preserve"> </w:t>
      </w:r>
      <w:r w:rsidRPr="00B137C1">
        <w:rPr>
          <w:szCs w:val="24"/>
        </w:rPr>
        <w:t xml:space="preserve">1094-У «О внесении изменений и дополнения в Инструкцию Приднестровского республиканского банка от 8 августа 2006 года № 17-И «О порядке открытия, ведения, переоформления и закрытия счетов в банках Приднестровской Молдавской Республики» </w:t>
      </w:r>
      <w:r w:rsidRPr="00B137C1">
        <w:rPr>
          <w:color w:val="000000"/>
          <w:szCs w:val="24"/>
        </w:rPr>
        <w:t>(Регистрационный № 3662 от 29 августа 2006 года) (САЗ 06-36)»</w:t>
      </w:r>
      <w:r w:rsidRPr="00B137C1">
        <w:rPr>
          <w:szCs w:val="24"/>
        </w:rPr>
        <w:t>;</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20 августа 2018 года </w:t>
      </w:r>
      <w:r w:rsidRPr="00B137C1">
        <w:rPr>
          <w:szCs w:val="24"/>
        </w:rPr>
        <w:br/>
        <w:t>№</w:t>
      </w:r>
      <w:r>
        <w:rPr>
          <w:szCs w:val="24"/>
        </w:rPr>
        <w:t xml:space="preserve"> </w:t>
      </w:r>
      <w:r w:rsidRPr="00B137C1">
        <w:rPr>
          <w:szCs w:val="24"/>
        </w:rPr>
        <w:t>1100-У «О внесении изменений в Положение Приднестровского республиканского банка от 26 июня 2007 года № 78-П «Об осуществлении банками операций с драгоценными металлами» (Регистрационный № 4317 от 20 февраля 2008 года) (САЗ 08-7)»;</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29 августа 2018 года </w:t>
      </w:r>
      <w:r>
        <w:rPr>
          <w:szCs w:val="24"/>
        </w:rPr>
        <w:br/>
      </w:r>
      <w:r w:rsidRPr="00B137C1">
        <w:rPr>
          <w:szCs w:val="24"/>
        </w:rPr>
        <w:t>№</w:t>
      </w:r>
      <w:r>
        <w:rPr>
          <w:szCs w:val="24"/>
        </w:rPr>
        <w:t xml:space="preserve"> </w:t>
      </w:r>
      <w:r w:rsidRPr="00B137C1">
        <w:rPr>
          <w:szCs w:val="24"/>
        </w:rPr>
        <w:t>1104-У «О внесении изменений и дополнения в Положение Приднестровского республиканского банка от 29 августа 2006 года № 66-П «Об учёте аффилированных лиц в кредитных организациях Приднестровской Молдавской Республики» (Регистрационный №3672 от 14 сентября 2006 года) (САЗ 06-38)»;</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29 августа 2018 года </w:t>
      </w:r>
      <w:r>
        <w:rPr>
          <w:szCs w:val="24"/>
        </w:rPr>
        <w:br/>
      </w:r>
      <w:r w:rsidRPr="00B137C1">
        <w:rPr>
          <w:szCs w:val="24"/>
        </w:rPr>
        <w:t>№</w:t>
      </w:r>
      <w:r>
        <w:rPr>
          <w:szCs w:val="24"/>
        </w:rPr>
        <w:t xml:space="preserve"> </w:t>
      </w:r>
      <w:r w:rsidRPr="00B137C1">
        <w:rPr>
          <w:szCs w:val="24"/>
        </w:rPr>
        <w:t>1105-У «О внесении изменений и дополнений в Положение Приднестровского республиканского банкнот 29 апреля 2007 года № 72-П «О порядке эмиссии банковских карт и об операциях, совершаемых с использованием платёжных карт» (Регистрационный № 4194 от 17 декабря 2007 года) (САЗ 07-52)»;</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31 октября 2018 года </w:t>
      </w:r>
      <w:r>
        <w:rPr>
          <w:szCs w:val="24"/>
        </w:rPr>
        <w:br/>
      </w:r>
      <w:r w:rsidRPr="00B137C1">
        <w:rPr>
          <w:szCs w:val="24"/>
        </w:rPr>
        <w:t>№</w:t>
      </w:r>
      <w:r>
        <w:rPr>
          <w:szCs w:val="24"/>
        </w:rPr>
        <w:t xml:space="preserve"> </w:t>
      </w:r>
      <w:r w:rsidRPr="00B137C1">
        <w:rPr>
          <w:szCs w:val="24"/>
        </w:rPr>
        <w:t>1116-У «О внесении изменений и дополнений в Инструкцию Приднестровского республиканского банка от 9 ноября 2007 года № 22-И «О порядке регулирования деятельности кредитных организаций» (Регистрационный № 4198 от 19 декабря 2007 года) (САЗ 07-52)»;</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7 декабря 2018 года </w:t>
      </w:r>
      <w:r>
        <w:rPr>
          <w:szCs w:val="24"/>
        </w:rPr>
        <w:br/>
      </w:r>
      <w:r w:rsidRPr="00B137C1">
        <w:rPr>
          <w:szCs w:val="24"/>
        </w:rPr>
        <w:t>№</w:t>
      </w:r>
      <w:r>
        <w:rPr>
          <w:szCs w:val="24"/>
        </w:rPr>
        <w:t xml:space="preserve"> </w:t>
      </w:r>
      <w:r w:rsidRPr="00B137C1">
        <w:rPr>
          <w:szCs w:val="24"/>
        </w:rPr>
        <w:t>1127-У «О внесении изменений в Положение Приднестровского республиканского банка от 9 ноября 2007 года № 83-П «О кредитных организациях, осуществляющих отдельные банковские операции» (Регистрационный № 4194 от 17 декабря 2007 года) (САЗ 07-52)»;</w:t>
      </w:r>
    </w:p>
    <w:p w:rsidR="00C20988" w:rsidRPr="00B137C1" w:rsidRDefault="00C20988" w:rsidP="00B137C1">
      <w:pPr>
        <w:pStyle w:val="3"/>
        <w:numPr>
          <w:ilvl w:val="0"/>
          <w:numId w:val="33"/>
        </w:numPr>
        <w:tabs>
          <w:tab w:val="left" w:pos="709"/>
          <w:tab w:val="left" w:pos="851"/>
        </w:tabs>
        <w:spacing w:before="0" w:after="0"/>
        <w:ind w:left="0" w:firstLine="425"/>
        <w:jc w:val="both"/>
        <w:rPr>
          <w:szCs w:val="24"/>
        </w:rPr>
      </w:pPr>
      <w:r w:rsidRPr="00B137C1">
        <w:rPr>
          <w:szCs w:val="24"/>
        </w:rPr>
        <w:t xml:space="preserve"> Указание Приднестровского республиканского банка от 7 декабря 2018 года </w:t>
      </w:r>
      <w:r>
        <w:rPr>
          <w:szCs w:val="24"/>
        </w:rPr>
        <w:br/>
      </w:r>
      <w:r w:rsidRPr="00B137C1">
        <w:rPr>
          <w:szCs w:val="24"/>
        </w:rPr>
        <w:t>№ 1128 «О внесении изменений и дополнений в некоторые нормативные акты Приднестровского республиканского банка».</w:t>
      </w:r>
    </w:p>
    <w:p w:rsidR="00C20988" w:rsidRPr="00B137C1" w:rsidRDefault="00C20988" w:rsidP="00973502">
      <w:pPr>
        <w:spacing w:before="120" w:after="120"/>
        <w:ind w:firstLine="425"/>
        <w:jc w:val="both"/>
        <w:rPr>
          <w:i/>
          <w:sz w:val="24"/>
          <w:szCs w:val="24"/>
        </w:rPr>
      </w:pPr>
      <w:r w:rsidRPr="00B137C1">
        <w:rPr>
          <w:i/>
          <w:sz w:val="24"/>
          <w:szCs w:val="24"/>
        </w:rPr>
        <w:t xml:space="preserve">В сфере регулирования и надзора страховой деятельности: </w:t>
      </w:r>
    </w:p>
    <w:p w:rsidR="00C20988" w:rsidRPr="00B137C1" w:rsidRDefault="00C20988" w:rsidP="00444A74">
      <w:pPr>
        <w:pStyle w:val="ListParagraph"/>
        <w:numPr>
          <w:ilvl w:val="0"/>
          <w:numId w:val="34"/>
        </w:numPr>
        <w:ind w:left="0" w:firstLine="425"/>
        <w:jc w:val="both"/>
        <w:rPr>
          <w:sz w:val="24"/>
          <w:szCs w:val="24"/>
        </w:rPr>
      </w:pPr>
      <w:r w:rsidRPr="00B137C1">
        <w:rPr>
          <w:bCs/>
          <w:sz w:val="24"/>
          <w:szCs w:val="24"/>
        </w:rPr>
        <w:t>Указание</w:t>
      </w:r>
      <w:r w:rsidRPr="00B137C1">
        <w:rPr>
          <w:sz w:val="24"/>
          <w:szCs w:val="24"/>
        </w:rPr>
        <w:t xml:space="preserve"> </w:t>
      </w:r>
      <w:r w:rsidRPr="00B137C1">
        <w:rPr>
          <w:bCs/>
          <w:sz w:val="24"/>
          <w:szCs w:val="24"/>
        </w:rPr>
        <w:t xml:space="preserve">Приднестровского республиканского банка от 30 марта 2018 № 1054-У </w:t>
      </w:r>
      <w:r w:rsidRPr="00B137C1">
        <w:rPr>
          <w:bCs/>
          <w:sz w:val="24"/>
          <w:szCs w:val="24"/>
        </w:rPr>
        <w:br/>
      </w:r>
      <w:r w:rsidRPr="00B137C1">
        <w:rPr>
          <w:sz w:val="24"/>
          <w:szCs w:val="24"/>
        </w:rPr>
        <w:t>«О порядке, требованиях и пределах инвестирования временно свободных средств Ассоциации страховщиков автотранспортных средств»;</w:t>
      </w:r>
    </w:p>
    <w:p w:rsidR="00C20988" w:rsidRPr="00B137C1" w:rsidRDefault="00C20988" w:rsidP="00444A74">
      <w:pPr>
        <w:pStyle w:val="ListParagraph"/>
        <w:numPr>
          <w:ilvl w:val="0"/>
          <w:numId w:val="34"/>
        </w:numPr>
        <w:ind w:left="0" w:firstLine="425"/>
        <w:jc w:val="both"/>
        <w:rPr>
          <w:sz w:val="24"/>
          <w:szCs w:val="24"/>
        </w:rPr>
      </w:pPr>
      <w:r w:rsidRPr="00B137C1">
        <w:rPr>
          <w:sz w:val="24"/>
          <w:szCs w:val="24"/>
        </w:rPr>
        <w:t xml:space="preserve">Указание Приднестровского республиканского банка от 10 мая 2018 года № 1069-У </w:t>
      </w:r>
      <w:r w:rsidRPr="00B137C1">
        <w:rPr>
          <w:sz w:val="24"/>
          <w:szCs w:val="24"/>
        </w:rPr>
        <w:br/>
        <w:t>«О порядке применения системы скидок и надбавок (bo</w:t>
      </w:r>
      <w:r w:rsidRPr="00B137C1">
        <w:rPr>
          <w:sz w:val="24"/>
          <w:szCs w:val="24"/>
          <w:lang w:val="en-US"/>
        </w:rPr>
        <w:t>n</w:t>
      </w:r>
      <w:r w:rsidRPr="00B137C1">
        <w:rPr>
          <w:sz w:val="24"/>
          <w:szCs w:val="24"/>
        </w:rPr>
        <w:t>us-malus) при осуществлении обязательного страхования гражданской ответственности владельцев транспортных средств»;</w:t>
      </w:r>
    </w:p>
    <w:p w:rsidR="00C20988" w:rsidRPr="00B137C1" w:rsidRDefault="00C20988" w:rsidP="00444A74">
      <w:pPr>
        <w:pStyle w:val="ListParagraph"/>
        <w:numPr>
          <w:ilvl w:val="0"/>
          <w:numId w:val="34"/>
        </w:numPr>
        <w:ind w:left="0" w:firstLine="425"/>
        <w:jc w:val="both"/>
        <w:rPr>
          <w:sz w:val="24"/>
          <w:szCs w:val="24"/>
        </w:rPr>
      </w:pPr>
      <w:r w:rsidRPr="00B137C1">
        <w:rPr>
          <w:sz w:val="24"/>
          <w:szCs w:val="24"/>
        </w:rPr>
        <w:t xml:space="preserve">Указание Приднестровского республиканского банка от 11 июня 2018 года № 1080-У </w:t>
      </w:r>
      <w:r w:rsidRPr="00B137C1">
        <w:rPr>
          <w:sz w:val="24"/>
          <w:szCs w:val="24"/>
        </w:rPr>
        <w:br/>
        <w:t>«О порядке внесения сведений в реестр объединений субъектов страхового дела»;</w:t>
      </w:r>
    </w:p>
    <w:p w:rsidR="00C20988" w:rsidRPr="00B137C1" w:rsidRDefault="00C20988" w:rsidP="00444A74">
      <w:pPr>
        <w:pStyle w:val="ListParagraph"/>
        <w:numPr>
          <w:ilvl w:val="0"/>
          <w:numId w:val="34"/>
        </w:numPr>
        <w:ind w:left="0" w:firstLine="425"/>
        <w:jc w:val="both"/>
        <w:rPr>
          <w:sz w:val="24"/>
          <w:szCs w:val="24"/>
        </w:rPr>
      </w:pPr>
      <w:r w:rsidRPr="00B137C1">
        <w:rPr>
          <w:sz w:val="24"/>
          <w:szCs w:val="24"/>
        </w:rPr>
        <w:t xml:space="preserve">Указание Приднестровского республиканского банка от 11 июня 2018 года № 1081-У </w:t>
      </w:r>
      <w:r w:rsidRPr="00B137C1">
        <w:rPr>
          <w:sz w:val="24"/>
          <w:szCs w:val="24"/>
        </w:rPr>
        <w:br/>
        <w:t>«О порядке внесения сведений в единый государственный реестр субъектов страхового дела»;</w:t>
      </w:r>
    </w:p>
    <w:p w:rsidR="00C20988" w:rsidRPr="00B137C1" w:rsidRDefault="00C20988" w:rsidP="00444A74">
      <w:pPr>
        <w:pStyle w:val="ListParagraph"/>
        <w:numPr>
          <w:ilvl w:val="0"/>
          <w:numId w:val="34"/>
        </w:numPr>
        <w:ind w:left="0" w:firstLine="425"/>
        <w:jc w:val="both"/>
        <w:rPr>
          <w:sz w:val="24"/>
          <w:szCs w:val="24"/>
        </w:rPr>
      </w:pPr>
      <w:r w:rsidRPr="00B137C1">
        <w:rPr>
          <w:sz w:val="24"/>
          <w:szCs w:val="24"/>
        </w:rPr>
        <w:t>Положение Приднестровского республиканского банка от 11июня 2018 года № 126-П</w:t>
      </w:r>
      <w:r w:rsidRPr="00B137C1">
        <w:rPr>
          <w:bCs/>
          <w:sz w:val="24"/>
          <w:szCs w:val="24"/>
        </w:rPr>
        <w:t xml:space="preserve"> </w:t>
      </w:r>
      <w:r w:rsidRPr="00B137C1">
        <w:rPr>
          <w:bCs/>
          <w:sz w:val="24"/>
          <w:szCs w:val="24"/>
        </w:rPr>
        <w:br/>
        <w:t>«О порядке согласования Приднестровским республиканским банком правил профессиональной деятельности Ассоциации страховщиков автотранспортных средств»</w:t>
      </w:r>
      <w:r w:rsidRPr="00B137C1">
        <w:rPr>
          <w:sz w:val="24"/>
          <w:szCs w:val="24"/>
        </w:rPr>
        <w:t>;</w:t>
      </w:r>
    </w:p>
    <w:p w:rsidR="00C20988" w:rsidRPr="00B137C1" w:rsidRDefault="00C20988" w:rsidP="00444A74">
      <w:pPr>
        <w:pStyle w:val="ListParagraph"/>
        <w:numPr>
          <w:ilvl w:val="0"/>
          <w:numId w:val="34"/>
        </w:numPr>
        <w:ind w:left="0" w:firstLine="425"/>
        <w:jc w:val="both"/>
        <w:rPr>
          <w:sz w:val="24"/>
          <w:szCs w:val="24"/>
        </w:rPr>
      </w:pPr>
      <w:r w:rsidRPr="00B137C1">
        <w:rPr>
          <w:sz w:val="24"/>
          <w:szCs w:val="24"/>
        </w:rPr>
        <w:t xml:space="preserve">Положение Приднестровского республиканского банка от 11 июня 2018 года № 127-П </w:t>
      </w:r>
      <w:r w:rsidRPr="00B137C1">
        <w:rPr>
          <w:sz w:val="24"/>
          <w:szCs w:val="24"/>
        </w:rPr>
        <w:br/>
        <w:t>«О порядке проведения аттестации лиц, желающих получить квалификационный аттестат страхового актуария, выдачи и аннулирования квалификационных аттестатов страховых актуариев»;</w:t>
      </w:r>
    </w:p>
    <w:p w:rsidR="00C20988" w:rsidRPr="00B137C1" w:rsidRDefault="00C20988" w:rsidP="00444A74">
      <w:pPr>
        <w:pStyle w:val="ListParagraph"/>
        <w:numPr>
          <w:ilvl w:val="0"/>
          <w:numId w:val="34"/>
        </w:numPr>
        <w:ind w:left="0" w:firstLine="425"/>
        <w:jc w:val="both"/>
        <w:rPr>
          <w:sz w:val="24"/>
          <w:szCs w:val="24"/>
        </w:rPr>
      </w:pPr>
      <w:r w:rsidRPr="00B137C1">
        <w:rPr>
          <w:sz w:val="24"/>
          <w:szCs w:val="24"/>
        </w:rPr>
        <w:t xml:space="preserve">Указание Приднестровского республиканского банка от 20 августа 2018 года </w:t>
      </w:r>
      <w:r>
        <w:rPr>
          <w:sz w:val="24"/>
          <w:szCs w:val="24"/>
        </w:rPr>
        <w:br/>
      </w:r>
      <w:r w:rsidRPr="00B137C1">
        <w:rPr>
          <w:sz w:val="24"/>
          <w:szCs w:val="24"/>
        </w:rPr>
        <w:t xml:space="preserve">№ 1099-У «О внесении изменений в Положение Приднестровского республиканского банка от 13 ноября 2017 года № </w:t>
      </w:r>
      <w:r w:rsidRPr="00B137C1">
        <w:rPr>
          <w:kern w:val="36"/>
          <w:sz w:val="24"/>
          <w:szCs w:val="24"/>
        </w:rPr>
        <w:t>124-П «О порядке расчёта страховой организацией нормативного соотношения собственных средств (капитала) и принятых обязательств» (Регистрационный № 8049 от 8 декабря 2017 года</w:t>
      </w:r>
      <w:r w:rsidRPr="00B137C1">
        <w:rPr>
          <w:sz w:val="24"/>
          <w:szCs w:val="24"/>
        </w:rPr>
        <w:t>) (САЗ 17-50)»</w:t>
      </w:r>
      <w:r w:rsidRPr="00B137C1">
        <w:rPr>
          <w:kern w:val="36"/>
          <w:sz w:val="24"/>
          <w:szCs w:val="24"/>
        </w:rPr>
        <w:t>;</w:t>
      </w:r>
    </w:p>
    <w:p w:rsidR="00C20988" w:rsidRPr="00B137C1" w:rsidRDefault="00C20988" w:rsidP="00444A74">
      <w:pPr>
        <w:pStyle w:val="ListParagraph"/>
        <w:numPr>
          <w:ilvl w:val="0"/>
          <w:numId w:val="34"/>
        </w:numPr>
        <w:ind w:left="0" w:firstLine="425"/>
        <w:jc w:val="both"/>
        <w:rPr>
          <w:sz w:val="24"/>
          <w:szCs w:val="24"/>
        </w:rPr>
      </w:pPr>
      <w:r w:rsidRPr="00B137C1">
        <w:rPr>
          <w:sz w:val="24"/>
          <w:szCs w:val="24"/>
        </w:rPr>
        <w:t xml:space="preserve">Инструкция Приднестровского республиканского банка от 23 октября 2018 года </w:t>
      </w:r>
      <w:r>
        <w:rPr>
          <w:sz w:val="24"/>
          <w:szCs w:val="24"/>
        </w:rPr>
        <w:br/>
      </w:r>
      <w:r w:rsidRPr="00B137C1">
        <w:rPr>
          <w:sz w:val="24"/>
          <w:szCs w:val="24"/>
        </w:rPr>
        <w:t>№39-И «О порядке расчёта стоимости чистых активов страховой организации»;</w:t>
      </w:r>
    </w:p>
    <w:p w:rsidR="00C20988" w:rsidRPr="00B137C1" w:rsidRDefault="00C20988" w:rsidP="00444A74">
      <w:pPr>
        <w:pStyle w:val="ListParagraph"/>
        <w:numPr>
          <w:ilvl w:val="0"/>
          <w:numId w:val="34"/>
        </w:numPr>
        <w:ind w:left="0" w:firstLine="425"/>
        <w:jc w:val="both"/>
        <w:rPr>
          <w:sz w:val="24"/>
          <w:szCs w:val="24"/>
        </w:rPr>
      </w:pPr>
      <w:r w:rsidRPr="00B137C1">
        <w:rPr>
          <w:sz w:val="24"/>
          <w:szCs w:val="24"/>
        </w:rPr>
        <w:t xml:space="preserve">Указание Приднестровского республиканского банка от 16 октября 2018 года </w:t>
      </w:r>
      <w:r>
        <w:rPr>
          <w:sz w:val="24"/>
          <w:szCs w:val="24"/>
        </w:rPr>
        <w:br/>
      </w:r>
      <w:r w:rsidRPr="00B137C1">
        <w:rPr>
          <w:sz w:val="24"/>
          <w:szCs w:val="24"/>
        </w:rPr>
        <w:t>№ 1112-У «О внесении изменений и дополнения в некоторые нормативные акты Приднестровского республиканского банка»;</w:t>
      </w:r>
    </w:p>
    <w:p w:rsidR="00C20988" w:rsidRPr="00B137C1" w:rsidRDefault="00C20988" w:rsidP="00523E1E">
      <w:pPr>
        <w:pStyle w:val="ListParagraph"/>
        <w:numPr>
          <w:ilvl w:val="0"/>
          <w:numId w:val="34"/>
        </w:numPr>
        <w:tabs>
          <w:tab w:val="left" w:pos="851"/>
        </w:tabs>
        <w:ind w:left="0" w:firstLine="425"/>
        <w:jc w:val="both"/>
        <w:rPr>
          <w:sz w:val="24"/>
          <w:szCs w:val="24"/>
        </w:rPr>
      </w:pPr>
      <w:r w:rsidRPr="00B137C1">
        <w:rPr>
          <w:sz w:val="24"/>
          <w:szCs w:val="24"/>
        </w:rPr>
        <w:t xml:space="preserve"> Указание Приднестровского республиканского банка от 13 декабря 2018 года </w:t>
      </w:r>
      <w:r>
        <w:rPr>
          <w:sz w:val="24"/>
          <w:szCs w:val="24"/>
        </w:rPr>
        <w:br/>
      </w:r>
      <w:r w:rsidRPr="00B137C1">
        <w:rPr>
          <w:sz w:val="24"/>
          <w:szCs w:val="24"/>
        </w:rPr>
        <w:t>№ 1129-У «О требованиях к соглашению о прямом возмещении убытков и порядку расчётов между его участниками»;</w:t>
      </w:r>
    </w:p>
    <w:p w:rsidR="00C20988" w:rsidRPr="00B137C1" w:rsidRDefault="00C20988" w:rsidP="00523E1E">
      <w:pPr>
        <w:pStyle w:val="ListParagraph"/>
        <w:numPr>
          <w:ilvl w:val="0"/>
          <w:numId w:val="34"/>
        </w:numPr>
        <w:tabs>
          <w:tab w:val="left" w:pos="851"/>
        </w:tabs>
        <w:ind w:left="0" w:firstLine="425"/>
        <w:jc w:val="both"/>
        <w:rPr>
          <w:sz w:val="24"/>
          <w:szCs w:val="24"/>
        </w:rPr>
      </w:pPr>
      <w:r w:rsidRPr="00B137C1">
        <w:rPr>
          <w:sz w:val="24"/>
          <w:szCs w:val="24"/>
        </w:rPr>
        <w:t xml:space="preserve"> Указание Приднестровского республиканского банка от 13 декабря 2018 года </w:t>
      </w:r>
      <w:r>
        <w:rPr>
          <w:sz w:val="24"/>
          <w:szCs w:val="24"/>
        </w:rPr>
        <w:br/>
      </w:r>
      <w:r w:rsidRPr="00B137C1">
        <w:rPr>
          <w:sz w:val="24"/>
          <w:szCs w:val="24"/>
        </w:rPr>
        <w:t>№</w:t>
      </w:r>
      <w:r>
        <w:rPr>
          <w:sz w:val="24"/>
          <w:szCs w:val="24"/>
        </w:rPr>
        <w:t xml:space="preserve"> </w:t>
      </w:r>
      <w:r w:rsidRPr="00B137C1">
        <w:rPr>
          <w:sz w:val="24"/>
          <w:szCs w:val="24"/>
        </w:rPr>
        <w:t>1130-У «Об утверждении формы страхового полиса обязательного страхования гражданской ответственности и владельцев транспортных средств».</w:t>
      </w:r>
    </w:p>
    <w:p w:rsidR="00C20988" w:rsidRPr="00B137C1" w:rsidRDefault="00C20988" w:rsidP="00444A74">
      <w:pPr>
        <w:spacing w:before="120" w:after="120"/>
        <w:jc w:val="both"/>
        <w:rPr>
          <w:i/>
          <w:snapToGrid w:val="0"/>
          <w:sz w:val="24"/>
          <w:szCs w:val="24"/>
        </w:rPr>
      </w:pPr>
      <w:r w:rsidRPr="00B137C1">
        <w:rPr>
          <w:i/>
          <w:snapToGrid w:val="0"/>
          <w:sz w:val="24"/>
          <w:szCs w:val="24"/>
        </w:rPr>
        <w:t>В сфере общих вопросов деятельности кредитных и страховых организаций:</w:t>
      </w:r>
    </w:p>
    <w:p w:rsidR="00C20988" w:rsidRPr="00B137C1" w:rsidRDefault="00C20988" w:rsidP="00523E1E">
      <w:pPr>
        <w:pStyle w:val="NormalWeb"/>
        <w:numPr>
          <w:ilvl w:val="0"/>
          <w:numId w:val="35"/>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426"/>
        <w:jc w:val="both"/>
      </w:pPr>
      <w:r w:rsidRPr="00B137C1">
        <w:t xml:space="preserve">Инструкция Приднестровского республиканского банка от 20 августа 2018 года </w:t>
      </w:r>
      <w:r>
        <w:br/>
      </w:r>
      <w:r w:rsidRPr="00B137C1">
        <w:t xml:space="preserve">№ 36-И «О порядке проведения проверок уполномоченными представителями Приднестровского республиканского банка» (Регистрационный № 8444 от </w:t>
      </w:r>
      <w:r>
        <w:br/>
      </w:r>
      <w:r w:rsidRPr="00B137C1">
        <w:t>1 октября 2018 года) (САЗ 18-40).</w:t>
      </w:r>
    </w:p>
    <w:p w:rsidR="00C20988" w:rsidRPr="00B137C1" w:rsidRDefault="00C20988" w:rsidP="00973502">
      <w:pPr>
        <w:pStyle w:val="111"/>
        <w:spacing w:before="120" w:after="120"/>
        <w:jc w:val="both"/>
        <w:rPr>
          <w:i/>
          <w:szCs w:val="24"/>
        </w:rPr>
      </w:pPr>
      <w:r w:rsidRPr="00B137C1">
        <w:rPr>
          <w:i/>
          <w:szCs w:val="24"/>
        </w:rPr>
        <w:t>В сфере противодействия легализации (отмыванию) доходов, полученных преступным путём, и финансированию терроризма:</w:t>
      </w:r>
    </w:p>
    <w:p w:rsidR="00C20988" w:rsidRPr="00262B9D" w:rsidRDefault="00C20988" w:rsidP="00262B9D">
      <w:pPr>
        <w:pStyle w:val="ListParagraph"/>
        <w:numPr>
          <w:ilvl w:val="0"/>
          <w:numId w:val="36"/>
        </w:numPr>
        <w:autoSpaceDE w:val="0"/>
        <w:autoSpaceDN w:val="0"/>
        <w:adjustRightInd w:val="0"/>
        <w:ind w:left="0" w:firstLine="426"/>
        <w:jc w:val="both"/>
        <w:rPr>
          <w:sz w:val="24"/>
          <w:szCs w:val="24"/>
        </w:rPr>
      </w:pPr>
      <w:r w:rsidRPr="00262B9D">
        <w:rPr>
          <w:sz w:val="24"/>
          <w:szCs w:val="24"/>
        </w:rPr>
        <w:t>Положение Приднестровского республиканского банка от 20 августа 2018 года</w:t>
      </w:r>
      <w:r>
        <w:rPr>
          <w:sz w:val="24"/>
          <w:szCs w:val="24"/>
        </w:rPr>
        <w:t xml:space="preserve"> </w:t>
      </w:r>
      <w:r>
        <w:rPr>
          <w:sz w:val="24"/>
          <w:szCs w:val="24"/>
        </w:rPr>
        <w:br/>
      </w:r>
      <w:r w:rsidRPr="00262B9D">
        <w:rPr>
          <w:sz w:val="24"/>
          <w:szCs w:val="24"/>
        </w:rPr>
        <w:t>№ 129-П «Об идентификации клиентов, представителей клиентов и выгодоприобретателей в целях противодействия легализации (отмыванию) доходов, полученных преступным пут</w:t>
      </w:r>
      <w:r>
        <w:rPr>
          <w:sz w:val="24"/>
          <w:szCs w:val="24"/>
        </w:rPr>
        <w:t>ё</w:t>
      </w:r>
      <w:r w:rsidRPr="00262B9D">
        <w:rPr>
          <w:sz w:val="24"/>
          <w:szCs w:val="24"/>
        </w:rPr>
        <w:t>м, и финансированию терроризма» (Регистрационный № 8493 от 25 октября 2018 года);</w:t>
      </w:r>
    </w:p>
    <w:p w:rsidR="00C20988" w:rsidRPr="00262B9D" w:rsidRDefault="00C20988" w:rsidP="00262B9D">
      <w:pPr>
        <w:pStyle w:val="ListParagraph"/>
        <w:numPr>
          <w:ilvl w:val="0"/>
          <w:numId w:val="36"/>
        </w:numPr>
        <w:autoSpaceDE w:val="0"/>
        <w:autoSpaceDN w:val="0"/>
        <w:adjustRightInd w:val="0"/>
        <w:ind w:left="0" w:firstLine="426"/>
        <w:jc w:val="both"/>
        <w:rPr>
          <w:sz w:val="24"/>
          <w:szCs w:val="24"/>
        </w:rPr>
      </w:pPr>
      <w:r w:rsidRPr="00262B9D">
        <w:rPr>
          <w:sz w:val="24"/>
          <w:szCs w:val="24"/>
        </w:rPr>
        <w:t>Положение Приднестровского республиканского банка от 20 августа 2018 года</w:t>
      </w:r>
      <w:r>
        <w:rPr>
          <w:sz w:val="24"/>
          <w:szCs w:val="24"/>
        </w:rPr>
        <w:t xml:space="preserve"> </w:t>
      </w:r>
      <w:r>
        <w:rPr>
          <w:sz w:val="24"/>
          <w:szCs w:val="24"/>
        </w:rPr>
        <w:br/>
      </w:r>
      <w:r w:rsidRPr="00262B9D">
        <w:rPr>
          <w:sz w:val="24"/>
          <w:szCs w:val="24"/>
        </w:rPr>
        <w:t>№ 130-П «О требованиях к правилам внутреннего контроля организаций, осуществляющих операции с денежными средствами или иным имуществом, юридических и физических лиц, осуществляющих деятельность в сфере оказания юридических или бухгалтерских услуг, адвокатов, нотариусов в целях противодействия легализации (отмыванию) доходов, полученных преступным путем, и финансированию терроризма» (Регистрационный № 8496 от 25 октября 2018 года);</w:t>
      </w:r>
    </w:p>
    <w:p w:rsidR="00C20988" w:rsidRDefault="00C20988" w:rsidP="00262B9D">
      <w:pPr>
        <w:pStyle w:val="ListParagraph"/>
        <w:numPr>
          <w:ilvl w:val="0"/>
          <w:numId w:val="36"/>
        </w:numPr>
        <w:autoSpaceDE w:val="0"/>
        <w:autoSpaceDN w:val="0"/>
        <w:adjustRightInd w:val="0"/>
        <w:ind w:left="0" w:firstLine="426"/>
        <w:jc w:val="both"/>
        <w:rPr>
          <w:sz w:val="24"/>
          <w:szCs w:val="24"/>
        </w:rPr>
      </w:pPr>
      <w:r w:rsidRPr="00B137C1">
        <w:rPr>
          <w:sz w:val="24"/>
          <w:szCs w:val="24"/>
        </w:rPr>
        <w:t xml:space="preserve">Указание Приднестровского республиканского банка от 20 августа 2018 года </w:t>
      </w:r>
      <w:r>
        <w:rPr>
          <w:sz w:val="24"/>
          <w:szCs w:val="24"/>
        </w:rPr>
        <w:br/>
      </w:r>
      <w:r w:rsidRPr="00B137C1">
        <w:rPr>
          <w:sz w:val="24"/>
          <w:szCs w:val="24"/>
        </w:rPr>
        <w:t>№</w:t>
      </w:r>
      <w:r>
        <w:rPr>
          <w:sz w:val="24"/>
          <w:szCs w:val="24"/>
        </w:rPr>
        <w:t xml:space="preserve"> </w:t>
      </w:r>
      <w:r w:rsidRPr="00B137C1">
        <w:rPr>
          <w:sz w:val="24"/>
          <w:szCs w:val="24"/>
        </w:rPr>
        <w:t>1101-У «О внесении изменений и дополнений в Положение Приднестровского республиканского банка от 07 декабря 2012 года № 113-П «О квалификационных требованиях к должностным лицам, ответственным за соблюдение правил внутреннего контроля и программ его осуществления, и требованиях к подготовке и обучению кадров, организаций осуществляющих операции с денежными средствами или иным имуществом и юридических лиц, осуществляющих деятельность в сфере оказания юридических или бухгалтерских услуг в целях противодействия легализации (отмыванию) доходов, полученных преступным путём, и финансированию терроризма» (Регистрационный № 6278 от 17 января 2013 года) (САЗ 13-2)»;</w:t>
      </w:r>
    </w:p>
    <w:p w:rsidR="00C20988" w:rsidRPr="00B137C1" w:rsidRDefault="00C20988" w:rsidP="006C571D">
      <w:pPr>
        <w:pStyle w:val="ListParagraph"/>
        <w:numPr>
          <w:ilvl w:val="0"/>
          <w:numId w:val="36"/>
        </w:numPr>
        <w:autoSpaceDE w:val="0"/>
        <w:autoSpaceDN w:val="0"/>
        <w:adjustRightInd w:val="0"/>
        <w:ind w:left="0" w:firstLine="426"/>
        <w:jc w:val="both"/>
        <w:rPr>
          <w:sz w:val="24"/>
          <w:szCs w:val="24"/>
        </w:rPr>
      </w:pPr>
      <w:r w:rsidRPr="00B137C1">
        <w:rPr>
          <w:sz w:val="24"/>
          <w:szCs w:val="24"/>
        </w:rPr>
        <w:t xml:space="preserve">Указание Приднестровского республиканского банка от 20 августа 2018 года </w:t>
      </w:r>
      <w:r>
        <w:rPr>
          <w:sz w:val="24"/>
          <w:szCs w:val="24"/>
        </w:rPr>
        <w:br/>
      </w:r>
      <w:r w:rsidRPr="00B137C1">
        <w:rPr>
          <w:sz w:val="24"/>
          <w:szCs w:val="24"/>
        </w:rPr>
        <w:t>№</w:t>
      </w:r>
      <w:r>
        <w:rPr>
          <w:sz w:val="24"/>
          <w:szCs w:val="24"/>
        </w:rPr>
        <w:t xml:space="preserve"> </w:t>
      </w:r>
      <w:r w:rsidRPr="00B137C1">
        <w:rPr>
          <w:sz w:val="24"/>
          <w:szCs w:val="24"/>
        </w:rPr>
        <w:t>1102-У «О внесении изменений и дополнений в Инструкцию Приднестровского республиканского банка от 09 ноября 2012 года № 34-И «О порядке представления в Приднестровский республиканский банк информации в целях противодействия легализации (отмыванию) доходов, полученных преступным путём, и финансированию терроризма» (Регистрационный № 6227 от 13 декабря 2012 года) (САЗ 12-51)»;</w:t>
      </w:r>
    </w:p>
    <w:p w:rsidR="00C20988" w:rsidRPr="00B137C1" w:rsidRDefault="00C20988" w:rsidP="006C571D">
      <w:pPr>
        <w:pStyle w:val="ListParagraph"/>
        <w:numPr>
          <w:ilvl w:val="0"/>
          <w:numId w:val="36"/>
        </w:numPr>
        <w:autoSpaceDE w:val="0"/>
        <w:autoSpaceDN w:val="0"/>
        <w:adjustRightInd w:val="0"/>
        <w:ind w:left="0" w:firstLine="426"/>
        <w:jc w:val="both"/>
        <w:rPr>
          <w:sz w:val="24"/>
          <w:szCs w:val="24"/>
        </w:rPr>
      </w:pPr>
      <w:r w:rsidRPr="00B137C1">
        <w:rPr>
          <w:sz w:val="24"/>
          <w:szCs w:val="24"/>
        </w:rPr>
        <w:t xml:space="preserve">Инструкция Приднестровского республиканского банка от 12 сентября 2018 года </w:t>
      </w:r>
      <w:r w:rsidRPr="00B137C1">
        <w:rPr>
          <w:sz w:val="24"/>
          <w:szCs w:val="24"/>
        </w:rPr>
        <w:br/>
        <w:t>№</w:t>
      </w:r>
      <w:r>
        <w:rPr>
          <w:sz w:val="24"/>
          <w:szCs w:val="24"/>
        </w:rPr>
        <w:t xml:space="preserve"> </w:t>
      </w:r>
      <w:r w:rsidRPr="00B137C1">
        <w:rPr>
          <w:sz w:val="24"/>
          <w:szCs w:val="24"/>
        </w:rPr>
        <w:t>38-И «О порядке представления в Приднестровский республиканский банк информации о случаях отказа от заключения договора банковского счёта (вклада), расторжения договора банковского счёта (вклада) с клиентом, о случаях отказа в выполнении распоряжения клиента о совершении операции с денежными средствами или иным имуществом и её доведения до сведения кредитных организаций»;</w:t>
      </w:r>
    </w:p>
    <w:p w:rsidR="00C20988" w:rsidRPr="00B137C1" w:rsidRDefault="00C20988" w:rsidP="006C571D">
      <w:pPr>
        <w:pStyle w:val="ListParagraph"/>
        <w:numPr>
          <w:ilvl w:val="0"/>
          <w:numId w:val="36"/>
        </w:numPr>
        <w:autoSpaceDE w:val="0"/>
        <w:autoSpaceDN w:val="0"/>
        <w:adjustRightInd w:val="0"/>
        <w:ind w:left="0" w:firstLine="426"/>
        <w:jc w:val="both"/>
        <w:rPr>
          <w:sz w:val="24"/>
          <w:szCs w:val="24"/>
        </w:rPr>
      </w:pPr>
      <w:r w:rsidRPr="00B137C1">
        <w:rPr>
          <w:sz w:val="24"/>
          <w:szCs w:val="24"/>
        </w:rPr>
        <w:t xml:space="preserve">Указание Приднестровского республиканского банка от 31 октября 2018 года </w:t>
      </w:r>
      <w:r>
        <w:rPr>
          <w:sz w:val="24"/>
          <w:szCs w:val="24"/>
        </w:rPr>
        <w:br/>
      </w:r>
      <w:r w:rsidRPr="00B137C1">
        <w:rPr>
          <w:sz w:val="24"/>
          <w:szCs w:val="24"/>
        </w:rPr>
        <w:t>№</w:t>
      </w:r>
      <w:r>
        <w:rPr>
          <w:sz w:val="24"/>
          <w:szCs w:val="24"/>
        </w:rPr>
        <w:t xml:space="preserve"> </w:t>
      </w:r>
      <w:r w:rsidRPr="00B137C1">
        <w:rPr>
          <w:sz w:val="24"/>
          <w:szCs w:val="24"/>
        </w:rPr>
        <w:t>1117-У «О внесении изменений в Положение Приднестровского республиканского банка от 9 ноября 2012 года № 110-П «О порядке постановки на учёт в Приднестровском республиканском банке организаций, осуществляющих операции с денежными средствами или иным имуществом, адвокатов, нотариусов и лиц, осуществляющих деятельность в сфере оказания юридических или бухгалтерских услуг» (Регистрационный № 6233 от 14 декабря 2012 года) (САЗ 12-51)»;</w:t>
      </w:r>
    </w:p>
    <w:p w:rsidR="00C20988" w:rsidRPr="00B137C1" w:rsidRDefault="00C20988" w:rsidP="006C571D">
      <w:pPr>
        <w:pStyle w:val="ListParagraph"/>
        <w:numPr>
          <w:ilvl w:val="0"/>
          <w:numId w:val="36"/>
        </w:numPr>
        <w:autoSpaceDE w:val="0"/>
        <w:autoSpaceDN w:val="0"/>
        <w:adjustRightInd w:val="0"/>
        <w:ind w:left="0" w:firstLine="426"/>
        <w:jc w:val="both"/>
        <w:rPr>
          <w:sz w:val="24"/>
          <w:szCs w:val="24"/>
        </w:rPr>
      </w:pPr>
      <w:r w:rsidRPr="00B137C1">
        <w:rPr>
          <w:sz w:val="24"/>
          <w:szCs w:val="24"/>
        </w:rPr>
        <w:t xml:space="preserve">Указание Приднестровского республиканского банка от 31 октября 2018 года </w:t>
      </w:r>
      <w:r>
        <w:rPr>
          <w:sz w:val="24"/>
          <w:szCs w:val="24"/>
        </w:rPr>
        <w:br/>
      </w:r>
      <w:r w:rsidRPr="00B137C1">
        <w:rPr>
          <w:sz w:val="24"/>
          <w:szCs w:val="24"/>
        </w:rPr>
        <w:t>№ 1118-У «О внесении изменений и дополнений в Положение Приднестровского республиканского банка от 9 ноября 2012 года № 111-П «О порядке утверждения и согласования правил внутреннего контроля в целях противодействия легализации (отмыванию) доходов, полученных преступным путём, и финансированию терроризма» (Регистрационный № 6234 от 14 декабря 2012 года) (САЗ 12-51)»;</w:t>
      </w:r>
    </w:p>
    <w:p w:rsidR="00C20988" w:rsidRDefault="00C20988" w:rsidP="006C571D">
      <w:pPr>
        <w:pStyle w:val="ListParagraph"/>
        <w:numPr>
          <w:ilvl w:val="0"/>
          <w:numId w:val="36"/>
        </w:numPr>
        <w:autoSpaceDE w:val="0"/>
        <w:autoSpaceDN w:val="0"/>
        <w:adjustRightInd w:val="0"/>
        <w:ind w:left="0" w:firstLine="426"/>
        <w:jc w:val="both"/>
        <w:rPr>
          <w:sz w:val="24"/>
          <w:szCs w:val="24"/>
        </w:rPr>
      </w:pPr>
      <w:r w:rsidRPr="00A03642">
        <w:rPr>
          <w:sz w:val="24"/>
          <w:szCs w:val="24"/>
        </w:rPr>
        <w:t xml:space="preserve">Указание Приднестровского республиканского банка от 12 ноября 2018 года </w:t>
      </w:r>
      <w:r w:rsidRPr="00A03642">
        <w:rPr>
          <w:sz w:val="24"/>
          <w:szCs w:val="24"/>
        </w:rPr>
        <w:br/>
        <w:t>№ 1120-У «О внесении изменений в Положение Приднестровского республиканского банка от 20 августа 2018 года № 129-П «Об идентификации клиентов, представителей клиентов и выгодоприобретателей в целях противодействия легализации (отмыванию) доходов,</w:t>
      </w:r>
      <w:r w:rsidRPr="00B137C1">
        <w:rPr>
          <w:sz w:val="24"/>
          <w:szCs w:val="24"/>
        </w:rPr>
        <w:t xml:space="preserve"> полученных преступным путём, и финансированию терроризма» (Регистрационный № 8493 от 25 октября 2018 года) (САЗ 18-43)».</w:t>
      </w:r>
    </w:p>
    <w:p w:rsidR="00C20988" w:rsidRPr="00B137C1" w:rsidRDefault="00C20988" w:rsidP="00262B9D">
      <w:pPr>
        <w:pStyle w:val="ListParagraph"/>
        <w:autoSpaceDE w:val="0"/>
        <w:autoSpaceDN w:val="0"/>
        <w:adjustRightInd w:val="0"/>
        <w:ind w:left="426" w:firstLine="0"/>
        <w:jc w:val="both"/>
        <w:rPr>
          <w:sz w:val="24"/>
          <w:szCs w:val="24"/>
        </w:rPr>
      </w:pPr>
    </w:p>
    <w:p w:rsidR="00C20988" w:rsidRPr="00B137C1" w:rsidRDefault="00C20988" w:rsidP="006C571D">
      <w:pPr>
        <w:spacing w:before="120" w:after="120"/>
        <w:ind w:firstLine="425"/>
        <w:jc w:val="both"/>
        <w:rPr>
          <w:i/>
          <w:sz w:val="24"/>
          <w:szCs w:val="24"/>
        </w:rPr>
      </w:pPr>
      <w:r w:rsidRPr="00B137C1">
        <w:rPr>
          <w:i/>
          <w:sz w:val="24"/>
          <w:szCs w:val="24"/>
        </w:rPr>
        <w:t>В сфере бухгалтерского учёта и отчётности:</w:t>
      </w:r>
    </w:p>
    <w:p w:rsidR="00C20988" w:rsidRPr="00B137C1" w:rsidRDefault="00C20988" w:rsidP="006C571D">
      <w:pPr>
        <w:pStyle w:val="ListParagraph"/>
        <w:widowControl w:val="0"/>
        <w:numPr>
          <w:ilvl w:val="0"/>
          <w:numId w:val="37"/>
        </w:numPr>
        <w:ind w:left="0" w:firstLine="426"/>
        <w:jc w:val="both"/>
        <w:rPr>
          <w:snapToGrid w:val="0"/>
          <w:sz w:val="24"/>
          <w:szCs w:val="24"/>
        </w:rPr>
      </w:pPr>
      <w:r w:rsidRPr="00B137C1">
        <w:rPr>
          <w:sz w:val="24"/>
          <w:szCs w:val="24"/>
        </w:rPr>
        <w:t xml:space="preserve">Указание Приднестровского республиканского банка от </w:t>
      </w:r>
      <w:r w:rsidRPr="00B137C1">
        <w:rPr>
          <w:snapToGrid w:val="0"/>
          <w:sz w:val="24"/>
          <w:szCs w:val="24"/>
        </w:rPr>
        <w:t xml:space="preserve">27 февраля 2018 года </w:t>
      </w:r>
      <w:r>
        <w:rPr>
          <w:snapToGrid w:val="0"/>
          <w:sz w:val="24"/>
          <w:szCs w:val="24"/>
        </w:rPr>
        <w:br/>
      </w:r>
      <w:r w:rsidRPr="00B137C1">
        <w:rPr>
          <w:sz w:val="24"/>
          <w:szCs w:val="24"/>
        </w:rPr>
        <w:t xml:space="preserve">№ </w:t>
      </w:r>
      <w:r w:rsidRPr="00B137C1">
        <w:rPr>
          <w:snapToGrid w:val="0"/>
          <w:sz w:val="24"/>
          <w:szCs w:val="24"/>
        </w:rPr>
        <w:t>1046-У «</w:t>
      </w:r>
      <w:r w:rsidRPr="00B137C1">
        <w:rPr>
          <w:sz w:val="24"/>
          <w:szCs w:val="24"/>
        </w:rPr>
        <w:t>О внесении изменений и дополнений в Положение Приднестровского республиканского банка от 26 сентября 2013 года № 116-П «О правилах ведения бухгалтерского учёта в кредитных организациях, расположенных на территории Приднестровской Молдавской Республики» (Регистрационный № 6610 от 21 ноября 2013 года) (САЗ 13-46)</w:t>
      </w:r>
      <w:r w:rsidRPr="00B137C1">
        <w:rPr>
          <w:snapToGrid w:val="0"/>
          <w:sz w:val="24"/>
          <w:szCs w:val="24"/>
        </w:rPr>
        <w:t>»;</w:t>
      </w:r>
    </w:p>
    <w:p w:rsidR="00C20988" w:rsidRPr="00B137C1" w:rsidRDefault="00C20988" w:rsidP="006C571D">
      <w:pPr>
        <w:pStyle w:val="ListParagraph"/>
        <w:widowControl w:val="0"/>
        <w:numPr>
          <w:ilvl w:val="0"/>
          <w:numId w:val="37"/>
        </w:numPr>
        <w:ind w:left="0" w:firstLine="426"/>
        <w:jc w:val="both"/>
        <w:rPr>
          <w:snapToGrid w:val="0"/>
          <w:sz w:val="24"/>
          <w:szCs w:val="24"/>
        </w:rPr>
      </w:pPr>
      <w:r w:rsidRPr="00B137C1">
        <w:rPr>
          <w:sz w:val="24"/>
          <w:szCs w:val="24"/>
        </w:rPr>
        <w:t xml:space="preserve">Указание Приднестровского республиканского банка от 27 февраля 2018 года </w:t>
      </w:r>
      <w:r>
        <w:rPr>
          <w:sz w:val="24"/>
          <w:szCs w:val="24"/>
        </w:rPr>
        <w:br/>
      </w:r>
      <w:r w:rsidRPr="00B137C1">
        <w:rPr>
          <w:sz w:val="24"/>
          <w:szCs w:val="24"/>
        </w:rPr>
        <w:t>№ 1047-У «О внесении изменений в Положение Приднестровского республиканского банка от 21 января 2015 года № 118-П «О плане счетов бухгалтерского учёта в кредитных организациях, расположенных на территории Приднестровской Молдавской Республики» (Регистрационный № 7037 от 5 марта 2015 года) (САЗ 15-10)»;</w:t>
      </w:r>
    </w:p>
    <w:p w:rsidR="00C20988" w:rsidRPr="00B137C1" w:rsidRDefault="00C20988" w:rsidP="006C571D">
      <w:pPr>
        <w:pStyle w:val="ListParagraph"/>
        <w:widowControl w:val="0"/>
        <w:numPr>
          <w:ilvl w:val="0"/>
          <w:numId w:val="37"/>
        </w:numPr>
        <w:ind w:left="0" w:firstLine="426"/>
        <w:jc w:val="both"/>
        <w:rPr>
          <w:snapToGrid w:val="0"/>
          <w:sz w:val="24"/>
          <w:szCs w:val="24"/>
        </w:rPr>
      </w:pPr>
      <w:r w:rsidRPr="00B137C1">
        <w:rPr>
          <w:sz w:val="24"/>
          <w:szCs w:val="24"/>
        </w:rPr>
        <w:t xml:space="preserve">Указание Приднестровского республиканского банка от 30 мая 2018 года № 1077-У </w:t>
      </w:r>
      <w:r w:rsidRPr="00B137C1">
        <w:rPr>
          <w:sz w:val="24"/>
          <w:szCs w:val="24"/>
        </w:rPr>
        <w:br/>
        <w:t>«О внесении изменений и дополнения в Указание Приднестровского республиканского банка от 16 июля 2015 года № 860-У «О порядке составления кредитными организациями годовой бухгалтерской (финансовой) отчётности» (Регистрационный № 7215 от 17 августа 2015 года) (САЗ 15-34)»;</w:t>
      </w:r>
    </w:p>
    <w:p w:rsidR="00C20988" w:rsidRPr="00B137C1" w:rsidRDefault="00C20988" w:rsidP="006C571D">
      <w:pPr>
        <w:pStyle w:val="ListParagraph"/>
        <w:widowControl w:val="0"/>
        <w:numPr>
          <w:ilvl w:val="0"/>
          <w:numId w:val="37"/>
        </w:numPr>
        <w:ind w:left="0" w:firstLine="426"/>
        <w:jc w:val="both"/>
        <w:rPr>
          <w:snapToGrid w:val="0"/>
          <w:sz w:val="24"/>
          <w:szCs w:val="24"/>
        </w:rPr>
      </w:pPr>
      <w:r w:rsidRPr="00B137C1">
        <w:rPr>
          <w:sz w:val="24"/>
          <w:szCs w:val="24"/>
        </w:rPr>
        <w:t xml:space="preserve">Указание Приднестровского республиканского банка от 20 августа 2018 года </w:t>
      </w:r>
      <w:r>
        <w:rPr>
          <w:sz w:val="24"/>
          <w:szCs w:val="24"/>
        </w:rPr>
        <w:br/>
      </w:r>
      <w:r w:rsidRPr="00B137C1">
        <w:rPr>
          <w:sz w:val="24"/>
          <w:szCs w:val="24"/>
        </w:rPr>
        <w:t>№ 1097-У «О внесении изменений в Положение Приднестровского республиканского банка от 21 января 2015 года № 118-П «О плане счетов бухгалтерского учёта в кредитных организациях, расположенных на территории Приднестровской Молдавской Республики» (Регистрационный № 7037 от 5 марта 2015 года) (САЗ 15-10)»;</w:t>
      </w:r>
    </w:p>
    <w:p w:rsidR="00C20988" w:rsidRPr="00B137C1" w:rsidRDefault="00C20988" w:rsidP="006C571D">
      <w:pPr>
        <w:pStyle w:val="ListParagraph"/>
        <w:widowControl w:val="0"/>
        <w:numPr>
          <w:ilvl w:val="0"/>
          <w:numId w:val="37"/>
        </w:numPr>
        <w:ind w:left="0" w:firstLine="426"/>
        <w:jc w:val="both"/>
        <w:rPr>
          <w:snapToGrid w:val="0"/>
          <w:sz w:val="24"/>
          <w:szCs w:val="24"/>
        </w:rPr>
      </w:pPr>
      <w:r w:rsidRPr="00B137C1">
        <w:rPr>
          <w:sz w:val="24"/>
          <w:szCs w:val="24"/>
        </w:rPr>
        <w:t xml:space="preserve">Указание Приднестровского республиканского банка от 20 августа 2018 года </w:t>
      </w:r>
      <w:r>
        <w:rPr>
          <w:sz w:val="24"/>
          <w:szCs w:val="24"/>
        </w:rPr>
        <w:br/>
      </w:r>
      <w:r w:rsidRPr="00B137C1">
        <w:rPr>
          <w:sz w:val="24"/>
          <w:szCs w:val="24"/>
        </w:rPr>
        <w:t>№ 1098-У «О внесении изменения в Положение Приднестровского республиканского банка от 26 сентября 2013 года № 116-П «О правилах ведения бухгалтерского учёта в кредитных организациях, расположенных на территории Приднестровской Молдавской Республики» (Регистрационный № 6610 от 21 ноября 2013 года) (САЗ 13-46)»;</w:t>
      </w:r>
    </w:p>
    <w:p w:rsidR="00C20988" w:rsidRPr="00B137C1" w:rsidRDefault="00C20988" w:rsidP="006C571D">
      <w:pPr>
        <w:pStyle w:val="ListParagraph"/>
        <w:widowControl w:val="0"/>
        <w:numPr>
          <w:ilvl w:val="0"/>
          <w:numId w:val="37"/>
        </w:numPr>
        <w:ind w:left="0" w:firstLine="426"/>
        <w:jc w:val="both"/>
        <w:rPr>
          <w:snapToGrid w:val="0"/>
          <w:sz w:val="24"/>
          <w:szCs w:val="24"/>
        </w:rPr>
      </w:pPr>
      <w:r w:rsidRPr="00B137C1">
        <w:rPr>
          <w:sz w:val="24"/>
          <w:szCs w:val="24"/>
        </w:rPr>
        <w:t>Указание Приднестровского республиканского банка от 27 сентября 2018 года №</w:t>
      </w:r>
      <w:r>
        <w:rPr>
          <w:sz w:val="24"/>
          <w:szCs w:val="24"/>
        </w:rPr>
        <w:t xml:space="preserve"> </w:t>
      </w:r>
      <w:r w:rsidRPr="00B137C1">
        <w:rPr>
          <w:sz w:val="24"/>
          <w:szCs w:val="24"/>
        </w:rPr>
        <w:t>1110-У «О внесении изменения и дополнения в Положение Приднестровского республиканского банка от 26 сентября 2013 года № 116-П «О правилах ведения бухгалтерского уч</w:t>
      </w:r>
      <w:r>
        <w:rPr>
          <w:sz w:val="24"/>
          <w:szCs w:val="24"/>
        </w:rPr>
        <w:t>ё</w:t>
      </w:r>
      <w:r w:rsidRPr="00B137C1">
        <w:rPr>
          <w:sz w:val="24"/>
          <w:szCs w:val="24"/>
        </w:rPr>
        <w:t>та в кредитных организациях, расположенных на территории Приднестровской Молдавской Республики» (Регистрационный № 6610 от 21 ноября 2013 года) (САЗ 13-46)».</w:t>
      </w:r>
    </w:p>
    <w:p w:rsidR="00C20988" w:rsidRPr="00B137C1" w:rsidRDefault="00C20988" w:rsidP="006C571D">
      <w:pPr>
        <w:pStyle w:val="111"/>
        <w:spacing w:before="120" w:after="120"/>
        <w:ind w:firstLine="426"/>
        <w:jc w:val="both"/>
        <w:rPr>
          <w:i/>
          <w:szCs w:val="24"/>
        </w:rPr>
      </w:pPr>
      <w:r w:rsidRPr="00B137C1">
        <w:rPr>
          <w:i/>
          <w:szCs w:val="24"/>
        </w:rPr>
        <w:t>В сфере банковской статистики и отчётности:</w:t>
      </w:r>
    </w:p>
    <w:p w:rsidR="00C20988" w:rsidRPr="00B137C1" w:rsidRDefault="00C20988" w:rsidP="006C571D">
      <w:pPr>
        <w:pStyle w:val="3"/>
        <w:numPr>
          <w:ilvl w:val="0"/>
          <w:numId w:val="38"/>
        </w:numPr>
        <w:spacing w:before="0" w:after="0"/>
        <w:ind w:left="0" w:firstLine="426"/>
        <w:jc w:val="both"/>
        <w:rPr>
          <w:szCs w:val="24"/>
        </w:rPr>
      </w:pPr>
      <w:r w:rsidRPr="00B137C1">
        <w:rPr>
          <w:szCs w:val="24"/>
        </w:rPr>
        <w:t xml:space="preserve">Указание Приднестровского республиканского банка от 23 апреля 2018 года </w:t>
      </w:r>
      <w:r>
        <w:rPr>
          <w:szCs w:val="24"/>
        </w:rPr>
        <w:br/>
      </w:r>
      <w:r w:rsidRPr="00B137C1">
        <w:rPr>
          <w:szCs w:val="24"/>
        </w:rPr>
        <w:t>№ 1061-У</w:t>
      </w:r>
      <w:r>
        <w:rPr>
          <w:szCs w:val="24"/>
        </w:rPr>
        <w:t xml:space="preserve"> </w:t>
      </w:r>
      <w:r w:rsidRPr="00B137C1">
        <w:rPr>
          <w:szCs w:val="24"/>
        </w:rPr>
        <w:t>«О внесении изменений в Инструкцию Приднестровского республиканского банка от 2 июля 2008 года № 26-И «О порядке представления Приднестровским республиканским банком отчётности по операциям, связанным с движением средств республиканского бюджета и Единого государственного фонда социального страхования Приднестровской Молдавской Республики» (Регистрационный № 4528 от 4 августа 2008 года) (САЗ 08-31)»;</w:t>
      </w:r>
    </w:p>
    <w:p w:rsidR="00C20988" w:rsidRPr="00B137C1" w:rsidRDefault="00C20988" w:rsidP="00FE5DDA">
      <w:pPr>
        <w:pStyle w:val="3"/>
        <w:numPr>
          <w:ilvl w:val="0"/>
          <w:numId w:val="38"/>
        </w:numPr>
        <w:spacing w:before="0" w:after="0"/>
        <w:ind w:left="0" w:firstLine="426"/>
        <w:jc w:val="both"/>
        <w:rPr>
          <w:szCs w:val="24"/>
        </w:rPr>
      </w:pPr>
      <w:r w:rsidRPr="00B137C1">
        <w:rPr>
          <w:szCs w:val="24"/>
        </w:rPr>
        <w:t xml:space="preserve">Указание Приднестровского республиканского банка от 23 апреля 2018 года </w:t>
      </w:r>
      <w:r>
        <w:rPr>
          <w:szCs w:val="24"/>
        </w:rPr>
        <w:br/>
      </w:r>
      <w:r w:rsidRPr="00B137C1">
        <w:rPr>
          <w:szCs w:val="24"/>
        </w:rPr>
        <w:t>№ 1066-У «О внесении дополнений в Инструкцию Приднестровского республиканского банка от 2 июля 2008 года № 25-И «О порядке представления кредитными организациями отдельных форм отчётности в Приднестровский республиканский банк» (Регистрационный № 4548 от 19 августа 2008 года) (САЗ 08-33)»;</w:t>
      </w:r>
    </w:p>
    <w:p w:rsidR="00C20988" w:rsidRPr="00B137C1" w:rsidRDefault="00C20988" w:rsidP="00FE5DDA">
      <w:pPr>
        <w:pStyle w:val="3"/>
        <w:numPr>
          <w:ilvl w:val="0"/>
          <w:numId w:val="38"/>
        </w:numPr>
        <w:spacing w:before="0" w:after="0"/>
        <w:ind w:left="0" w:firstLine="426"/>
        <w:jc w:val="both"/>
        <w:rPr>
          <w:szCs w:val="24"/>
        </w:rPr>
      </w:pPr>
      <w:r w:rsidRPr="00B137C1">
        <w:rPr>
          <w:szCs w:val="24"/>
        </w:rPr>
        <w:t xml:space="preserve">Указание Приднестровского республиканского банка от 23 апреля 2018 года </w:t>
      </w:r>
      <w:r>
        <w:rPr>
          <w:szCs w:val="24"/>
        </w:rPr>
        <w:br/>
      </w:r>
      <w:r w:rsidRPr="00B137C1">
        <w:rPr>
          <w:szCs w:val="24"/>
        </w:rPr>
        <w:t>№ 1067-У</w:t>
      </w:r>
      <w:r>
        <w:rPr>
          <w:szCs w:val="24"/>
        </w:rPr>
        <w:t xml:space="preserve"> </w:t>
      </w:r>
      <w:r w:rsidRPr="00B137C1">
        <w:rPr>
          <w:szCs w:val="24"/>
        </w:rPr>
        <w:t xml:space="preserve">«О внесении изменения и дополнений в Указание Приднестровского республиканского банка от 3 марта 2011 года № 441-У «О порядке составления и представления отчётности в Приднестровский республиканский банк» (Регистрационный </w:t>
      </w:r>
      <w:r>
        <w:rPr>
          <w:szCs w:val="24"/>
        </w:rPr>
        <w:br/>
      </w:r>
      <w:r w:rsidRPr="00B137C1">
        <w:rPr>
          <w:szCs w:val="24"/>
        </w:rPr>
        <w:t>№ 5602 от 20 апреля 2011 года) (САЗ 11-16)»;</w:t>
      </w:r>
    </w:p>
    <w:p w:rsidR="00C20988" w:rsidRPr="00B137C1" w:rsidRDefault="00C20988" w:rsidP="00FE5DDA">
      <w:pPr>
        <w:pStyle w:val="3"/>
        <w:numPr>
          <w:ilvl w:val="0"/>
          <w:numId w:val="38"/>
        </w:numPr>
        <w:spacing w:before="0" w:after="0"/>
        <w:ind w:left="0" w:firstLine="426"/>
        <w:jc w:val="both"/>
        <w:rPr>
          <w:szCs w:val="24"/>
        </w:rPr>
      </w:pPr>
      <w:r w:rsidRPr="00B137C1">
        <w:rPr>
          <w:szCs w:val="24"/>
        </w:rPr>
        <w:t xml:space="preserve">Указание Приднестровского республиканского банка от 10 мая 2018 года № 1068-У </w:t>
      </w:r>
      <w:r w:rsidRPr="00B137C1">
        <w:rPr>
          <w:szCs w:val="24"/>
        </w:rPr>
        <w:br/>
        <w:t xml:space="preserve">«О внесении изменения в Инструкцию Приднестровского республиканского банка от 2 июля 2008 года № 25-И «О порядке представления кредитными организациями отдельных форм отчётности в Приднестровский республиканский банк» (Регистрационный № 4548 от </w:t>
      </w:r>
      <w:r>
        <w:rPr>
          <w:szCs w:val="24"/>
        </w:rPr>
        <w:br/>
      </w:r>
      <w:r w:rsidRPr="00B137C1">
        <w:rPr>
          <w:szCs w:val="24"/>
        </w:rPr>
        <w:t>19 августа 2008 года) (САЗ 08-33)»;</w:t>
      </w:r>
    </w:p>
    <w:p w:rsidR="00C20988" w:rsidRPr="00B137C1" w:rsidRDefault="00C20988" w:rsidP="00FE5DDA">
      <w:pPr>
        <w:pStyle w:val="3"/>
        <w:numPr>
          <w:ilvl w:val="0"/>
          <w:numId w:val="38"/>
        </w:numPr>
        <w:spacing w:before="0" w:after="0"/>
        <w:ind w:left="0" w:firstLine="426"/>
        <w:jc w:val="both"/>
        <w:rPr>
          <w:szCs w:val="24"/>
        </w:rPr>
      </w:pPr>
      <w:r w:rsidRPr="00B137C1">
        <w:rPr>
          <w:szCs w:val="24"/>
        </w:rPr>
        <w:t xml:space="preserve">Указание Приднестровского республиканского банка от 23 мая 2018 года № 1073-У </w:t>
      </w:r>
      <w:r w:rsidRPr="00B137C1">
        <w:rPr>
          <w:szCs w:val="24"/>
        </w:rPr>
        <w:br/>
        <w:t xml:space="preserve">«О внесении дополнений в Инструкцию Приднестровского республиканского банка от </w:t>
      </w:r>
      <w:r>
        <w:rPr>
          <w:szCs w:val="24"/>
        </w:rPr>
        <w:br/>
      </w:r>
      <w:r w:rsidRPr="00B137C1">
        <w:rPr>
          <w:szCs w:val="24"/>
        </w:rPr>
        <w:t>2 июля 2008 года № 25-И «О порядке представления кредитными организациями отдельных форм отчётности в Приднестровский республиканский банк» (Регистрационный № 4548 от 19 августа 2008 года) (САЗ 08-33)»;</w:t>
      </w:r>
    </w:p>
    <w:p w:rsidR="00C20988" w:rsidRPr="00B137C1" w:rsidRDefault="00C20988" w:rsidP="00FE5DDA">
      <w:pPr>
        <w:pStyle w:val="3"/>
        <w:numPr>
          <w:ilvl w:val="0"/>
          <w:numId w:val="38"/>
        </w:numPr>
        <w:spacing w:before="0" w:after="0"/>
        <w:ind w:left="0" w:firstLine="426"/>
        <w:jc w:val="both"/>
        <w:rPr>
          <w:szCs w:val="24"/>
        </w:rPr>
      </w:pPr>
      <w:r w:rsidRPr="00B137C1">
        <w:rPr>
          <w:szCs w:val="24"/>
        </w:rPr>
        <w:t>Указание Приднестровского республиканского банка от 23 мая 2018 года № 1074-У</w:t>
      </w:r>
      <w:r w:rsidRPr="00B137C1">
        <w:rPr>
          <w:szCs w:val="24"/>
        </w:rPr>
        <w:br/>
        <w:t xml:space="preserve">«О внесении дополнения в Указание Приднестровского республиканского банка от 3 марта </w:t>
      </w:r>
      <w:r w:rsidRPr="00B137C1">
        <w:rPr>
          <w:szCs w:val="24"/>
        </w:rPr>
        <w:br/>
        <w:t>2011 года № 441-У «О порядке составления и представления отчётности в Приднестровский республиканский банк» (Регистрационный № 5602 от 20 апреля 2011 года) (САЗ 11-16)»;</w:t>
      </w:r>
    </w:p>
    <w:p w:rsidR="00C20988" w:rsidRPr="00B137C1" w:rsidRDefault="00C20988" w:rsidP="00FE5DDA">
      <w:pPr>
        <w:pStyle w:val="3"/>
        <w:numPr>
          <w:ilvl w:val="0"/>
          <w:numId w:val="38"/>
        </w:numPr>
        <w:spacing w:before="0" w:after="0"/>
        <w:ind w:left="0" w:firstLine="426"/>
        <w:jc w:val="both"/>
        <w:rPr>
          <w:szCs w:val="24"/>
        </w:rPr>
      </w:pPr>
      <w:r w:rsidRPr="00B137C1">
        <w:rPr>
          <w:szCs w:val="24"/>
        </w:rPr>
        <w:t xml:space="preserve">Указание Приднестровского республиканского банка от 18 июня 2018 года № 1085-У </w:t>
      </w:r>
      <w:r w:rsidRPr="00B137C1">
        <w:rPr>
          <w:szCs w:val="24"/>
        </w:rPr>
        <w:br/>
        <w:t xml:space="preserve">«О внесении изменения в Указание Приднестровского республиканского банка от 3 марта </w:t>
      </w:r>
      <w:r w:rsidRPr="00B137C1">
        <w:rPr>
          <w:szCs w:val="24"/>
        </w:rPr>
        <w:br/>
        <w:t>2011 года № 441-У «О порядке составления и представления отчётности в Приднестровский республиканский банк» (регистрационный № 5602 от 20 апреля 2011 года) (САЗ 11-16)»;</w:t>
      </w:r>
    </w:p>
    <w:p w:rsidR="00C20988" w:rsidRPr="00B137C1" w:rsidRDefault="00C20988" w:rsidP="00FE5DDA">
      <w:pPr>
        <w:pStyle w:val="3"/>
        <w:numPr>
          <w:ilvl w:val="0"/>
          <w:numId w:val="38"/>
        </w:numPr>
        <w:spacing w:before="0" w:after="0"/>
        <w:ind w:left="0" w:firstLine="426"/>
        <w:jc w:val="both"/>
        <w:rPr>
          <w:szCs w:val="24"/>
        </w:rPr>
      </w:pPr>
      <w:r w:rsidRPr="00B137C1">
        <w:rPr>
          <w:szCs w:val="24"/>
        </w:rPr>
        <w:t>Указание Приднестровского республиканского банка от 06 июля 2018 года №</w:t>
      </w:r>
      <w:r>
        <w:rPr>
          <w:szCs w:val="24"/>
        </w:rPr>
        <w:t xml:space="preserve"> </w:t>
      </w:r>
      <w:r w:rsidRPr="00B137C1">
        <w:rPr>
          <w:szCs w:val="24"/>
        </w:rPr>
        <w:t xml:space="preserve">1090-У </w:t>
      </w:r>
      <w:r w:rsidRPr="00B137C1">
        <w:rPr>
          <w:szCs w:val="24"/>
        </w:rPr>
        <w:br/>
        <w:t xml:space="preserve">«О внесении изменений в Инструкцию Приднестровского республиканского банка от </w:t>
      </w:r>
      <w:r>
        <w:rPr>
          <w:szCs w:val="24"/>
        </w:rPr>
        <w:br/>
      </w:r>
      <w:r w:rsidRPr="00B137C1">
        <w:rPr>
          <w:szCs w:val="24"/>
        </w:rPr>
        <w:t>26 марта 2008 года № 24-И «О порядке представления отчётности для составления платёжного баланса Приднестровской Молдавской Республики» (Регистрационный № 4377 от 1 апреля 2008 года) (САЗ 08-13)»;</w:t>
      </w:r>
    </w:p>
    <w:p w:rsidR="00C20988" w:rsidRDefault="00C20988" w:rsidP="00523E1E">
      <w:pPr>
        <w:pStyle w:val="3"/>
        <w:numPr>
          <w:ilvl w:val="0"/>
          <w:numId w:val="38"/>
        </w:numPr>
        <w:spacing w:before="0" w:after="0"/>
        <w:ind w:left="0" w:firstLine="426"/>
        <w:jc w:val="both"/>
        <w:rPr>
          <w:szCs w:val="24"/>
        </w:rPr>
      </w:pPr>
      <w:r w:rsidRPr="00B137C1">
        <w:rPr>
          <w:szCs w:val="24"/>
        </w:rPr>
        <w:t xml:space="preserve">Указание Приднестровского республиканского банка от 29 августа 2018 года </w:t>
      </w:r>
      <w:r>
        <w:rPr>
          <w:szCs w:val="24"/>
        </w:rPr>
        <w:br/>
      </w:r>
      <w:r w:rsidRPr="00B137C1">
        <w:rPr>
          <w:szCs w:val="24"/>
        </w:rPr>
        <w:t>№</w:t>
      </w:r>
      <w:r>
        <w:rPr>
          <w:szCs w:val="24"/>
        </w:rPr>
        <w:t xml:space="preserve"> </w:t>
      </w:r>
      <w:r w:rsidRPr="00B137C1">
        <w:rPr>
          <w:szCs w:val="24"/>
        </w:rPr>
        <w:t>1108-У «О внесении изменений в Указание Приднестровского республиканского банка от 3 марта 2011 года № 441-У «О порядке составления и представления отчётности в Приднестровский республиканский банк» (Регистрационный № 5602 от 20 апреля 2011 года) (САЗ 11-16)»;</w:t>
      </w:r>
    </w:p>
    <w:p w:rsidR="00C20988" w:rsidRPr="00523E1E" w:rsidRDefault="00C20988" w:rsidP="00523E1E">
      <w:pPr>
        <w:pStyle w:val="3"/>
        <w:numPr>
          <w:ilvl w:val="0"/>
          <w:numId w:val="38"/>
        </w:numPr>
        <w:tabs>
          <w:tab w:val="left" w:pos="851"/>
        </w:tabs>
        <w:spacing w:before="0" w:after="0"/>
        <w:ind w:left="0" w:firstLine="426"/>
        <w:jc w:val="both"/>
        <w:rPr>
          <w:szCs w:val="24"/>
        </w:rPr>
      </w:pPr>
      <w:r w:rsidRPr="00523E1E">
        <w:rPr>
          <w:szCs w:val="24"/>
        </w:rPr>
        <w:t xml:space="preserve"> Указание Приднестровского республиканского банка от 31 октября 2018 года №1119-У «О внесении изменения в Инструкцию Приднестровского республиканского банка от 19 июня 2007 года № 20-И «О порядке составления и представления кредитными организациями Приднестровской Молдавской Республики отчётности о средневзвешенных процентных ставках по операциям размещения и привлечения средств» (Регистрационный </w:t>
      </w:r>
      <w:r>
        <w:rPr>
          <w:szCs w:val="24"/>
        </w:rPr>
        <w:br/>
      </w:r>
      <w:r w:rsidRPr="00523E1E">
        <w:rPr>
          <w:szCs w:val="24"/>
        </w:rPr>
        <w:t xml:space="preserve">№ 4007 от 20 июля 2007 года) (САЗ 07-30)»; </w:t>
      </w:r>
    </w:p>
    <w:p w:rsidR="00C20988" w:rsidRPr="00B137C1" w:rsidRDefault="00C20988" w:rsidP="00523E1E">
      <w:pPr>
        <w:pStyle w:val="3"/>
        <w:numPr>
          <w:ilvl w:val="0"/>
          <w:numId w:val="38"/>
        </w:numPr>
        <w:tabs>
          <w:tab w:val="left" w:pos="851"/>
        </w:tabs>
        <w:spacing w:before="0" w:after="0"/>
        <w:ind w:left="0" w:firstLine="426"/>
        <w:jc w:val="both"/>
        <w:rPr>
          <w:szCs w:val="24"/>
        </w:rPr>
      </w:pPr>
      <w:r w:rsidRPr="00B137C1">
        <w:rPr>
          <w:szCs w:val="24"/>
        </w:rPr>
        <w:t xml:space="preserve"> Указание Приднестровского республиканского банка от 15 ноября 2018 года </w:t>
      </w:r>
      <w:r>
        <w:rPr>
          <w:szCs w:val="24"/>
        </w:rPr>
        <w:br/>
      </w:r>
      <w:r w:rsidRPr="00B137C1">
        <w:rPr>
          <w:szCs w:val="24"/>
        </w:rPr>
        <w:t>№</w:t>
      </w:r>
      <w:r>
        <w:rPr>
          <w:szCs w:val="24"/>
        </w:rPr>
        <w:t xml:space="preserve"> </w:t>
      </w:r>
      <w:r w:rsidRPr="00B137C1">
        <w:rPr>
          <w:szCs w:val="24"/>
        </w:rPr>
        <w:t xml:space="preserve">1122-У «О внесении изменений и дополнений в Инструкцию Приднестровского республиканского банка от 2 июля 2008 года № 25-И «О порядке представления кредитными организациями отдельных форм отчётности в Приднестровский республиканский банк» (Регистрационный № 4548 от 19 августа 2008 года) (САЗ 08-33)». </w:t>
      </w:r>
    </w:p>
    <w:p w:rsidR="00C20988" w:rsidRPr="00B137C1" w:rsidRDefault="00C20988" w:rsidP="000F0BF5">
      <w:pPr>
        <w:spacing w:before="120" w:after="120"/>
        <w:ind w:firstLine="426"/>
        <w:jc w:val="both"/>
        <w:rPr>
          <w:i/>
          <w:snapToGrid w:val="0"/>
          <w:sz w:val="24"/>
          <w:szCs w:val="24"/>
        </w:rPr>
      </w:pPr>
      <w:r w:rsidRPr="00B137C1">
        <w:rPr>
          <w:i/>
          <w:snapToGrid w:val="0"/>
          <w:sz w:val="24"/>
          <w:szCs w:val="24"/>
        </w:rPr>
        <w:t>В сфере денежного обращения:</w:t>
      </w:r>
    </w:p>
    <w:p w:rsidR="00C20988" w:rsidRPr="00B137C1" w:rsidRDefault="00C20988" w:rsidP="000F0BF5">
      <w:pPr>
        <w:pStyle w:val="NormalWeb"/>
        <w:numPr>
          <w:ilvl w:val="0"/>
          <w:numId w:val="39"/>
        </w:num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426"/>
        <w:jc w:val="both"/>
      </w:pPr>
      <w:r w:rsidRPr="00B137C1">
        <w:t>Положение Приднестровского республиканского банка от 12 июля 2018 года №128-П</w:t>
      </w:r>
      <w:r w:rsidRPr="00B137C1">
        <w:br/>
        <w:t>«О порядке введения в обращение денежных знаков нового образца и обмене денежных знаков старого образца»</w:t>
      </w:r>
      <w:r w:rsidRPr="00B137C1">
        <w:rPr>
          <w:b/>
          <w:bCs/>
        </w:rPr>
        <w:t xml:space="preserve"> </w:t>
      </w:r>
      <w:r w:rsidRPr="00B137C1">
        <w:t>(Регистрационный № </w:t>
      </w:r>
      <w:r w:rsidRPr="00B137C1">
        <w:rPr>
          <w:bCs/>
        </w:rPr>
        <w:t>8382</w:t>
      </w:r>
      <w:r w:rsidRPr="00B137C1">
        <w:t xml:space="preserve"> от 8 августа 2018 года) (САЗ 18-32).</w:t>
      </w:r>
    </w:p>
    <w:p w:rsidR="00C20988" w:rsidRPr="00B137C1" w:rsidRDefault="00C20988" w:rsidP="000F0BF5">
      <w:pPr>
        <w:spacing w:before="120" w:after="120"/>
        <w:ind w:firstLine="426"/>
        <w:jc w:val="both"/>
        <w:rPr>
          <w:i/>
          <w:sz w:val="24"/>
          <w:szCs w:val="24"/>
        </w:rPr>
      </w:pPr>
      <w:r w:rsidRPr="00B137C1">
        <w:rPr>
          <w:i/>
          <w:sz w:val="24"/>
          <w:szCs w:val="24"/>
        </w:rPr>
        <w:t>В иных сферах, регулирование которых осуществляет Приднестровский республиканский банк:</w:t>
      </w:r>
    </w:p>
    <w:p w:rsidR="00C20988" w:rsidRPr="00B137C1" w:rsidRDefault="00C20988" w:rsidP="000F0BF5">
      <w:pPr>
        <w:pStyle w:val="ListParagraph"/>
        <w:numPr>
          <w:ilvl w:val="0"/>
          <w:numId w:val="40"/>
        </w:numPr>
        <w:ind w:left="0" w:firstLine="426"/>
        <w:jc w:val="both"/>
        <w:rPr>
          <w:sz w:val="24"/>
          <w:szCs w:val="24"/>
        </w:rPr>
      </w:pPr>
      <w:r w:rsidRPr="00B137C1">
        <w:rPr>
          <w:sz w:val="24"/>
          <w:szCs w:val="24"/>
        </w:rPr>
        <w:t xml:space="preserve">Указание Приднестровского республиканского банка от 8 февраля 2018 года </w:t>
      </w:r>
      <w:r>
        <w:rPr>
          <w:sz w:val="24"/>
          <w:szCs w:val="24"/>
        </w:rPr>
        <w:br/>
      </w:r>
      <w:r w:rsidRPr="00B137C1">
        <w:rPr>
          <w:sz w:val="24"/>
          <w:szCs w:val="24"/>
        </w:rPr>
        <w:t>№ 1040-У «</w:t>
      </w:r>
      <w:r w:rsidRPr="00B137C1">
        <w:rPr>
          <w:snapToGrid w:val="0"/>
          <w:sz w:val="24"/>
          <w:szCs w:val="24"/>
        </w:rPr>
        <w:t xml:space="preserve">О внесении изменений в Инструкцию Приднестровского республиканского банка </w:t>
      </w:r>
      <w:r w:rsidRPr="00B137C1">
        <w:rPr>
          <w:sz w:val="24"/>
          <w:szCs w:val="24"/>
        </w:rPr>
        <w:t xml:space="preserve">от 3 апреля 2007 года № 19-И «О порядке кассового исполнения государственного бюджета Приднестровской Молдавской Республики» (Регистрационный № 3912 от 4 мая 2007 года) </w:t>
      </w:r>
      <w:r w:rsidRPr="00B137C1">
        <w:rPr>
          <w:sz w:val="24"/>
          <w:szCs w:val="24"/>
        </w:rPr>
        <w:br/>
        <w:t>(САЗ 07-19)»;</w:t>
      </w:r>
    </w:p>
    <w:p w:rsidR="00C20988" w:rsidRPr="00B137C1" w:rsidRDefault="00C20988" w:rsidP="000F0BF5">
      <w:pPr>
        <w:pStyle w:val="ListParagraph"/>
        <w:numPr>
          <w:ilvl w:val="0"/>
          <w:numId w:val="40"/>
        </w:numPr>
        <w:ind w:left="0" w:firstLine="426"/>
        <w:jc w:val="both"/>
        <w:rPr>
          <w:sz w:val="24"/>
          <w:szCs w:val="24"/>
        </w:rPr>
      </w:pPr>
      <w:r w:rsidRPr="00B137C1">
        <w:rPr>
          <w:sz w:val="24"/>
          <w:szCs w:val="24"/>
        </w:rPr>
        <w:t xml:space="preserve">Указание Приднестровского республиканского банка от 15 марта 2018 года № 1051-У </w:t>
      </w:r>
      <w:r w:rsidRPr="00B137C1">
        <w:rPr>
          <w:sz w:val="24"/>
          <w:szCs w:val="24"/>
        </w:rPr>
        <w:br/>
        <w:t>«О внесении изменений и дополнения в некоторые нормативные акты Приднестровского республиканского банка»;</w:t>
      </w:r>
    </w:p>
    <w:p w:rsidR="00C20988" w:rsidRPr="00B137C1" w:rsidRDefault="00C20988" w:rsidP="000F0BF5">
      <w:pPr>
        <w:pStyle w:val="ListParagraph"/>
        <w:numPr>
          <w:ilvl w:val="0"/>
          <w:numId w:val="40"/>
        </w:numPr>
        <w:ind w:left="0" w:firstLine="426"/>
        <w:jc w:val="both"/>
        <w:rPr>
          <w:sz w:val="24"/>
          <w:szCs w:val="24"/>
        </w:rPr>
      </w:pPr>
      <w:r w:rsidRPr="00B137C1">
        <w:rPr>
          <w:sz w:val="24"/>
          <w:szCs w:val="24"/>
        </w:rPr>
        <w:t xml:space="preserve">Указание Приднестровского республиканского банка от 10 мая 2018 года № 1070-У </w:t>
      </w:r>
      <w:r w:rsidRPr="00B137C1">
        <w:rPr>
          <w:sz w:val="24"/>
          <w:szCs w:val="24"/>
        </w:rPr>
        <w:br/>
        <w:t>«О внесении изменения в Инструкцию Приднестровского республиканского банка от 12 ноября 2002 года № 9-И «О безналичных расчётах в Приднестровской Молдавской Республике» (Регистрационный № 1904 от 10 декабря 2002 года) (САЗ 02-50)»;</w:t>
      </w:r>
    </w:p>
    <w:p w:rsidR="00C20988" w:rsidRPr="00B137C1" w:rsidRDefault="00C20988" w:rsidP="000F0BF5">
      <w:pPr>
        <w:pStyle w:val="ListParagraph"/>
        <w:numPr>
          <w:ilvl w:val="0"/>
          <w:numId w:val="40"/>
        </w:numPr>
        <w:ind w:left="0" w:firstLine="426"/>
        <w:jc w:val="both"/>
        <w:rPr>
          <w:sz w:val="24"/>
          <w:szCs w:val="24"/>
        </w:rPr>
      </w:pPr>
      <w:r w:rsidRPr="00B137C1">
        <w:rPr>
          <w:sz w:val="24"/>
          <w:szCs w:val="24"/>
        </w:rPr>
        <w:t xml:space="preserve">Указание Приднестровского республиканского банка от 5 июня 2018 года № 1079-У </w:t>
      </w:r>
      <w:r w:rsidRPr="00B137C1">
        <w:rPr>
          <w:sz w:val="24"/>
          <w:szCs w:val="24"/>
        </w:rPr>
        <w:br/>
        <w:t>«О внесении изменений и дополнений в Инструкцию Приднестровского республиканского банка от 12 ноября 2002 года № 9-И «О безналичных расчётах в Приднестровской Молдавской Республике» (Регистрационный № 1904 от 10 декабря 2002 года) (САЗ 02-50)»;</w:t>
      </w:r>
    </w:p>
    <w:p w:rsidR="00C20988" w:rsidRPr="00B137C1" w:rsidRDefault="00C20988" w:rsidP="000F0BF5">
      <w:pPr>
        <w:pStyle w:val="ListParagraph"/>
        <w:numPr>
          <w:ilvl w:val="0"/>
          <w:numId w:val="40"/>
        </w:numPr>
        <w:ind w:left="0" w:firstLine="426"/>
        <w:jc w:val="both"/>
        <w:rPr>
          <w:sz w:val="24"/>
          <w:szCs w:val="24"/>
        </w:rPr>
      </w:pPr>
      <w:r w:rsidRPr="00B137C1">
        <w:rPr>
          <w:sz w:val="24"/>
          <w:szCs w:val="24"/>
        </w:rPr>
        <w:t xml:space="preserve">Указание Приднестровского республиканского банка от 29 июня 2018 года № 1088-У </w:t>
      </w:r>
      <w:r w:rsidRPr="00B137C1">
        <w:rPr>
          <w:sz w:val="24"/>
          <w:szCs w:val="24"/>
        </w:rPr>
        <w:br/>
        <w:t xml:space="preserve">«О внесении изменений в Положение Приднестровского республиканского банка от </w:t>
      </w:r>
      <w:r>
        <w:rPr>
          <w:sz w:val="24"/>
          <w:szCs w:val="24"/>
        </w:rPr>
        <w:br/>
      </w:r>
      <w:r w:rsidRPr="00B137C1">
        <w:rPr>
          <w:sz w:val="24"/>
          <w:szCs w:val="24"/>
        </w:rPr>
        <w:t>7 декабря 2012 года № 112-П «О порядке ведения кассовых операций, правилах хранения, перевозки и инкассации банкнот и монеты Приднестровского республиканского банка, а также банкнот и монеты иностранного государства (группы иностранных государств) в кредитных организациях, расположенных на территории Приднестровской Молдавской Республики» (Регистрационный № 6312 от 12 февраля 2013 года) (САЗ 13-6)»;</w:t>
      </w:r>
    </w:p>
    <w:p w:rsidR="00C20988" w:rsidRPr="00B137C1" w:rsidRDefault="00C20988" w:rsidP="00842545">
      <w:pPr>
        <w:pStyle w:val="ListParagraph"/>
        <w:numPr>
          <w:ilvl w:val="0"/>
          <w:numId w:val="40"/>
        </w:numPr>
        <w:ind w:left="0" w:firstLine="426"/>
        <w:jc w:val="both"/>
        <w:rPr>
          <w:sz w:val="24"/>
          <w:szCs w:val="24"/>
        </w:rPr>
      </w:pPr>
      <w:r w:rsidRPr="00B137C1">
        <w:rPr>
          <w:sz w:val="24"/>
          <w:szCs w:val="24"/>
        </w:rPr>
        <w:t xml:space="preserve">Указание Приднестровского республиканского банка от 20 августа 2018 года </w:t>
      </w:r>
      <w:r>
        <w:rPr>
          <w:sz w:val="24"/>
          <w:szCs w:val="24"/>
        </w:rPr>
        <w:br/>
      </w:r>
      <w:r w:rsidRPr="00B137C1">
        <w:rPr>
          <w:sz w:val="24"/>
          <w:szCs w:val="24"/>
        </w:rPr>
        <w:t xml:space="preserve">№ 1095-У «О внесении изменений в Инструкцию Приднестровского республиканского банка от 03 апреля 2007 года № 19-И «О порядке кассового исполнения государственного бюджета Приднестровской Молдавской Республики» (Регистрационный № 3912 от 4 мая 2007 года) </w:t>
      </w:r>
      <w:r w:rsidRPr="00B137C1">
        <w:rPr>
          <w:sz w:val="24"/>
          <w:szCs w:val="24"/>
        </w:rPr>
        <w:br/>
        <w:t>(САЗ 07-19)»;</w:t>
      </w:r>
    </w:p>
    <w:p w:rsidR="00C20988" w:rsidRPr="00B137C1" w:rsidRDefault="00C20988" w:rsidP="00842545">
      <w:pPr>
        <w:pStyle w:val="ListParagraph"/>
        <w:numPr>
          <w:ilvl w:val="0"/>
          <w:numId w:val="40"/>
        </w:numPr>
        <w:ind w:left="0" w:firstLine="426"/>
        <w:jc w:val="both"/>
        <w:rPr>
          <w:sz w:val="24"/>
          <w:szCs w:val="24"/>
        </w:rPr>
      </w:pPr>
      <w:r w:rsidRPr="00B137C1">
        <w:rPr>
          <w:sz w:val="24"/>
          <w:szCs w:val="24"/>
        </w:rPr>
        <w:t xml:space="preserve">Указание Приднестровского республиканского банка от 20 августа 2018 года </w:t>
      </w:r>
      <w:r>
        <w:rPr>
          <w:sz w:val="24"/>
          <w:szCs w:val="24"/>
        </w:rPr>
        <w:br/>
      </w:r>
      <w:r w:rsidRPr="00B137C1">
        <w:rPr>
          <w:sz w:val="24"/>
          <w:szCs w:val="24"/>
        </w:rPr>
        <w:t xml:space="preserve">№ 1096-У «О внесении изменений в Инструкцию Приднестровского республиканского банка от 02 июля 2008 года № 26-И «О порядке предоставления Приднестровским республиканским банком отчётности по операциям, связанным с движением средств республиканского бюджета и Единого государственного фонда социального страхования Приднестровской Молдавской Республики «(Регистрационный N 4528 от 4 августа </w:t>
      </w:r>
      <w:r>
        <w:rPr>
          <w:sz w:val="24"/>
          <w:szCs w:val="24"/>
        </w:rPr>
        <w:br/>
      </w:r>
      <w:r w:rsidRPr="00B137C1">
        <w:rPr>
          <w:sz w:val="24"/>
          <w:szCs w:val="24"/>
        </w:rPr>
        <w:t>2008 года) (САЗ 08-31)»;</w:t>
      </w:r>
    </w:p>
    <w:p w:rsidR="00C20988" w:rsidRPr="00B137C1" w:rsidRDefault="00C20988" w:rsidP="00842545">
      <w:pPr>
        <w:pStyle w:val="ListParagraph"/>
        <w:numPr>
          <w:ilvl w:val="0"/>
          <w:numId w:val="40"/>
        </w:numPr>
        <w:ind w:left="0" w:firstLine="426"/>
        <w:jc w:val="both"/>
        <w:rPr>
          <w:sz w:val="24"/>
          <w:szCs w:val="24"/>
        </w:rPr>
      </w:pPr>
      <w:r w:rsidRPr="00B137C1">
        <w:rPr>
          <w:sz w:val="24"/>
          <w:szCs w:val="24"/>
        </w:rPr>
        <w:t xml:space="preserve">Указание Приднестровского республиканского банка от 29 августа 2018 года </w:t>
      </w:r>
      <w:r>
        <w:rPr>
          <w:sz w:val="24"/>
          <w:szCs w:val="24"/>
        </w:rPr>
        <w:br/>
      </w:r>
      <w:r w:rsidRPr="00B137C1">
        <w:rPr>
          <w:sz w:val="24"/>
          <w:szCs w:val="24"/>
        </w:rPr>
        <w:t>№ 1106-У «О внесении изменений в Указание Приднестровского республиканского банка от 11 апреля 2011 года № 451-У «О порядке кассового обслуживания, приёма (выдачи) ценностей на хранение и инкассации денежной наличности и других ценностей кредитных организаций и иных юридических лиц Приднестровским республиканским банком» (Регистрационный N 5628 от 20 мая 2011 года) (САЗ 11-20)»;</w:t>
      </w:r>
    </w:p>
    <w:p w:rsidR="00C20988" w:rsidRPr="00B137C1" w:rsidRDefault="00C20988" w:rsidP="000F0BF5">
      <w:pPr>
        <w:pStyle w:val="ListParagraph"/>
        <w:numPr>
          <w:ilvl w:val="0"/>
          <w:numId w:val="40"/>
        </w:numPr>
        <w:ind w:left="0" w:firstLine="426"/>
        <w:jc w:val="both"/>
        <w:rPr>
          <w:sz w:val="24"/>
          <w:szCs w:val="24"/>
        </w:rPr>
      </w:pPr>
      <w:r w:rsidRPr="00B137C1">
        <w:rPr>
          <w:sz w:val="24"/>
          <w:szCs w:val="24"/>
        </w:rPr>
        <w:t xml:space="preserve">Указание Приднестровского республиканского банка от 5 октября 2018 года </w:t>
      </w:r>
      <w:r>
        <w:rPr>
          <w:sz w:val="24"/>
          <w:szCs w:val="24"/>
        </w:rPr>
        <w:br/>
      </w:r>
      <w:r w:rsidRPr="00B137C1">
        <w:rPr>
          <w:sz w:val="24"/>
          <w:szCs w:val="24"/>
        </w:rPr>
        <w:t>№</w:t>
      </w:r>
      <w:r>
        <w:rPr>
          <w:sz w:val="24"/>
          <w:szCs w:val="24"/>
        </w:rPr>
        <w:t xml:space="preserve"> </w:t>
      </w:r>
      <w:r w:rsidRPr="00B137C1">
        <w:rPr>
          <w:sz w:val="24"/>
          <w:szCs w:val="24"/>
        </w:rPr>
        <w:t xml:space="preserve">1111-У «О внесении изменений и дополнений в </w:t>
      </w:r>
      <w:r w:rsidRPr="00B137C1">
        <w:rPr>
          <w:snapToGrid w:val="0"/>
          <w:sz w:val="24"/>
          <w:szCs w:val="24"/>
        </w:rPr>
        <w:t xml:space="preserve">Инструкцию Приднестровского республиканского банка </w:t>
      </w:r>
      <w:r w:rsidRPr="00B137C1">
        <w:rPr>
          <w:sz w:val="24"/>
          <w:szCs w:val="24"/>
        </w:rPr>
        <w:t xml:space="preserve">от </w:t>
      </w:r>
      <w:r w:rsidRPr="00B137C1">
        <w:rPr>
          <w:snapToGrid w:val="0"/>
          <w:sz w:val="24"/>
          <w:szCs w:val="24"/>
        </w:rPr>
        <w:t xml:space="preserve">12 ноября 2002 года </w:t>
      </w:r>
      <w:r w:rsidRPr="00B137C1">
        <w:rPr>
          <w:sz w:val="24"/>
          <w:szCs w:val="24"/>
        </w:rPr>
        <w:t xml:space="preserve">№ 9-И «О </w:t>
      </w:r>
      <w:r w:rsidRPr="00B137C1">
        <w:rPr>
          <w:snapToGrid w:val="0"/>
          <w:sz w:val="24"/>
          <w:szCs w:val="24"/>
        </w:rPr>
        <w:t>безналичных расчётах в Приднестровской Молдавской Республике» (</w:t>
      </w:r>
      <w:r w:rsidRPr="00B137C1">
        <w:rPr>
          <w:sz w:val="24"/>
          <w:szCs w:val="24"/>
        </w:rPr>
        <w:t xml:space="preserve">Регистрационный № 1904 от </w:t>
      </w:r>
      <w:r w:rsidRPr="00B137C1">
        <w:rPr>
          <w:snapToGrid w:val="0"/>
          <w:sz w:val="24"/>
          <w:szCs w:val="24"/>
        </w:rPr>
        <w:t xml:space="preserve">10 декабря </w:t>
      </w:r>
      <w:r>
        <w:rPr>
          <w:snapToGrid w:val="0"/>
          <w:sz w:val="24"/>
          <w:szCs w:val="24"/>
        </w:rPr>
        <w:br/>
      </w:r>
      <w:r w:rsidRPr="00B137C1">
        <w:rPr>
          <w:snapToGrid w:val="0"/>
          <w:sz w:val="24"/>
          <w:szCs w:val="24"/>
        </w:rPr>
        <w:t xml:space="preserve">2002 </w:t>
      </w:r>
      <w:r w:rsidRPr="00B137C1">
        <w:rPr>
          <w:sz w:val="24"/>
          <w:szCs w:val="24"/>
        </w:rPr>
        <w:t>года)</w:t>
      </w:r>
      <w:r w:rsidRPr="00B137C1">
        <w:rPr>
          <w:snapToGrid w:val="0"/>
          <w:sz w:val="24"/>
          <w:szCs w:val="24"/>
        </w:rPr>
        <w:t xml:space="preserve"> (САЗ 02-50)»</w:t>
      </w:r>
      <w:r w:rsidRPr="00B137C1">
        <w:rPr>
          <w:sz w:val="24"/>
          <w:szCs w:val="24"/>
        </w:rPr>
        <w:t>;</w:t>
      </w:r>
    </w:p>
    <w:p w:rsidR="00C20988" w:rsidRPr="00B137C1" w:rsidRDefault="00C20988" w:rsidP="00523E1E">
      <w:pPr>
        <w:pStyle w:val="ListParagraph"/>
        <w:numPr>
          <w:ilvl w:val="0"/>
          <w:numId w:val="40"/>
        </w:numPr>
        <w:tabs>
          <w:tab w:val="left" w:pos="851"/>
        </w:tabs>
        <w:ind w:left="0" w:firstLine="426"/>
        <w:jc w:val="both"/>
        <w:rPr>
          <w:sz w:val="24"/>
          <w:szCs w:val="24"/>
        </w:rPr>
      </w:pPr>
      <w:r w:rsidRPr="00B137C1">
        <w:rPr>
          <w:sz w:val="24"/>
          <w:szCs w:val="24"/>
        </w:rPr>
        <w:t xml:space="preserve"> Указание Приднестровского республиканского банка от 20 декабря 2018 года </w:t>
      </w:r>
      <w:r>
        <w:rPr>
          <w:sz w:val="24"/>
          <w:szCs w:val="24"/>
        </w:rPr>
        <w:br/>
      </w:r>
      <w:r w:rsidRPr="00B137C1">
        <w:rPr>
          <w:sz w:val="24"/>
          <w:szCs w:val="24"/>
        </w:rPr>
        <w:t>№ 1132-У «О внесении изменения в Положение Приднестровского республиканского банка от 7 декабря 2012 года № 112-П «О порядке ведения кассовых операций, правилах хранения, перевозки и инкассации банкнот и монеты Приднестровского республиканского банка, а также банкнот и монеты иностранного государства (группы иностранных государств) в кредитных организациях, расположенных на территории Приднестровской Молдавской Республики» (Регистрационный № 6312 от 12 февраля 2013 года) (САЗ 13-6)».</w:t>
      </w:r>
    </w:p>
    <w:p w:rsidR="00C20988" w:rsidRPr="00B137C1" w:rsidRDefault="00C20988" w:rsidP="00B137C1">
      <w:pPr>
        <w:widowControl w:val="0"/>
        <w:spacing w:before="120" w:after="120"/>
        <w:ind w:left="28" w:firstLine="425"/>
        <w:jc w:val="both"/>
        <w:rPr>
          <w:i/>
          <w:iCs/>
          <w:sz w:val="24"/>
          <w:szCs w:val="24"/>
        </w:rPr>
      </w:pPr>
      <w:r w:rsidRPr="00B137C1">
        <w:rPr>
          <w:i/>
          <w:iCs/>
          <w:sz w:val="24"/>
          <w:szCs w:val="24"/>
        </w:rPr>
        <w:t>Межведомственное взаимодействие:</w:t>
      </w:r>
    </w:p>
    <w:p w:rsidR="00C20988" w:rsidRDefault="00C20988" w:rsidP="000F119D">
      <w:pPr>
        <w:pStyle w:val="ListParagraph"/>
        <w:numPr>
          <w:ilvl w:val="0"/>
          <w:numId w:val="45"/>
        </w:numPr>
        <w:ind w:left="0" w:firstLine="426"/>
        <w:jc w:val="both"/>
        <w:rPr>
          <w:sz w:val="24"/>
          <w:szCs w:val="24"/>
        </w:rPr>
      </w:pPr>
      <w:r w:rsidRPr="00523E1E">
        <w:rPr>
          <w:sz w:val="24"/>
          <w:szCs w:val="24"/>
        </w:rPr>
        <w:t xml:space="preserve">Совместный Приказ Министерства финансов Приднестровской Молдавской Республики и Приднестровского республиканского банка от 25 января 2018 года №4/01-06/9 </w:t>
      </w:r>
      <w:r>
        <w:rPr>
          <w:sz w:val="24"/>
          <w:szCs w:val="24"/>
        </w:rPr>
        <w:t>«</w:t>
      </w:r>
      <w:r w:rsidRPr="00523E1E">
        <w:rPr>
          <w:sz w:val="24"/>
          <w:szCs w:val="24"/>
        </w:rPr>
        <w:t xml:space="preserve">О внесении изменения в Приказ Министерства финансов Приднестровской Молдавской Республики и Приднестровского республиканского банка от 5 декабря 2012 года № 173/01-05/165 </w:t>
      </w:r>
      <w:r>
        <w:rPr>
          <w:sz w:val="24"/>
          <w:szCs w:val="24"/>
        </w:rPr>
        <w:t>«</w:t>
      </w:r>
      <w:r w:rsidRPr="00523E1E">
        <w:rPr>
          <w:sz w:val="24"/>
          <w:szCs w:val="24"/>
        </w:rPr>
        <w:t xml:space="preserve">Об утверждении Положения </w:t>
      </w:r>
      <w:r>
        <w:rPr>
          <w:sz w:val="24"/>
          <w:szCs w:val="24"/>
        </w:rPr>
        <w:t>«</w:t>
      </w:r>
      <w:r w:rsidRPr="00523E1E">
        <w:rPr>
          <w:sz w:val="24"/>
          <w:szCs w:val="24"/>
        </w:rPr>
        <w:t>О специальных бюджетных счетах, открываемых для зачисления доходов и осуществления расходования средств, поступающих от оказания платных услуг и иной приносящей доход деятельности</w:t>
      </w:r>
      <w:r>
        <w:rPr>
          <w:sz w:val="24"/>
          <w:szCs w:val="24"/>
        </w:rPr>
        <w:t>»</w:t>
      </w:r>
      <w:r w:rsidRPr="00523E1E">
        <w:rPr>
          <w:sz w:val="24"/>
          <w:szCs w:val="24"/>
        </w:rPr>
        <w:t xml:space="preserve">(регистрационный </w:t>
      </w:r>
      <w:r>
        <w:rPr>
          <w:sz w:val="24"/>
          <w:szCs w:val="24"/>
        </w:rPr>
        <w:t>№</w:t>
      </w:r>
      <w:r w:rsidRPr="00523E1E">
        <w:rPr>
          <w:sz w:val="24"/>
          <w:szCs w:val="24"/>
        </w:rPr>
        <w:t xml:space="preserve"> 6267 от </w:t>
      </w:r>
      <w:r>
        <w:rPr>
          <w:sz w:val="24"/>
          <w:szCs w:val="24"/>
        </w:rPr>
        <w:br/>
      </w:r>
      <w:r w:rsidRPr="00523E1E">
        <w:rPr>
          <w:sz w:val="24"/>
          <w:szCs w:val="24"/>
        </w:rPr>
        <w:t>29 декабря 2012 года) (САЗ 12-53)</w:t>
      </w:r>
      <w:r>
        <w:rPr>
          <w:sz w:val="24"/>
          <w:szCs w:val="24"/>
        </w:rPr>
        <w:t>»</w:t>
      </w:r>
      <w:r w:rsidRPr="00523E1E">
        <w:rPr>
          <w:sz w:val="24"/>
          <w:szCs w:val="24"/>
        </w:rPr>
        <w:t xml:space="preserve"> (регистрационный </w:t>
      </w:r>
      <w:r>
        <w:rPr>
          <w:sz w:val="24"/>
          <w:szCs w:val="24"/>
        </w:rPr>
        <w:t>№</w:t>
      </w:r>
      <w:r w:rsidRPr="00523E1E">
        <w:rPr>
          <w:sz w:val="24"/>
          <w:szCs w:val="24"/>
        </w:rPr>
        <w:t xml:space="preserve"> 8139 от 16 февраля 2018 года) </w:t>
      </w:r>
      <w:r>
        <w:rPr>
          <w:sz w:val="24"/>
          <w:szCs w:val="24"/>
        </w:rPr>
        <w:br/>
      </w:r>
      <w:r w:rsidRPr="00523E1E">
        <w:rPr>
          <w:sz w:val="24"/>
          <w:szCs w:val="24"/>
        </w:rPr>
        <w:t>(САЗ 18-7)</w:t>
      </w:r>
      <w:r>
        <w:rPr>
          <w:sz w:val="24"/>
          <w:szCs w:val="24"/>
        </w:rPr>
        <w:t>»</w:t>
      </w:r>
      <w:r w:rsidRPr="00523E1E">
        <w:rPr>
          <w:sz w:val="24"/>
          <w:szCs w:val="24"/>
        </w:rPr>
        <w:t>;</w:t>
      </w:r>
    </w:p>
    <w:p w:rsidR="00C20988" w:rsidRPr="000F119D" w:rsidRDefault="00C20988" w:rsidP="000F119D">
      <w:pPr>
        <w:pStyle w:val="ListParagraph"/>
        <w:numPr>
          <w:ilvl w:val="0"/>
          <w:numId w:val="45"/>
        </w:numPr>
        <w:ind w:left="0" w:firstLine="426"/>
        <w:jc w:val="both"/>
        <w:rPr>
          <w:sz w:val="24"/>
          <w:szCs w:val="24"/>
        </w:rPr>
      </w:pPr>
      <w:r w:rsidRPr="000F119D">
        <w:rPr>
          <w:sz w:val="24"/>
          <w:szCs w:val="24"/>
        </w:rPr>
        <w:t xml:space="preserve">Приказ Государственного таможенного комитета Приднестровской Молдавской Республики и Приднестровского республиканского банка от 5 февраля 2018 года </w:t>
      </w:r>
      <w:r>
        <w:rPr>
          <w:sz w:val="24"/>
          <w:szCs w:val="24"/>
        </w:rPr>
        <w:br/>
        <w:t>№</w:t>
      </w:r>
      <w:r w:rsidRPr="000F119D">
        <w:rPr>
          <w:sz w:val="24"/>
          <w:szCs w:val="24"/>
        </w:rPr>
        <w:t xml:space="preserve"> 60/01-06/13 «О внесении изменений и дополнений в Приказ Государственного таможенного комитета Приднестровской Молдавской Республики и Приднестровского республиканского банка от 1 сентября 2010 года N 194/01-05/90 «Об утверждении классификатора валют и классификатора стран мира (территорий)» (Регистрационный </w:t>
      </w:r>
      <w:r>
        <w:rPr>
          <w:sz w:val="24"/>
          <w:szCs w:val="24"/>
        </w:rPr>
        <w:br/>
        <w:t>№</w:t>
      </w:r>
      <w:r w:rsidRPr="000F119D">
        <w:rPr>
          <w:sz w:val="24"/>
          <w:szCs w:val="24"/>
        </w:rPr>
        <w:t xml:space="preserve"> 5403 от 5 октября 2010 года) (САЗ 10-40)»;</w:t>
      </w:r>
    </w:p>
    <w:p w:rsidR="00C20988" w:rsidRPr="0046087E" w:rsidRDefault="00C20988" w:rsidP="00523E1E">
      <w:pPr>
        <w:pStyle w:val="ListParagraph"/>
        <w:numPr>
          <w:ilvl w:val="0"/>
          <w:numId w:val="45"/>
        </w:numPr>
        <w:autoSpaceDE w:val="0"/>
        <w:autoSpaceDN w:val="0"/>
        <w:adjustRightInd w:val="0"/>
        <w:ind w:left="0" w:firstLine="426"/>
        <w:jc w:val="both"/>
        <w:rPr>
          <w:sz w:val="24"/>
          <w:szCs w:val="24"/>
        </w:rPr>
      </w:pPr>
      <w:r w:rsidRPr="0046087E">
        <w:rPr>
          <w:sz w:val="24"/>
          <w:szCs w:val="24"/>
        </w:rPr>
        <w:t>Совместный приказ Министерства государственной безопасности Приднестровской Молдавской Республики и Приднестровского республиканского банка от 7 марта 2018 года №57/601/6 «О порядке обмена информацией между Министерством государственной безопасности Приднестровской Молдавской Республики и Приднестровским республиканским банком» (ДСП);</w:t>
      </w:r>
    </w:p>
    <w:p w:rsidR="00C20988" w:rsidRDefault="00C20988" w:rsidP="00E02B6B">
      <w:pPr>
        <w:pStyle w:val="ListParagraph"/>
        <w:numPr>
          <w:ilvl w:val="0"/>
          <w:numId w:val="45"/>
        </w:numPr>
        <w:ind w:left="0" w:firstLine="426"/>
        <w:jc w:val="both"/>
        <w:rPr>
          <w:sz w:val="24"/>
          <w:szCs w:val="24"/>
        </w:rPr>
      </w:pPr>
      <w:r w:rsidRPr="0046087E">
        <w:rPr>
          <w:sz w:val="24"/>
          <w:szCs w:val="24"/>
        </w:rPr>
        <w:t>Совместный приказ Государственного таможенного комитета Приднестровской</w:t>
      </w:r>
      <w:r w:rsidRPr="00523E1E">
        <w:rPr>
          <w:sz w:val="24"/>
          <w:szCs w:val="24"/>
        </w:rPr>
        <w:t xml:space="preserve"> Молдавской Республики и Приднестровского республиканского банка</w:t>
      </w:r>
      <w:r>
        <w:rPr>
          <w:sz w:val="24"/>
          <w:szCs w:val="24"/>
        </w:rPr>
        <w:t xml:space="preserve"> </w:t>
      </w:r>
      <w:r w:rsidRPr="00523E1E">
        <w:rPr>
          <w:sz w:val="24"/>
          <w:szCs w:val="24"/>
        </w:rPr>
        <w:t>от 6 апреля 2018 года</w:t>
      </w:r>
      <w:r>
        <w:rPr>
          <w:sz w:val="24"/>
          <w:szCs w:val="24"/>
        </w:rPr>
        <w:t xml:space="preserve"> </w:t>
      </w:r>
      <w:r w:rsidRPr="00523E1E">
        <w:rPr>
          <w:sz w:val="24"/>
          <w:szCs w:val="24"/>
        </w:rPr>
        <w:t xml:space="preserve">№ 151/01-06/32 </w:t>
      </w:r>
      <w:r>
        <w:rPr>
          <w:sz w:val="24"/>
          <w:szCs w:val="24"/>
        </w:rPr>
        <w:t>«</w:t>
      </w:r>
      <w:r w:rsidRPr="00523E1E">
        <w:rPr>
          <w:sz w:val="24"/>
          <w:szCs w:val="24"/>
        </w:rPr>
        <w:t xml:space="preserve"> О внесении изменения</w:t>
      </w:r>
      <w:r>
        <w:rPr>
          <w:sz w:val="24"/>
          <w:szCs w:val="24"/>
        </w:rPr>
        <w:t xml:space="preserve"> </w:t>
      </w:r>
      <w:r w:rsidRPr="00523E1E">
        <w:rPr>
          <w:sz w:val="24"/>
          <w:szCs w:val="24"/>
        </w:rPr>
        <w:t xml:space="preserve">в Приказ Государственного таможенного комитета Приднестровской Молдавской Республики и Приднестровского республиканского банка от 28 марта 2007 года № 85/01-07/38 </w:t>
      </w:r>
      <w:r>
        <w:rPr>
          <w:sz w:val="24"/>
          <w:szCs w:val="24"/>
        </w:rPr>
        <w:t>«</w:t>
      </w:r>
      <w:r w:rsidRPr="00523E1E">
        <w:rPr>
          <w:sz w:val="24"/>
          <w:szCs w:val="24"/>
        </w:rPr>
        <w:t xml:space="preserve">О введении в действие Инструкции </w:t>
      </w:r>
      <w:r>
        <w:rPr>
          <w:sz w:val="24"/>
          <w:szCs w:val="24"/>
        </w:rPr>
        <w:t>«</w:t>
      </w:r>
      <w:r w:rsidRPr="00523E1E">
        <w:rPr>
          <w:sz w:val="24"/>
          <w:szCs w:val="24"/>
        </w:rPr>
        <w:t>О порядке осуществления валютного контроля за поступлением в Приднестровскую Молдавскую Республику товаров и валютной выручки от экспорта товаров, работ, услуг</w:t>
      </w:r>
      <w:r>
        <w:rPr>
          <w:sz w:val="24"/>
          <w:szCs w:val="24"/>
        </w:rPr>
        <w:t>»</w:t>
      </w:r>
      <w:r w:rsidRPr="00523E1E">
        <w:rPr>
          <w:sz w:val="24"/>
          <w:szCs w:val="24"/>
        </w:rPr>
        <w:t xml:space="preserve"> (регистрационный </w:t>
      </w:r>
      <w:r>
        <w:rPr>
          <w:sz w:val="24"/>
          <w:szCs w:val="24"/>
        </w:rPr>
        <w:t>№</w:t>
      </w:r>
      <w:r w:rsidRPr="00523E1E">
        <w:rPr>
          <w:sz w:val="24"/>
          <w:szCs w:val="24"/>
        </w:rPr>
        <w:t xml:space="preserve"> 3905 от 3 мая 2007 года) (САЗ 07-19)</w:t>
      </w:r>
      <w:r>
        <w:rPr>
          <w:sz w:val="24"/>
          <w:szCs w:val="24"/>
        </w:rPr>
        <w:t>»</w:t>
      </w:r>
      <w:r w:rsidRPr="00523E1E">
        <w:rPr>
          <w:sz w:val="24"/>
          <w:szCs w:val="24"/>
        </w:rPr>
        <w:t xml:space="preserve"> (регистрационный </w:t>
      </w:r>
      <w:r>
        <w:rPr>
          <w:sz w:val="24"/>
          <w:szCs w:val="24"/>
        </w:rPr>
        <w:t>№</w:t>
      </w:r>
      <w:r w:rsidRPr="00523E1E">
        <w:rPr>
          <w:sz w:val="24"/>
          <w:szCs w:val="24"/>
        </w:rPr>
        <w:t xml:space="preserve"> 8213 от </w:t>
      </w:r>
      <w:r>
        <w:rPr>
          <w:sz w:val="24"/>
          <w:szCs w:val="24"/>
        </w:rPr>
        <w:br/>
      </w:r>
      <w:r w:rsidRPr="00523E1E">
        <w:rPr>
          <w:sz w:val="24"/>
          <w:szCs w:val="24"/>
        </w:rPr>
        <w:t>18 апреля 2018 года)</w:t>
      </w:r>
      <w:r>
        <w:rPr>
          <w:sz w:val="24"/>
          <w:szCs w:val="24"/>
        </w:rPr>
        <w:t xml:space="preserve"> </w:t>
      </w:r>
      <w:r w:rsidRPr="00523E1E">
        <w:rPr>
          <w:sz w:val="24"/>
          <w:szCs w:val="24"/>
        </w:rPr>
        <w:t>(САЗ 18-16);</w:t>
      </w:r>
    </w:p>
    <w:p w:rsidR="00C20988" w:rsidRDefault="00C20988" w:rsidP="00E02B6B">
      <w:pPr>
        <w:pStyle w:val="ListParagraph"/>
        <w:numPr>
          <w:ilvl w:val="0"/>
          <w:numId w:val="45"/>
        </w:numPr>
        <w:ind w:left="0" w:firstLine="426"/>
        <w:jc w:val="both"/>
        <w:rPr>
          <w:sz w:val="24"/>
          <w:szCs w:val="24"/>
        </w:rPr>
      </w:pPr>
      <w:r w:rsidRPr="00E02B6B">
        <w:rPr>
          <w:sz w:val="24"/>
          <w:szCs w:val="24"/>
        </w:rPr>
        <w:t>Совместный приказ Министерства государственной безопасности Приднестровской Молдавской Республики и</w:t>
      </w:r>
      <w:r>
        <w:rPr>
          <w:sz w:val="24"/>
          <w:szCs w:val="24"/>
        </w:rPr>
        <w:t xml:space="preserve"> </w:t>
      </w:r>
      <w:r w:rsidRPr="00E02B6B">
        <w:rPr>
          <w:sz w:val="24"/>
          <w:szCs w:val="24"/>
        </w:rPr>
        <w:t>Приднестровского республиканского банка от 07 июня 2018 года</w:t>
      </w:r>
      <w:r>
        <w:rPr>
          <w:sz w:val="24"/>
          <w:szCs w:val="24"/>
        </w:rPr>
        <w:t xml:space="preserve"> </w:t>
      </w:r>
      <w:r w:rsidRPr="00E02B6B">
        <w:rPr>
          <w:sz w:val="24"/>
          <w:szCs w:val="24"/>
        </w:rPr>
        <w:t>№ 179/01-06/54 «О порядке обмена информацией между Министерством государственной безопасности Приднестровской Молдавской Республики и Приднестровским республиканским банком о лицах, причастных к террористической или экстремистской деятельности и операциях с денежными средствами или иным имуществом с их участием»</w:t>
      </w:r>
      <w:r>
        <w:rPr>
          <w:sz w:val="24"/>
          <w:szCs w:val="24"/>
        </w:rPr>
        <w:t xml:space="preserve"> (Регистрационный № 8314 от </w:t>
      </w:r>
      <w:r w:rsidRPr="00E02B6B">
        <w:rPr>
          <w:sz w:val="24"/>
          <w:szCs w:val="24"/>
        </w:rPr>
        <w:t>2 июля 2018 года) (САЗ 18-27);</w:t>
      </w:r>
    </w:p>
    <w:p w:rsidR="00C20988" w:rsidRDefault="00C20988" w:rsidP="00E02B6B">
      <w:pPr>
        <w:pStyle w:val="ListParagraph"/>
        <w:numPr>
          <w:ilvl w:val="0"/>
          <w:numId w:val="45"/>
        </w:numPr>
        <w:ind w:left="0" w:firstLine="426"/>
        <w:jc w:val="both"/>
        <w:rPr>
          <w:sz w:val="24"/>
          <w:szCs w:val="24"/>
        </w:rPr>
      </w:pPr>
      <w:r w:rsidRPr="00E02B6B">
        <w:rPr>
          <w:sz w:val="24"/>
          <w:szCs w:val="24"/>
        </w:rPr>
        <w:t>Совместный приказ Приднестровского республиканского банка, Министерства иностранных дел Приднестровской Молдавской Республики, Прокуратуры Приднестровской Молдавской Республики, Следственного комитета Приднестровской Молдавской Республики, Министерства государственной безопасности Приднестровской Молдавской Республики, Министерства юстиции Приднестровской Молдавской Республики</w:t>
      </w:r>
      <w:r>
        <w:rPr>
          <w:sz w:val="24"/>
          <w:szCs w:val="24"/>
        </w:rPr>
        <w:t xml:space="preserve"> от 14 июня 2018 года № </w:t>
      </w:r>
      <w:r w:rsidRPr="00E02B6B">
        <w:rPr>
          <w:sz w:val="24"/>
          <w:szCs w:val="24"/>
        </w:rPr>
        <w:t>01-06/56/65/24/20/185/128 «Об отмене Приказа</w:t>
      </w:r>
      <w:r>
        <w:rPr>
          <w:sz w:val="24"/>
          <w:szCs w:val="24"/>
        </w:rPr>
        <w:t xml:space="preserve"> </w:t>
      </w:r>
      <w:r w:rsidRPr="00E02B6B">
        <w:rPr>
          <w:sz w:val="24"/>
          <w:szCs w:val="24"/>
        </w:rPr>
        <w:t>Приднестровского республиканского банка, Министерства иностранных дел Приднестровской Молдавской Республики,</w:t>
      </w:r>
      <w:r>
        <w:rPr>
          <w:sz w:val="24"/>
          <w:szCs w:val="24"/>
        </w:rPr>
        <w:t xml:space="preserve"> </w:t>
      </w:r>
      <w:r w:rsidRPr="00E02B6B">
        <w:rPr>
          <w:sz w:val="24"/>
          <w:szCs w:val="24"/>
        </w:rPr>
        <w:t>Прокуратуры Приднестровской Молдавской Республики, Следственного комитета Приднестровской Молдавской Республики,</w:t>
      </w:r>
      <w:r>
        <w:rPr>
          <w:sz w:val="24"/>
          <w:szCs w:val="24"/>
        </w:rPr>
        <w:t xml:space="preserve"> </w:t>
      </w:r>
      <w:r w:rsidRPr="00E02B6B">
        <w:rPr>
          <w:sz w:val="24"/>
          <w:szCs w:val="24"/>
        </w:rPr>
        <w:t>Министерства государственной безопасности Приднестровской Молдавской Республики, Министерства юстиции Приднестровской Молдавской Республики</w:t>
      </w:r>
      <w:r>
        <w:rPr>
          <w:sz w:val="24"/>
          <w:szCs w:val="24"/>
        </w:rPr>
        <w:t xml:space="preserve"> </w:t>
      </w:r>
      <w:r w:rsidRPr="00E02B6B">
        <w:rPr>
          <w:sz w:val="24"/>
          <w:szCs w:val="24"/>
        </w:rPr>
        <w:t>от 16 января 2013 года № 01-06/9/3/03/7/8/8 «Об утверждении Положения «О порядке представления органами государственной власти и управления Приднестровской Молдавской Республики Приднестровскому республиканскому банку сведений об организациях и физических лицах, в отношении которых имеются сведения об их причастности к террористической или экстремистской деятельности» (регистрационный № 6290 от 25 января 2013 года) (САЗ 13-03)» (регистрационный № 8319 от 4 июля 2018 года) (САЗ 18-27);</w:t>
      </w:r>
    </w:p>
    <w:p w:rsidR="00C20988" w:rsidRDefault="00C20988" w:rsidP="00E02B6B">
      <w:pPr>
        <w:pStyle w:val="ListParagraph"/>
        <w:numPr>
          <w:ilvl w:val="0"/>
          <w:numId w:val="45"/>
        </w:numPr>
        <w:ind w:left="0" w:firstLine="426"/>
        <w:jc w:val="both"/>
        <w:rPr>
          <w:sz w:val="24"/>
          <w:szCs w:val="24"/>
        </w:rPr>
      </w:pPr>
      <w:r w:rsidRPr="00E02B6B">
        <w:rPr>
          <w:sz w:val="24"/>
          <w:szCs w:val="24"/>
        </w:rPr>
        <w:t>Совместный приказ Министерства экономического развития Приднестровской Молдавской Республики и Приднестровского республиканского банка от 26 июля 2018 года</w:t>
      </w:r>
      <w:r>
        <w:rPr>
          <w:sz w:val="24"/>
          <w:szCs w:val="24"/>
        </w:rPr>
        <w:t xml:space="preserve"> </w:t>
      </w:r>
      <w:r w:rsidRPr="00E02B6B">
        <w:rPr>
          <w:sz w:val="24"/>
          <w:szCs w:val="24"/>
        </w:rPr>
        <w:t>№ 584/01-06/74 «Об определении ответственных лиц для взаимодействия в рамках оказания государственных услуг инвестору»;</w:t>
      </w:r>
    </w:p>
    <w:p w:rsidR="00C20988" w:rsidRDefault="00C20988" w:rsidP="00E02B6B">
      <w:pPr>
        <w:pStyle w:val="ListParagraph"/>
        <w:numPr>
          <w:ilvl w:val="0"/>
          <w:numId w:val="45"/>
        </w:numPr>
        <w:ind w:left="0" w:firstLine="426"/>
        <w:jc w:val="both"/>
        <w:rPr>
          <w:sz w:val="24"/>
          <w:szCs w:val="24"/>
        </w:rPr>
      </w:pPr>
      <w:r w:rsidRPr="00E02B6B">
        <w:rPr>
          <w:sz w:val="24"/>
          <w:szCs w:val="24"/>
        </w:rPr>
        <w:t>Совместный Приказ Приднестровского республиканского банка и Министерства внутренних дел Приднестровской Молдавской Республики от 27 июля 2018 года</w:t>
      </w:r>
      <w:r>
        <w:rPr>
          <w:sz w:val="24"/>
          <w:szCs w:val="24"/>
        </w:rPr>
        <w:t xml:space="preserve"> </w:t>
      </w:r>
      <w:r>
        <w:rPr>
          <w:sz w:val="24"/>
          <w:szCs w:val="24"/>
        </w:rPr>
        <w:br/>
      </w:r>
      <w:r w:rsidRPr="00E02B6B">
        <w:rPr>
          <w:sz w:val="24"/>
          <w:szCs w:val="24"/>
        </w:rPr>
        <w:t>№ 01-06/76/352 «О внесении изменения в Приказ Приднестровского республиканского банка и Министерства внутренних дел Приднестровской Молдавской Республики от 25 декабря 2009 года № 01-06/147/502 «Об утверждении Положения «Об организации деятельности подразделений инкассации кредитных организаций в Приднестровской Молдавской Республике» (регистрационный № 5169 от 9 марта 2010 года) (САЗ 10-10)» (Регистрационный № 8395 от 15 августа 2018 года) (САЗ 18-33);</w:t>
      </w:r>
    </w:p>
    <w:p w:rsidR="00C20988" w:rsidRDefault="00C20988" w:rsidP="00E02B6B">
      <w:pPr>
        <w:pStyle w:val="ListParagraph"/>
        <w:numPr>
          <w:ilvl w:val="0"/>
          <w:numId w:val="45"/>
        </w:numPr>
        <w:ind w:left="0" w:firstLine="426"/>
        <w:jc w:val="both"/>
        <w:rPr>
          <w:sz w:val="24"/>
          <w:szCs w:val="24"/>
        </w:rPr>
      </w:pPr>
      <w:r w:rsidRPr="00E02B6B">
        <w:rPr>
          <w:sz w:val="24"/>
          <w:szCs w:val="24"/>
        </w:rPr>
        <w:t>Совместный Приказ Приднестровского республиканского банка, Министерства экономического развития Приднестровской Молдавской Республики от 27 июля 2018 года</w:t>
      </w:r>
      <w:r>
        <w:rPr>
          <w:sz w:val="24"/>
          <w:szCs w:val="24"/>
        </w:rPr>
        <w:t xml:space="preserve"> </w:t>
      </w:r>
      <w:r>
        <w:rPr>
          <w:sz w:val="24"/>
          <w:szCs w:val="24"/>
        </w:rPr>
        <w:br/>
      </w:r>
      <w:r w:rsidRPr="00E02B6B">
        <w:rPr>
          <w:sz w:val="24"/>
          <w:szCs w:val="24"/>
        </w:rPr>
        <w:t xml:space="preserve">№ 01-06/77/590 «О внесении изменений в совместный Приказ Приднестровского республиканского банка, Министерства экономического развития Приднестровской Молдавской Республики от 10 сентября 2013 года № 01-06/94/113 «Об утверждении Положения «О порядке приостановления операций (сделок) с денежными средствами и иным имуществом в целях противодействия финансированию терроризма и отражения в бухгалтерском учете расчетных документов, денежных средств или иного имущества по приостановленным операциям (сделкам)» (регистрационный № 6555 от 1 октября 2013 года) (САЗ 13-39)» (регистрационный № 8396 от 16 августа 2018 года) (САЗ 18-33); </w:t>
      </w:r>
      <w:r w:rsidRPr="00E02B6B">
        <w:rPr>
          <w:sz w:val="24"/>
          <w:szCs w:val="24"/>
        </w:rPr>
        <w:tab/>
      </w:r>
    </w:p>
    <w:p w:rsidR="00C20988" w:rsidRDefault="00C20988" w:rsidP="00E02B6B">
      <w:pPr>
        <w:pStyle w:val="ListParagraph"/>
        <w:numPr>
          <w:ilvl w:val="0"/>
          <w:numId w:val="45"/>
        </w:numPr>
        <w:ind w:left="0" w:firstLine="426"/>
        <w:jc w:val="both"/>
        <w:rPr>
          <w:sz w:val="24"/>
          <w:szCs w:val="24"/>
        </w:rPr>
      </w:pPr>
      <w:r w:rsidRPr="00E02B6B">
        <w:rPr>
          <w:sz w:val="24"/>
          <w:szCs w:val="24"/>
        </w:rPr>
        <w:t xml:space="preserve">Совместный приказ Министерства финансов Приднестровской Молдавской Республики и Приднестровского республиканского банка от 27 июля 2018 года </w:t>
      </w:r>
      <w:r>
        <w:rPr>
          <w:sz w:val="24"/>
          <w:szCs w:val="24"/>
        </w:rPr>
        <w:br/>
      </w:r>
      <w:r w:rsidRPr="00E02B6B">
        <w:rPr>
          <w:sz w:val="24"/>
          <w:szCs w:val="24"/>
        </w:rPr>
        <w:t>№147/01-06/75 «</w:t>
      </w:r>
      <w:r>
        <w:rPr>
          <w:sz w:val="24"/>
          <w:szCs w:val="24"/>
        </w:rPr>
        <w:t>О создании комиссии по приему-</w:t>
      </w:r>
      <w:r w:rsidRPr="00E02B6B">
        <w:rPr>
          <w:sz w:val="24"/>
          <w:szCs w:val="24"/>
        </w:rPr>
        <w:t>передаче документов из Министерства финансов Приднестровской Молдавской Республики в Приднестровский республиканский банк»;</w:t>
      </w:r>
    </w:p>
    <w:p w:rsidR="00C20988" w:rsidRDefault="00C20988" w:rsidP="00E02B6B">
      <w:pPr>
        <w:pStyle w:val="ListParagraph"/>
        <w:numPr>
          <w:ilvl w:val="0"/>
          <w:numId w:val="45"/>
        </w:numPr>
        <w:tabs>
          <w:tab w:val="left" w:pos="851"/>
        </w:tabs>
        <w:ind w:left="0" w:firstLine="426"/>
        <w:jc w:val="both"/>
        <w:rPr>
          <w:sz w:val="24"/>
          <w:szCs w:val="24"/>
        </w:rPr>
      </w:pPr>
      <w:r w:rsidRPr="00E02B6B">
        <w:rPr>
          <w:sz w:val="24"/>
          <w:szCs w:val="24"/>
        </w:rPr>
        <w:t xml:space="preserve">Совместный Приказ Министерства финансов Приднестровской Молдавской Республики и Приднестровского республиканского банка от 1 августа 2018 года </w:t>
      </w:r>
      <w:r>
        <w:rPr>
          <w:sz w:val="24"/>
          <w:szCs w:val="24"/>
        </w:rPr>
        <w:br/>
      </w:r>
      <w:r w:rsidRPr="00E02B6B">
        <w:rPr>
          <w:sz w:val="24"/>
          <w:szCs w:val="24"/>
        </w:rPr>
        <w:t>№ 152/01-06/83 «О внесении изменения в Приказ Министерства финансов Приднестровской Молдавской Республики и Приднестровского республиканского банка от 5 декабря 2012 года</w:t>
      </w:r>
      <w:r>
        <w:rPr>
          <w:sz w:val="24"/>
          <w:szCs w:val="24"/>
        </w:rPr>
        <w:t xml:space="preserve"> </w:t>
      </w:r>
      <w:r w:rsidRPr="00E02B6B">
        <w:rPr>
          <w:sz w:val="24"/>
          <w:szCs w:val="24"/>
        </w:rPr>
        <w:t xml:space="preserve">№ 173/01-05/165 «Об утверждении Положения «О специальных бюджетных счетах, открываемых для зачисления доходов и осуществления расходования средств, поступающих от оказания платных услуг и иной приносящей доход деятельности» (регистрационный </w:t>
      </w:r>
      <w:r>
        <w:rPr>
          <w:sz w:val="24"/>
          <w:szCs w:val="24"/>
        </w:rPr>
        <w:br/>
      </w:r>
      <w:r w:rsidRPr="00E02B6B">
        <w:rPr>
          <w:sz w:val="24"/>
          <w:szCs w:val="24"/>
        </w:rPr>
        <w:t xml:space="preserve">№ 6267 от 29 декабря 2012 года) (САЗ 12-53)» (регистрационный № 8404 от 22 августа </w:t>
      </w:r>
      <w:r>
        <w:rPr>
          <w:sz w:val="24"/>
          <w:szCs w:val="24"/>
        </w:rPr>
        <w:br/>
      </w:r>
      <w:r w:rsidRPr="00E02B6B">
        <w:rPr>
          <w:sz w:val="24"/>
          <w:szCs w:val="24"/>
        </w:rPr>
        <w:t>2018 года)</w:t>
      </w:r>
      <w:r>
        <w:rPr>
          <w:sz w:val="24"/>
          <w:szCs w:val="24"/>
        </w:rPr>
        <w:t xml:space="preserve"> </w:t>
      </w:r>
      <w:r w:rsidRPr="00E02B6B">
        <w:rPr>
          <w:sz w:val="24"/>
          <w:szCs w:val="24"/>
        </w:rPr>
        <w:t>(САЗ 18-34);</w:t>
      </w:r>
    </w:p>
    <w:p w:rsidR="00C20988" w:rsidRDefault="00C20988" w:rsidP="00E02B6B">
      <w:pPr>
        <w:pStyle w:val="ListParagraph"/>
        <w:numPr>
          <w:ilvl w:val="0"/>
          <w:numId w:val="45"/>
        </w:numPr>
        <w:tabs>
          <w:tab w:val="left" w:pos="851"/>
        </w:tabs>
        <w:ind w:left="0" w:firstLine="426"/>
        <w:jc w:val="both"/>
        <w:rPr>
          <w:sz w:val="24"/>
          <w:szCs w:val="24"/>
        </w:rPr>
      </w:pPr>
      <w:r w:rsidRPr="00E02B6B">
        <w:rPr>
          <w:sz w:val="24"/>
          <w:szCs w:val="24"/>
        </w:rPr>
        <w:t>Согласован Приказ Министерства финансов Приднестровской Молдавской Республики от 6 августа 2018 года № 154 «О внесении изменений в Приказ Министерства финансов от 3 апреля 2008 года № 54 «Об утверждении Инструкции «О порядке постановки налогоплательщиков на уч</w:t>
      </w:r>
      <w:r>
        <w:rPr>
          <w:sz w:val="24"/>
          <w:szCs w:val="24"/>
        </w:rPr>
        <w:t>ё</w:t>
      </w:r>
      <w:r w:rsidRPr="00E02B6B">
        <w:rPr>
          <w:sz w:val="24"/>
          <w:szCs w:val="24"/>
        </w:rPr>
        <w:t xml:space="preserve">т в налоговых органах, снятии их с учета и открытия им счетов в банках и иных кредитных организациях» (САЗ 08-40)» (Регистрационный № 8406 от </w:t>
      </w:r>
      <w:r>
        <w:rPr>
          <w:sz w:val="24"/>
          <w:szCs w:val="24"/>
        </w:rPr>
        <w:br/>
      </w:r>
      <w:r w:rsidRPr="00E02B6B">
        <w:rPr>
          <w:sz w:val="24"/>
          <w:szCs w:val="24"/>
        </w:rPr>
        <w:t>24 августа 2018 года) (САЗ 18-34);</w:t>
      </w:r>
    </w:p>
    <w:p w:rsidR="00C20988" w:rsidRDefault="00C20988" w:rsidP="00E02B6B">
      <w:pPr>
        <w:pStyle w:val="ListParagraph"/>
        <w:numPr>
          <w:ilvl w:val="0"/>
          <w:numId w:val="45"/>
        </w:numPr>
        <w:tabs>
          <w:tab w:val="left" w:pos="851"/>
        </w:tabs>
        <w:ind w:left="0" w:firstLine="426"/>
        <w:jc w:val="both"/>
        <w:rPr>
          <w:sz w:val="24"/>
          <w:szCs w:val="24"/>
        </w:rPr>
      </w:pPr>
      <w:r w:rsidRPr="00E02B6B">
        <w:rPr>
          <w:sz w:val="24"/>
          <w:szCs w:val="24"/>
        </w:rPr>
        <w:t xml:space="preserve">Совместный приказ Приднестровского республиканского банка и Министерства финансов Приднестровской Молдавской Республики от 23 августа 2018 года №01-06/99/166 «Об утверждении Положения о специальных бюджетных счетах, открываемых для зачисления доходов и осуществления расходования средств, поступающих от оказания платных услуг и иной приносящей доход деятельности» (Регистрационный № 8437 от </w:t>
      </w:r>
      <w:r>
        <w:rPr>
          <w:sz w:val="24"/>
          <w:szCs w:val="24"/>
        </w:rPr>
        <w:br/>
      </w:r>
      <w:r w:rsidRPr="00E02B6B">
        <w:rPr>
          <w:sz w:val="24"/>
          <w:szCs w:val="24"/>
        </w:rPr>
        <w:t>26 сентября 2018</w:t>
      </w:r>
      <w:r>
        <w:rPr>
          <w:sz w:val="24"/>
          <w:szCs w:val="24"/>
        </w:rPr>
        <w:t xml:space="preserve"> </w:t>
      </w:r>
      <w:r w:rsidRPr="00E02B6B">
        <w:rPr>
          <w:sz w:val="24"/>
          <w:szCs w:val="24"/>
        </w:rPr>
        <w:t>года) (САЗ 18-39);</w:t>
      </w:r>
    </w:p>
    <w:p w:rsidR="00C20988" w:rsidRDefault="00C20988" w:rsidP="00E02B6B">
      <w:pPr>
        <w:pStyle w:val="ListParagraph"/>
        <w:numPr>
          <w:ilvl w:val="0"/>
          <w:numId w:val="45"/>
        </w:numPr>
        <w:tabs>
          <w:tab w:val="left" w:pos="851"/>
        </w:tabs>
        <w:ind w:left="0" w:firstLine="426"/>
        <w:jc w:val="both"/>
        <w:rPr>
          <w:sz w:val="24"/>
          <w:szCs w:val="24"/>
        </w:rPr>
      </w:pPr>
      <w:r w:rsidRPr="00E02B6B">
        <w:rPr>
          <w:sz w:val="24"/>
          <w:szCs w:val="24"/>
        </w:rPr>
        <w:t>Совместный приказ Приднестровского республиканского банка и Министерства финансов Приднестровской Молдавской Республики от 23 августа 2018 года №01-06/100/167 «Об утверждении Положения о счетах территориальных налоговых органов, открываемых для зачисления платежей в бюджеты различных уровней и государственные внебюджетные фонды Приднестровской Молдавской Республики» (Регистрационный № 8436 от 26 сентября 2018</w:t>
      </w:r>
      <w:r>
        <w:rPr>
          <w:sz w:val="24"/>
          <w:szCs w:val="24"/>
        </w:rPr>
        <w:t xml:space="preserve"> </w:t>
      </w:r>
      <w:r w:rsidRPr="00E02B6B">
        <w:rPr>
          <w:sz w:val="24"/>
          <w:szCs w:val="24"/>
        </w:rPr>
        <w:t>года) (САЗ 18-39);</w:t>
      </w:r>
    </w:p>
    <w:p w:rsidR="00C20988" w:rsidRDefault="00C20988" w:rsidP="00E02B6B">
      <w:pPr>
        <w:pStyle w:val="ListParagraph"/>
        <w:numPr>
          <w:ilvl w:val="0"/>
          <w:numId w:val="45"/>
        </w:numPr>
        <w:tabs>
          <w:tab w:val="left" w:pos="851"/>
        </w:tabs>
        <w:ind w:left="0" w:firstLine="426"/>
        <w:jc w:val="both"/>
        <w:rPr>
          <w:sz w:val="24"/>
          <w:szCs w:val="24"/>
        </w:rPr>
      </w:pPr>
      <w:r w:rsidRPr="00E02B6B">
        <w:rPr>
          <w:sz w:val="24"/>
          <w:szCs w:val="24"/>
        </w:rPr>
        <w:t xml:space="preserve">Совместный приказ Государственного таможенного комитета Приднестровской Молдавской Республики и Приднестровского республиканского банка от 24 августа </w:t>
      </w:r>
      <w:r>
        <w:rPr>
          <w:sz w:val="24"/>
          <w:szCs w:val="24"/>
        </w:rPr>
        <w:br/>
      </w:r>
      <w:r w:rsidRPr="00E02B6B">
        <w:rPr>
          <w:sz w:val="24"/>
          <w:szCs w:val="24"/>
        </w:rPr>
        <w:t xml:space="preserve">2018 года № 419/01-06/101 </w:t>
      </w:r>
      <w:r>
        <w:rPr>
          <w:sz w:val="24"/>
          <w:szCs w:val="24"/>
        </w:rPr>
        <w:t>«</w:t>
      </w:r>
      <w:r w:rsidRPr="00E02B6B">
        <w:rPr>
          <w:sz w:val="24"/>
          <w:szCs w:val="24"/>
        </w:rPr>
        <w:t>Об утверждении порядка электронного обмена данными при осуществлении валютного контроля за репатриацией валютных средств при перемещении товаров через таможенную границу Приднестровской Молдавской Республики» (Регистрационный № 8451 от 03 октября 2018</w:t>
      </w:r>
      <w:r>
        <w:rPr>
          <w:sz w:val="24"/>
          <w:szCs w:val="24"/>
        </w:rPr>
        <w:t xml:space="preserve"> </w:t>
      </w:r>
      <w:r w:rsidRPr="00E02B6B">
        <w:rPr>
          <w:sz w:val="24"/>
          <w:szCs w:val="24"/>
        </w:rPr>
        <w:t>года) (САЗ 18-40);</w:t>
      </w:r>
    </w:p>
    <w:p w:rsidR="00C20988" w:rsidRDefault="00C20988" w:rsidP="00E02B6B">
      <w:pPr>
        <w:pStyle w:val="ListParagraph"/>
        <w:numPr>
          <w:ilvl w:val="0"/>
          <w:numId w:val="45"/>
        </w:numPr>
        <w:tabs>
          <w:tab w:val="left" w:pos="851"/>
        </w:tabs>
        <w:ind w:left="0" w:firstLine="426"/>
        <w:jc w:val="both"/>
        <w:rPr>
          <w:sz w:val="24"/>
          <w:szCs w:val="24"/>
        </w:rPr>
      </w:pPr>
      <w:r w:rsidRPr="00E02B6B">
        <w:rPr>
          <w:sz w:val="24"/>
          <w:szCs w:val="24"/>
        </w:rPr>
        <w:t xml:space="preserve">Совместный приказ Министерства финансов Приднестровской Молдавской Республики, Министерства внутренних дел Приднестровской Молдавской Республики, Приднестровского республиканского банка от 6 сентября 2018 года </w:t>
      </w:r>
      <w:r>
        <w:rPr>
          <w:sz w:val="24"/>
          <w:szCs w:val="24"/>
        </w:rPr>
        <w:t>№</w:t>
      </w:r>
      <w:r w:rsidRPr="00E02B6B">
        <w:rPr>
          <w:sz w:val="24"/>
          <w:szCs w:val="24"/>
        </w:rPr>
        <w:t xml:space="preserve"> 174/431/01-06/110 «О признании утратившим силу совместного приказа Министерства финансов Приднестровской Молдавской Республики, Министерства внутренних дел Приднестровской Молдавской Республики, Приднестровского республиканского банка «О порядке обмена информацией между Министерством внутренних дел Приднестровской Молдавской Республики, Министерством финансов Приднестровской Молдавской Республики и Приднестровским республиканским банком» (Регистрационный № 8465 от 10 октября 2018</w:t>
      </w:r>
      <w:r>
        <w:rPr>
          <w:sz w:val="24"/>
          <w:szCs w:val="24"/>
        </w:rPr>
        <w:t xml:space="preserve"> </w:t>
      </w:r>
      <w:r w:rsidRPr="00E02B6B">
        <w:rPr>
          <w:sz w:val="24"/>
          <w:szCs w:val="24"/>
        </w:rPr>
        <w:t>года) (САЗ 18-41);</w:t>
      </w:r>
    </w:p>
    <w:p w:rsidR="00C20988" w:rsidRDefault="00C20988" w:rsidP="00E02B6B">
      <w:pPr>
        <w:pStyle w:val="ListParagraph"/>
        <w:numPr>
          <w:ilvl w:val="0"/>
          <w:numId w:val="45"/>
        </w:numPr>
        <w:tabs>
          <w:tab w:val="left" w:pos="851"/>
        </w:tabs>
        <w:ind w:left="0" w:firstLine="426"/>
        <w:jc w:val="both"/>
        <w:rPr>
          <w:sz w:val="24"/>
          <w:szCs w:val="24"/>
        </w:rPr>
      </w:pPr>
      <w:r w:rsidRPr="00E02B6B">
        <w:rPr>
          <w:sz w:val="24"/>
          <w:szCs w:val="24"/>
        </w:rPr>
        <w:t>Согласован Приказ Министерства финансов Приднестровской Молдавской Республики от 12 сентября 2018 года №</w:t>
      </w:r>
      <w:r>
        <w:rPr>
          <w:sz w:val="24"/>
          <w:szCs w:val="24"/>
        </w:rPr>
        <w:t xml:space="preserve"> </w:t>
      </w:r>
      <w:r w:rsidRPr="00E02B6B">
        <w:rPr>
          <w:sz w:val="24"/>
          <w:szCs w:val="24"/>
        </w:rPr>
        <w:t>177 «О внесении изменения в Приказ Министерства финансов от 3 апреля 2008 года № 54 «Об утверждении Инструкции «О порядке постановки налогоплательщиков на уч</w:t>
      </w:r>
      <w:r>
        <w:rPr>
          <w:sz w:val="24"/>
          <w:szCs w:val="24"/>
        </w:rPr>
        <w:t>ёт в</w:t>
      </w:r>
      <w:r w:rsidRPr="00E02B6B">
        <w:rPr>
          <w:sz w:val="24"/>
          <w:szCs w:val="24"/>
        </w:rPr>
        <w:t xml:space="preserve"> налоговых органах, снятии их с уч</w:t>
      </w:r>
      <w:r>
        <w:rPr>
          <w:sz w:val="24"/>
          <w:szCs w:val="24"/>
        </w:rPr>
        <w:t>ё</w:t>
      </w:r>
      <w:r w:rsidRPr="00E02B6B">
        <w:rPr>
          <w:sz w:val="24"/>
          <w:szCs w:val="24"/>
        </w:rPr>
        <w:t>та и открытия им счетов в банках и иных кредитных организациях» (регистрационный № 4596 от 9 октября 2008 года) (САЗ 08-40)» (регистрационный № 8467 от 10 октября 2018 года) (САЗ 18-41);</w:t>
      </w:r>
    </w:p>
    <w:p w:rsidR="00C20988" w:rsidRPr="00E02B6B" w:rsidRDefault="00C20988" w:rsidP="00E02B6B">
      <w:pPr>
        <w:pStyle w:val="ListParagraph"/>
        <w:numPr>
          <w:ilvl w:val="0"/>
          <w:numId w:val="45"/>
        </w:numPr>
        <w:tabs>
          <w:tab w:val="left" w:pos="851"/>
        </w:tabs>
        <w:ind w:left="0" w:firstLine="426"/>
        <w:jc w:val="both"/>
        <w:rPr>
          <w:sz w:val="24"/>
          <w:szCs w:val="24"/>
        </w:rPr>
      </w:pPr>
      <w:r w:rsidRPr="00E02B6B">
        <w:rPr>
          <w:sz w:val="24"/>
          <w:szCs w:val="24"/>
        </w:rPr>
        <w:t>Совместный приказ Министерства государственной безопасности Приднестровской Молдавской Республики и Приднестровского республиканского банка от 3 октября 2018 года № 340/01-06/127 «О внесении изменений в приказ Министерства государственной безопасности Приднестровской Молдавской Республики и Приднестровского республиканского банка от 7 июня 2018 года № 179/01-06/54 «О порядке обмена информацией между Министерством государственной безопасности Приднестровской Молдавской Республики и Приднестровским республиканским банком о лицах, причастных к террористической или экстремистской деятельности и операциях с денежными средствами или иным имуществом с их участием»</w:t>
      </w:r>
      <w:r w:rsidRPr="00E02B6B">
        <w:rPr>
          <w:bCs/>
          <w:sz w:val="24"/>
          <w:szCs w:val="24"/>
        </w:rPr>
        <w:t xml:space="preserve"> (регистрационный № 8314 от 2 июля 2018 года) </w:t>
      </w:r>
      <w:r>
        <w:rPr>
          <w:bCs/>
          <w:sz w:val="24"/>
          <w:szCs w:val="24"/>
        </w:rPr>
        <w:br/>
      </w:r>
      <w:r w:rsidRPr="00E02B6B">
        <w:rPr>
          <w:bCs/>
          <w:sz w:val="24"/>
          <w:szCs w:val="24"/>
        </w:rPr>
        <w:t>(САЗ 18-27)» (регистрационный № 8506 от 31 октября 2018 года) (САЗ 18-44)</w:t>
      </w:r>
      <w:r w:rsidRPr="00E02B6B">
        <w:rPr>
          <w:sz w:val="24"/>
          <w:szCs w:val="24"/>
        </w:rPr>
        <w:t>.</w:t>
      </w:r>
    </w:p>
    <w:p w:rsidR="00C20988" w:rsidRPr="00B137C1" w:rsidRDefault="00C20988" w:rsidP="00F05F0A">
      <w:pPr>
        <w:rPr>
          <w:i/>
          <w:iCs/>
          <w:sz w:val="24"/>
          <w:szCs w:val="24"/>
        </w:rPr>
      </w:pPr>
    </w:p>
    <w:p w:rsidR="00C20988" w:rsidRPr="00B137C1" w:rsidRDefault="00C20988" w:rsidP="00F05F0A">
      <w:pPr>
        <w:widowControl w:val="0"/>
        <w:tabs>
          <w:tab w:val="num" w:pos="426"/>
          <w:tab w:val="num" w:pos="540"/>
        </w:tabs>
        <w:autoSpaceDE w:val="0"/>
        <w:autoSpaceDN w:val="0"/>
        <w:adjustRightInd w:val="0"/>
        <w:spacing w:after="120"/>
        <w:ind w:firstLine="425"/>
        <w:jc w:val="both"/>
        <w:rPr>
          <w:i/>
          <w:iCs/>
          <w:sz w:val="24"/>
          <w:szCs w:val="24"/>
        </w:rPr>
      </w:pPr>
      <w:r w:rsidRPr="00B137C1">
        <w:rPr>
          <w:i/>
          <w:iCs/>
          <w:sz w:val="24"/>
          <w:szCs w:val="24"/>
        </w:rPr>
        <w:t xml:space="preserve">В области регулирования деятельности Приднестровского республиканского банка </w:t>
      </w:r>
    </w:p>
    <w:p w:rsidR="00C20988" w:rsidRPr="00B137C1" w:rsidRDefault="00C20988" w:rsidP="00B137C1">
      <w:pPr>
        <w:widowControl w:val="0"/>
        <w:ind w:firstLine="425"/>
        <w:jc w:val="both"/>
        <w:rPr>
          <w:sz w:val="24"/>
          <w:szCs w:val="24"/>
        </w:rPr>
      </w:pPr>
      <w:r w:rsidRPr="00B137C1">
        <w:rPr>
          <w:sz w:val="24"/>
          <w:szCs w:val="24"/>
        </w:rPr>
        <w:t>В целях регулирования внутренней деятельности Приднестровского респу</w:t>
      </w:r>
      <w:r>
        <w:rPr>
          <w:sz w:val="24"/>
          <w:szCs w:val="24"/>
        </w:rPr>
        <w:t xml:space="preserve">бликанского банка было принято </w:t>
      </w:r>
      <w:r w:rsidRPr="00B137C1">
        <w:rPr>
          <w:sz w:val="24"/>
          <w:szCs w:val="24"/>
        </w:rPr>
        <w:t>2</w:t>
      </w:r>
      <w:r>
        <w:rPr>
          <w:sz w:val="24"/>
          <w:szCs w:val="24"/>
        </w:rPr>
        <w:t>5</w:t>
      </w:r>
      <w:r w:rsidRPr="00B137C1">
        <w:rPr>
          <w:sz w:val="24"/>
          <w:szCs w:val="24"/>
        </w:rPr>
        <w:t xml:space="preserve"> внутренних нормативных акт</w:t>
      </w:r>
      <w:r>
        <w:rPr>
          <w:sz w:val="24"/>
          <w:szCs w:val="24"/>
        </w:rPr>
        <w:t>ов</w:t>
      </w:r>
      <w:r w:rsidRPr="00B137C1">
        <w:rPr>
          <w:sz w:val="24"/>
          <w:szCs w:val="24"/>
        </w:rPr>
        <w:t xml:space="preserve">. </w:t>
      </w:r>
    </w:p>
    <w:p w:rsidR="00C20988" w:rsidRDefault="00C20988" w:rsidP="00B826DC">
      <w:pPr>
        <w:jc w:val="right"/>
        <w:rPr>
          <w:i/>
          <w:iCs/>
          <w:sz w:val="24"/>
          <w:szCs w:val="24"/>
        </w:rPr>
      </w:pPr>
    </w:p>
    <w:p w:rsidR="00C20988" w:rsidRDefault="00C20988" w:rsidP="00B826DC">
      <w:pPr>
        <w:jc w:val="right"/>
        <w:rPr>
          <w:i/>
          <w:iCs/>
          <w:sz w:val="24"/>
          <w:szCs w:val="24"/>
        </w:rPr>
      </w:pPr>
    </w:p>
    <w:p w:rsidR="00C20988" w:rsidRDefault="00C20988" w:rsidP="00B826DC">
      <w:pPr>
        <w:jc w:val="right"/>
        <w:rPr>
          <w:i/>
          <w:iCs/>
          <w:sz w:val="24"/>
          <w:szCs w:val="24"/>
        </w:rPr>
      </w:pPr>
    </w:p>
    <w:p w:rsidR="00C20988" w:rsidRDefault="00C20988" w:rsidP="00B826DC">
      <w:pPr>
        <w:jc w:val="right"/>
        <w:rPr>
          <w:i/>
          <w:iCs/>
          <w:sz w:val="24"/>
          <w:szCs w:val="24"/>
        </w:rPr>
      </w:pPr>
    </w:p>
    <w:p w:rsidR="00C20988" w:rsidRDefault="00C20988">
      <w:pPr>
        <w:rPr>
          <w:i/>
          <w:iCs/>
          <w:sz w:val="24"/>
          <w:szCs w:val="24"/>
        </w:rPr>
      </w:pPr>
      <w:r>
        <w:rPr>
          <w:i/>
          <w:iCs/>
          <w:sz w:val="24"/>
          <w:szCs w:val="24"/>
        </w:rPr>
        <w:br w:type="page"/>
      </w:r>
    </w:p>
    <w:p w:rsidR="00C20988" w:rsidRDefault="00C20988" w:rsidP="00B826DC">
      <w:pPr>
        <w:jc w:val="right"/>
        <w:rPr>
          <w:i/>
          <w:iCs/>
          <w:sz w:val="24"/>
          <w:szCs w:val="24"/>
        </w:rPr>
      </w:pPr>
      <w:r w:rsidRPr="009A3749">
        <w:rPr>
          <w:i/>
          <w:iCs/>
          <w:sz w:val="24"/>
          <w:szCs w:val="24"/>
        </w:rPr>
        <w:t>ПРИЛОЖЕНИЕ</w:t>
      </w:r>
    </w:p>
    <w:p w:rsidR="00C20988" w:rsidRPr="000D36D0" w:rsidRDefault="00C20988" w:rsidP="00B826DC">
      <w:pPr>
        <w:widowControl w:val="0"/>
        <w:jc w:val="center"/>
        <w:rPr>
          <w:b/>
          <w:bCs/>
          <w:i/>
          <w:iCs/>
          <w:sz w:val="24"/>
          <w:szCs w:val="24"/>
        </w:rPr>
      </w:pPr>
      <w:r w:rsidRPr="000D36D0">
        <w:rPr>
          <w:b/>
          <w:bCs/>
          <w:i/>
          <w:iCs/>
          <w:sz w:val="24"/>
          <w:szCs w:val="24"/>
        </w:rPr>
        <w:t xml:space="preserve">Отчёт об исполнении сметы доходов и расходов </w:t>
      </w:r>
    </w:p>
    <w:p w:rsidR="00C20988" w:rsidRDefault="00C20988" w:rsidP="00B826DC">
      <w:pPr>
        <w:widowControl w:val="0"/>
        <w:jc w:val="center"/>
        <w:rPr>
          <w:b/>
          <w:bCs/>
          <w:i/>
          <w:iCs/>
          <w:sz w:val="24"/>
          <w:szCs w:val="24"/>
        </w:rPr>
      </w:pPr>
      <w:r w:rsidRPr="000D36D0">
        <w:rPr>
          <w:b/>
          <w:bCs/>
          <w:i/>
          <w:iCs/>
          <w:sz w:val="24"/>
          <w:szCs w:val="24"/>
        </w:rPr>
        <w:t>Приднестровского республиканского банка за 2018 год</w:t>
      </w:r>
    </w:p>
    <w:p w:rsidR="00C20988" w:rsidRDefault="00C20988" w:rsidP="00396EC8">
      <w:pPr>
        <w:spacing w:after="60"/>
        <w:jc w:val="right"/>
        <w:rPr>
          <w:sz w:val="22"/>
          <w:szCs w:val="22"/>
        </w:rPr>
      </w:pPr>
      <w:r>
        <w:rPr>
          <w:sz w:val="22"/>
          <w:szCs w:val="22"/>
        </w:rPr>
        <w:t xml:space="preserve">тыс. руб. </w:t>
      </w:r>
    </w:p>
    <w:tbl>
      <w:tblPr>
        <w:tblW w:w="99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046"/>
        <w:gridCol w:w="1417"/>
        <w:gridCol w:w="1417"/>
        <w:gridCol w:w="1417"/>
      </w:tblGrid>
      <w:tr w:rsidR="00C20988" w:rsidRPr="005A6BF4" w:rsidTr="00AF27AD">
        <w:trPr>
          <w:trHeight w:val="375"/>
        </w:trPr>
        <w:tc>
          <w:tcPr>
            <w:tcW w:w="640" w:type="dxa"/>
            <w:tcBorders>
              <w:bottom w:val="double" w:sz="4" w:space="0" w:color="auto"/>
            </w:tcBorders>
            <w:shd w:val="clear" w:color="auto" w:fill="CCCCCC"/>
            <w:vAlign w:val="center"/>
          </w:tcPr>
          <w:p w:rsidR="00C20988" w:rsidRPr="005A6BF4" w:rsidRDefault="00C20988" w:rsidP="00AF27AD">
            <w:pPr>
              <w:ind w:right="-108"/>
              <w:jc w:val="center"/>
              <w:rPr>
                <w:sz w:val="22"/>
                <w:szCs w:val="22"/>
              </w:rPr>
            </w:pPr>
            <w:r>
              <w:rPr>
                <w:sz w:val="22"/>
                <w:szCs w:val="22"/>
              </w:rPr>
              <w:t>№ п/п</w:t>
            </w:r>
          </w:p>
        </w:tc>
        <w:tc>
          <w:tcPr>
            <w:tcW w:w="5046" w:type="dxa"/>
            <w:tcBorders>
              <w:bottom w:val="double" w:sz="4" w:space="0" w:color="auto"/>
            </w:tcBorders>
            <w:shd w:val="clear" w:color="auto" w:fill="CCCCCC"/>
            <w:vAlign w:val="center"/>
          </w:tcPr>
          <w:p w:rsidR="00C20988" w:rsidRPr="005A6BF4" w:rsidRDefault="00C20988" w:rsidP="00AF27AD">
            <w:pPr>
              <w:ind w:right="-108"/>
              <w:jc w:val="center"/>
              <w:rPr>
                <w:sz w:val="22"/>
                <w:szCs w:val="22"/>
              </w:rPr>
            </w:pPr>
            <w:r w:rsidRPr="005A6BF4">
              <w:rPr>
                <w:sz w:val="22"/>
                <w:szCs w:val="22"/>
              </w:rPr>
              <w:t>Наименование стат</w:t>
            </w:r>
            <w:r>
              <w:rPr>
                <w:sz w:val="22"/>
                <w:szCs w:val="22"/>
              </w:rPr>
              <w:t>ьи</w:t>
            </w:r>
          </w:p>
        </w:tc>
        <w:tc>
          <w:tcPr>
            <w:tcW w:w="1417" w:type="dxa"/>
            <w:tcBorders>
              <w:bottom w:val="double" w:sz="4" w:space="0" w:color="auto"/>
            </w:tcBorders>
            <w:shd w:val="clear" w:color="auto" w:fill="CCCCCC"/>
            <w:vAlign w:val="center"/>
          </w:tcPr>
          <w:p w:rsidR="00C20988" w:rsidRPr="005A6BF4" w:rsidRDefault="00C20988" w:rsidP="00AF27AD">
            <w:pPr>
              <w:ind w:left="-108" w:right="-108"/>
              <w:jc w:val="center"/>
              <w:rPr>
                <w:sz w:val="22"/>
                <w:szCs w:val="22"/>
              </w:rPr>
            </w:pPr>
            <w:r w:rsidRPr="005A6BF4">
              <w:rPr>
                <w:sz w:val="22"/>
                <w:szCs w:val="22"/>
              </w:rPr>
              <w:t>Утверждено</w:t>
            </w:r>
            <w:r>
              <w:rPr>
                <w:sz w:val="22"/>
                <w:szCs w:val="22"/>
              </w:rPr>
              <w:t xml:space="preserve"> на отчётный год</w:t>
            </w:r>
          </w:p>
        </w:tc>
        <w:tc>
          <w:tcPr>
            <w:tcW w:w="1417" w:type="dxa"/>
            <w:tcBorders>
              <w:bottom w:val="double" w:sz="4" w:space="0" w:color="auto"/>
            </w:tcBorders>
            <w:shd w:val="clear" w:color="auto" w:fill="CCCCCC"/>
            <w:vAlign w:val="center"/>
          </w:tcPr>
          <w:p w:rsidR="00C20988" w:rsidRPr="005A6BF4" w:rsidRDefault="00C20988" w:rsidP="00AF27AD">
            <w:pPr>
              <w:ind w:left="-108" w:right="-108"/>
              <w:jc w:val="center"/>
              <w:rPr>
                <w:sz w:val="22"/>
                <w:szCs w:val="22"/>
              </w:rPr>
            </w:pPr>
            <w:r w:rsidRPr="005A6BF4">
              <w:rPr>
                <w:sz w:val="22"/>
                <w:szCs w:val="22"/>
              </w:rPr>
              <w:t>Фактическое исполнение</w:t>
            </w:r>
            <w:r>
              <w:rPr>
                <w:sz w:val="22"/>
                <w:szCs w:val="22"/>
              </w:rPr>
              <w:t xml:space="preserve"> за отчётный период</w:t>
            </w:r>
          </w:p>
        </w:tc>
        <w:tc>
          <w:tcPr>
            <w:tcW w:w="1417" w:type="dxa"/>
            <w:tcBorders>
              <w:bottom w:val="double" w:sz="4" w:space="0" w:color="auto"/>
            </w:tcBorders>
            <w:shd w:val="clear" w:color="auto" w:fill="CCCCCC"/>
            <w:vAlign w:val="center"/>
          </w:tcPr>
          <w:p w:rsidR="00C20988" w:rsidRPr="005A6BF4" w:rsidRDefault="00C20988" w:rsidP="00AF27AD">
            <w:pPr>
              <w:ind w:right="-108" w:hanging="108"/>
              <w:jc w:val="center"/>
              <w:rPr>
                <w:sz w:val="22"/>
                <w:szCs w:val="22"/>
              </w:rPr>
            </w:pPr>
            <w:r w:rsidRPr="005A6BF4">
              <w:rPr>
                <w:sz w:val="22"/>
                <w:szCs w:val="22"/>
              </w:rPr>
              <w:t>Выполнение плана</w:t>
            </w:r>
            <w:r>
              <w:rPr>
                <w:sz w:val="22"/>
                <w:szCs w:val="22"/>
              </w:rPr>
              <w:t xml:space="preserve"> за отчётный период,</w:t>
            </w:r>
            <w:r w:rsidRPr="005A6BF4">
              <w:rPr>
                <w:sz w:val="22"/>
                <w:szCs w:val="22"/>
              </w:rPr>
              <w:t xml:space="preserve"> %</w:t>
            </w:r>
          </w:p>
        </w:tc>
      </w:tr>
      <w:tr w:rsidR="00C20988" w:rsidRPr="005A6BF4" w:rsidTr="00AF27AD">
        <w:trPr>
          <w:trHeight w:val="310"/>
        </w:trPr>
        <w:tc>
          <w:tcPr>
            <w:tcW w:w="640" w:type="dxa"/>
            <w:tcBorders>
              <w:top w:val="double" w:sz="4" w:space="0" w:color="auto"/>
            </w:tcBorders>
            <w:vAlign w:val="bottom"/>
          </w:tcPr>
          <w:p w:rsidR="00C20988" w:rsidRPr="000466F5" w:rsidRDefault="00C20988" w:rsidP="00396EC8">
            <w:pPr>
              <w:pStyle w:val="Heading3"/>
              <w:tabs>
                <w:tab w:val="left" w:pos="389"/>
              </w:tabs>
              <w:spacing w:before="20" w:after="20"/>
              <w:ind w:right="-108" w:firstLine="0"/>
              <w:jc w:val="center"/>
              <w:rPr>
                <w:rFonts w:ascii="Times New Roman" w:hAnsi="Times New Roman" w:cs="Times New Roman"/>
                <w:b/>
                <w:bCs/>
                <w:sz w:val="22"/>
                <w:szCs w:val="22"/>
              </w:rPr>
            </w:pPr>
            <w:r w:rsidRPr="000466F5">
              <w:rPr>
                <w:rFonts w:ascii="Times New Roman" w:hAnsi="Times New Roman" w:cs="Times New Roman"/>
                <w:b/>
                <w:bCs/>
                <w:sz w:val="22"/>
                <w:szCs w:val="22"/>
              </w:rPr>
              <w:t>1</w:t>
            </w:r>
          </w:p>
        </w:tc>
        <w:tc>
          <w:tcPr>
            <w:tcW w:w="5046" w:type="dxa"/>
            <w:tcBorders>
              <w:top w:val="double" w:sz="4" w:space="0" w:color="auto"/>
            </w:tcBorders>
            <w:vAlign w:val="bottom"/>
          </w:tcPr>
          <w:p w:rsidR="00C20988" w:rsidRPr="000466F5" w:rsidRDefault="00C20988" w:rsidP="00AF27AD">
            <w:pPr>
              <w:pStyle w:val="Heading3"/>
              <w:spacing w:before="20" w:after="20"/>
              <w:ind w:right="-108"/>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1417" w:type="dxa"/>
            <w:tcBorders>
              <w:top w:val="double" w:sz="4" w:space="0" w:color="auto"/>
            </w:tcBorders>
            <w:vAlign w:val="bottom"/>
          </w:tcPr>
          <w:p w:rsidR="00C20988" w:rsidRPr="005A6BF4" w:rsidRDefault="00C20988" w:rsidP="00AF27AD">
            <w:pPr>
              <w:spacing w:before="20" w:after="20"/>
              <w:jc w:val="center"/>
              <w:rPr>
                <w:sz w:val="22"/>
                <w:szCs w:val="22"/>
              </w:rPr>
            </w:pPr>
            <w:r>
              <w:rPr>
                <w:sz w:val="22"/>
                <w:szCs w:val="22"/>
              </w:rPr>
              <w:t>3</w:t>
            </w:r>
          </w:p>
        </w:tc>
        <w:tc>
          <w:tcPr>
            <w:tcW w:w="1417" w:type="dxa"/>
            <w:tcBorders>
              <w:top w:val="double" w:sz="4" w:space="0" w:color="auto"/>
            </w:tcBorders>
            <w:vAlign w:val="bottom"/>
          </w:tcPr>
          <w:p w:rsidR="00C20988" w:rsidRPr="005A6BF4" w:rsidRDefault="00C20988" w:rsidP="00AF27AD">
            <w:pPr>
              <w:spacing w:before="20" w:after="20"/>
              <w:jc w:val="center"/>
              <w:rPr>
                <w:sz w:val="22"/>
                <w:szCs w:val="22"/>
              </w:rPr>
            </w:pPr>
            <w:r>
              <w:rPr>
                <w:sz w:val="22"/>
                <w:szCs w:val="22"/>
              </w:rPr>
              <w:t>4</w:t>
            </w:r>
          </w:p>
        </w:tc>
        <w:tc>
          <w:tcPr>
            <w:tcW w:w="1417" w:type="dxa"/>
            <w:tcBorders>
              <w:top w:val="double" w:sz="4" w:space="0" w:color="auto"/>
            </w:tcBorders>
            <w:vAlign w:val="bottom"/>
          </w:tcPr>
          <w:p w:rsidR="00C20988" w:rsidRPr="005A6BF4" w:rsidRDefault="00C20988" w:rsidP="00AF27AD">
            <w:pPr>
              <w:spacing w:before="20" w:after="20"/>
              <w:jc w:val="center"/>
              <w:rPr>
                <w:sz w:val="22"/>
                <w:szCs w:val="22"/>
              </w:rPr>
            </w:pPr>
            <w:r>
              <w:rPr>
                <w:sz w:val="22"/>
                <w:szCs w:val="22"/>
              </w:rPr>
              <w:t>5</w:t>
            </w:r>
          </w:p>
        </w:tc>
      </w:tr>
      <w:tr w:rsidR="00C20988" w:rsidRPr="005A6BF4" w:rsidTr="00AF27AD">
        <w:trPr>
          <w:trHeight w:val="310"/>
        </w:trPr>
        <w:tc>
          <w:tcPr>
            <w:tcW w:w="640" w:type="dxa"/>
            <w:tcBorders>
              <w:top w:val="double" w:sz="4" w:space="0" w:color="auto"/>
            </w:tcBorders>
            <w:vAlign w:val="bottom"/>
          </w:tcPr>
          <w:p w:rsidR="00C20988" w:rsidRPr="00396EC8" w:rsidRDefault="00C20988" w:rsidP="00396EC8">
            <w:pPr>
              <w:pStyle w:val="Heading3"/>
              <w:spacing w:before="20" w:after="20"/>
              <w:ind w:right="-108" w:firstLine="0"/>
              <w:rPr>
                <w:rFonts w:ascii="Times New Roman" w:hAnsi="Times New Roman" w:cs="Times New Roman"/>
                <w:b/>
                <w:i w:val="0"/>
                <w:sz w:val="22"/>
                <w:szCs w:val="22"/>
                <w:lang w:val="en-US"/>
              </w:rPr>
            </w:pPr>
            <w:r w:rsidRPr="00396EC8">
              <w:rPr>
                <w:rFonts w:ascii="Times New Roman" w:hAnsi="Times New Roman" w:cs="Times New Roman"/>
                <w:b/>
                <w:i w:val="0"/>
                <w:sz w:val="22"/>
                <w:szCs w:val="22"/>
                <w:lang w:val="en-US"/>
              </w:rPr>
              <w:t>I</w:t>
            </w:r>
          </w:p>
        </w:tc>
        <w:tc>
          <w:tcPr>
            <w:tcW w:w="5046" w:type="dxa"/>
            <w:tcBorders>
              <w:top w:val="double" w:sz="4" w:space="0" w:color="auto"/>
            </w:tcBorders>
            <w:vAlign w:val="bottom"/>
          </w:tcPr>
          <w:p w:rsidR="00C20988" w:rsidRPr="00396EC8" w:rsidRDefault="00C20988" w:rsidP="00AF27AD">
            <w:pPr>
              <w:pStyle w:val="Heading3"/>
              <w:spacing w:before="20" w:after="20"/>
              <w:ind w:right="-108"/>
              <w:jc w:val="center"/>
              <w:rPr>
                <w:rFonts w:ascii="Times New Roman" w:hAnsi="Times New Roman" w:cs="Times New Roman"/>
                <w:b/>
                <w:sz w:val="22"/>
                <w:szCs w:val="22"/>
              </w:rPr>
            </w:pPr>
            <w:r w:rsidRPr="00396EC8">
              <w:rPr>
                <w:rFonts w:ascii="Times New Roman" w:hAnsi="Times New Roman" w:cs="Times New Roman"/>
                <w:b/>
                <w:sz w:val="22"/>
                <w:szCs w:val="22"/>
              </w:rPr>
              <w:t>ДОХОДЫ</w:t>
            </w:r>
          </w:p>
        </w:tc>
        <w:tc>
          <w:tcPr>
            <w:tcW w:w="1417" w:type="dxa"/>
            <w:tcBorders>
              <w:top w:val="double" w:sz="4" w:space="0" w:color="auto"/>
            </w:tcBorders>
            <w:vAlign w:val="center"/>
          </w:tcPr>
          <w:p w:rsidR="00C20988" w:rsidRPr="005A6BF4" w:rsidRDefault="00C20988" w:rsidP="00AF27AD">
            <w:pPr>
              <w:spacing w:before="20" w:after="20"/>
              <w:jc w:val="right"/>
              <w:rPr>
                <w:sz w:val="22"/>
                <w:szCs w:val="22"/>
              </w:rPr>
            </w:pPr>
          </w:p>
        </w:tc>
        <w:tc>
          <w:tcPr>
            <w:tcW w:w="1417" w:type="dxa"/>
            <w:tcBorders>
              <w:top w:val="double" w:sz="4" w:space="0" w:color="auto"/>
            </w:tcBorders>
            <w:vAlign w:val="center"/>
          </w:tcPr>
          <w:p w:rsidR="00C20988" w:rsidRPr="005A6BF4" w:rsidRDefault="00C20988" w:rsidP="00AF27AD">
            <w:pPr>
              <w:spacing w:before="20" w:after="20"/>
              <w:jc w:val="right"/>
              <w:rPr>
                <w:sz w:val="22"/>
                <w:szCs w:val="22"/>
              </w:rPr>
            </w:pPr>
          </w:p>
        </w:tc>
        <w:tc>
          <w:tcPr>
            <w:tcW w:w="1417" w:type="dxa"/>
            <w:tcBorders>
              <w:top w:val="double" w:sz="4" w:space="0" w:color="auto"/>
            </w:tcBorders>
            <w:vAlign w:val="center"/>
          </w:tcPr>
          <w:p w:rsidR="00C20988" w:rsidRPr="005A6BF4" w:rsidRDefault="00C20988" w:rsidP="00AF27AD">
            <w:pPr>
              <w:spacing w:before="20" w:after="20"/>
              <w:jc w:val="right"/>
              <w:rPr>
                <w:sz w:val="22"/>
                <w:szCs w:val="22"/>
              </w:rPr>
            </w:pPr>
          </w:p>
        </w:tc>
      </w:tr>
      <w:tr w:rsidR="00C20988" w:rsidRPr="005A6BF4" w:rsidTr="00AF27AD">
        <w:trPr>
          <w:trHeight w:val="159"/>
        </w:trPr>
        <w:tc>
          <w:tcPr>
            <w:tcW w:w="640" w:type="dxa"/>
            <w:vAlign w:val="bottom"/>
          </w:tcPr>
          <w:p w:rsidR="00C20988" w:rsidRPr="005A6BF4" w:rsidRDefault="00C20988" w:rsidP="00396EC8">
            <w:pPr>
              <w:tabs>
                <w:tab w:val="num" w:pos="720"/>
              </w:tabs>
              <w:spacing w:before="20" w:after="20"/>
              <w:ind w:right="-108"/>
              <w:rPr>
                <w:sz w:val="22"/>
                <w:szCs w:val="22"/>
              </w:rPr>
            </w:pPr>
            <w:r>
              <w:rPr>
                <w:sz w:val="22"/>
                <w:szCs w:val="22"/>
              </w:rPr>
              <w:t>1.</w:t>
            </w:r>
          </w:p>
        </w:tc>
        <w:tc>
          <w:tcPr>
            <w:tcW w:w="5046" w:type="dxa"/>
            <w:vAlign w:val="bottom"/>
          </w:tcPr>
          <w:p w:rsidR="00C20988" w:rsidRPr="005A6BF4" w:rsidRDefault="00C20988" w:rsidP="00AF27AD">
            <w:pPr>
              <w:tabs>
                <w:tab w:val="num" w:pos="720"/>
              </w:tabs>
              <w:spacing w:before="20" w:after="20"/>
              <w:ind w:left="34" w:right="-108"/>
              <w:rPr>
                <w:sz w:val="22"/>
                <w:szCs w:val="22"/>
              </w:rPr>
            </w:pPr>
            <w:r w:rsidRPr="005A6BF4">
              <w:rPr>
                <w:sz w:val="22"/>
                <w:szCs w:val="22"/>
              </w:rPr>
              <w:t xml:space="preserve">Процентные доходы, </w:t>
            </w:r>
            <w:r>
              <w:rPr>
                <w:sz w:val="22"/>
                <w:szCs w:val="22"/>
              </w:rPr>
              <w:t>в том числе</w:t>
            </w:r>
            <w:r w:rsidRPr="005A6BF4">
              <w:rPr>
                <w:sz w:val="22"/>
                <w:szCs w:val="22"/>
              </w:rPr>
              <w:t>:</w:t>
            </w:r>
          </w:p>
        </w:tc>
        <w:tc>
          <w:tcPr>
            <w:tcW w:w="1417" w:type="dxa"/>
            <w:vAlign w:val="bottom"/>
          </w:tcPr>
          <w:p w:rsidR="00C20988" w:rsidRPr="005A6BF4" w:rsidRDefault="00C20988" w:rsidP="00AF27AD">
            <w:pPr>
              <w:spacing w:before="20" w:after="20"/>
              <w:jc w:val="right"/>
              <w:rPr>
                <w:sz w:val="22"/>
                <w:szCs w:val="22"/>
              </w:rPr>
            </w:pPr>
            <w:r>
              <w:rPr>
                <w:sz w:val="22"/>
                <w:szCs w:val="22"/>
              </w:rPr>
              <w:t>3 125</w:t>
            </w:r>
          </w:p>
        </w:tc>
        <w:tc>
          <w:tcPr>
            <w:tcW w:w="1417" w:type="dxa"/>
            <w:vAlign w:val="bottom"/>
          </w:tcPr>
          <w:p w:rsidR="00C20988" w:rsidRPr="005A6BF4" w:rsidRDefault="00C20988" w:rsidP="00AF27AD">
            <w:pPr>
              <w:spacing w:before="20" w:after="20"/>
              <w:jc w:val="right"/>
              <w:rPr>
                <w:snapToGrid w:val="0"/>
                <w:sz w:val="22"/>
                <w:szCs w:val="22"/>
              </w:rPr>
            </w:pPr>
            <w:r>
              <w:rPr>
                <w:snapToGrid w:val="0"/>
                <w:sz w:val="22"/>
                <w:szCs w:val="22"/>
              </w:rPr>
              <w:t>5 353</w:t>
            </w:r>
          </w:p>
        </w:tc>
        <w:tc>
          <w:tcPr>
            <w:tcW w:w="1417" w:type="dxa"/>
            <w:vAlign w:val="bottom"/>
          </w:tcPr>
          <w:p w:rsidR="00C20988" w:rsidRPr="005A6BF4" w:rsidRDefault="00C20988" w:rsidP="00AF27AD">
            <w:pPr>
              <w:spacing w:before="20" w:after="20"/>
              <w:ind w:right="-20"/>
              <w:jc w:val="right"/>
              <w:rPr>
                <w:snapToGrid w:val="0"/>
                <w:sz w:val="22"/>
                <w:szCs w:val="22"/>
              </w:rPr>
            </w:pPr>
            <w:r>
              <w:rPr>
                <w:snapToGrid w:val="0"/>
                <w:sz w:val="22"/>
                <w:szCs w:val="22"/>
              </w:rPr>
              <w:t>171,3</w:t>
            </w:r>
          </w:p>
        </w:tc>
      </w:tr>
      <w:tr w:rsidR="00C20988" w:rsidRPr="005A6BF4" w:rsidTr="00AF27AD">
        <w:trPr>
          <w:trHeight w:val="159"/>
        </w:trPr>
        <w:tc>
          <w:tcPr>
            <w:tcW w:w="640" w:type="dxa"/>
            <w:vAlign w:val="bottom"/>
          </w:tcPr>
          <w:p w:rsidR="00C20988" w:rsidRPr="005A6BF4" w:rsidRDefault="00C20988" w:rsidP="00396EC8">
            <w:pPr>
              <w:tabs>
                <w:tab w:val="num" w:pos="720"/>
              </w:tabs>
              <w:spacing w:before="20" w:after="20"/>
              <w:ind w:right="-108"/>
              <w:rPr>
                <w:sz w:val="22"/>
                <w:szCs w:val="22"/>
              </w:rPr>
            </w:pPr>
            <w:r>
              <w:rPr>
                <w:sz w:val="22"/>
                <w:szCs w:val="22"/>
              </w:rPr>
              <w:t>1.1.</w:t>
            </w:r>
          </w:p>
        </w:tc>
        <w:tc>
          <w:tcPr>
            <w:tcW w:w="5046" w:type="dxa"/>
            <w:vAlign w:val="bottom"/>
          </w:tcPr>
          <w:p w:rsidR="00C20988" w:rsidRPr="005A6BF4" w:rsidRDefault="00C20988" w:rsidP="00AF27AD">
            <w:pPr>
              <w:tabs>
                <w:tab w:val="num" w:pos="720"/>
              </w:tabs>
              <w:spacing w:before="20" w:after="20"/>
              <w:ind w:left="34" w:right="-108"/>
              <w:rPr>
                <w:sz w:val="22"/>
                <w:szCs w:val="22"/>
              </w:rPr>
            </w:pPr>
            <w:r>
              <w:rPr>
                <w:sz w:val="22"/>
                <w:szCs w:val="22"/>
              </w:rPr>
              <w:t xml:space="preserve">по ценным бумагам </w:t>
            </w:r>
          </w:p>
        </w:tc>
        <w:tc>
          <w:tcPr>
            <w:tcW w:w="1417" w:type="dxa"/>
            <w:vAlign w:val="bottom"/>
          </w:tcPr>
          <w:p w:rsidR="00C20988" w:rsidRDefault="00C20988" w:rsidP="00AF27AD">
            <w:pPr>
              <w:spacing w:before="20" w:after="20"/>
              <w:jc w:val="right"/>
              <w:rPr>
                <w:sz w:val="22"/>
                <w:szCs w:val="22"/>
              </w:rPr>
            </w:pPr>
            <w:r>
              <w:rPr>
                <w:sz w:val="22"/>
                <w:szCs w:val="22"/>
              </w:rPr>
              <w:t>75</w:t>
            </w:r>
          </w:p>
        </w:tc>
        <w:tc>
          <w:tcPr>
            <w:tcW w:w="1417" w:type="dxa"/>
            <w:vAlign w:val="bottom"/>
          </w:tcPr>
          <w:p w:rsidR="00C20988" w:rsidRDefault="00C20988" w:rsidP="00AF27AD">
            <w:pPr>
              <w:spacing w:before="20" w:after="20"/>
              <w:jc w:val="right"/>
              <w:rPr>
                <w:snapToGrid w:val="0"/>
                <w:sz w:val="22"/>
                <w:szCs w:val="22"/>
              </w:rPr>
            </w:pPr>
            <w:r>
              <w:rPr>
                <w:snapToGrid w:val="0"/>
                <w:sz w:val="22"/>
                <w:szCs w:val="22"/>
              </w:rPr>
              <w:t>75</w:t>
            </w:r>
          </w:p>
        </w:tc>
        <w:tc>
          <w:tcPr>
            <w:tcW w:w="1417" w:type="dxa"/>
            <w:vAlign w:val="bottom"/>
          </w:tcPr>
          <w:p w:rsidR="00C20988" w:rsidRDefault="00C20988" w:rsidP="00AF27AD">
            <w:pPr>
              <w:spacing w:before="20" w:after="20"/>
              <w:ind w:right="-20"/>
              <w:jc w:val="right"/>
              <w:rPr>
                <w:snapToGrid w:val="0"/>
                <w:sz w:val="22"/>
                <w:szCs w:val="22"/>
              </w:rPr>
            </w:pPr>
            <w:r>
              <w:rPr>
                <w:snapToGrid w:val="0"/>
                <w:sz w:val="22"/>
                <w:szCs w:val="22"/>
              </w:rPr>
              <w:t>100,0</w:t>
            </w:r>
          </w:p>
        </w:tc>
      </w:tr>
      <w:tr w:rsidR="00C20988" w:rsidRPr="005A6BF4" w:rsidTr="00AF27AD">
        <w:trPr>
          <w:trHeight w:val="97"/>
        </w:trPr>
        <w:tc>
          <w:tcPr>
            <w:tcW w:w="640" w:type="dxa"/>
            <w:vAlign w:val="bottom"/>
          </w:tcPr>
          <w:p w:rsidR="00C20988" w:rsidRPr="005A6BF4" w:rsidRDefault="00C20988" w:rsidP="00396EC8">
            <w:pPr>
              <w:spacing w:before="20" w:after="20"/>
              <w:ind w:right="-108"/>
              <w:rPr>
                <w:sz w:val="22"/>
                <w:szCs w:val="22"/>
              </w:rPr>
            </w:pPr>
            <w:r w:rsidRPr="005A6BF4">
              <w:rPr>
                <w:sz w:val="22"/>
                <w:szCs w:val="22"/>
              </w:rPr>
              <w:t>1.</w:t>
            </w:r>
            <w:r>
              <w:rPr>
                <w:sz w:val="22"/>
                <w:szCs w:val="22"/>
              </w:rPr>
              <w:t>2</w:t>
            </w:r>
            <w:r w:rsidRPr="005A6BF4">
              <w:rPr>
                <w:sz w:val="22"/>
                <w:szCs w:val="22"/>
              </w:rPr>
              <w:t>.</w:t>
            </w:r>
          </w:p>
        </w:tc>
        <w:tc>
          <w:tcPr>
            <w:tcW w:w="5046" w:type="dxa"/>
            <w:vAlign w:val="bottom"/>
          </w:tcPr>
          <w:p w:rsidR="00C20988" w:rsidRPr="005A6BF4" w:rsidRDefault="00C20988" w:rsidP="00AF27AD">
            <w:pPr>
              <w:spacing w:before="20" w:after="20"/>
              <w:ind w:left="34" w:right="-108"/>
              <w:rPr>
                <w:i/>
                <w:iCs/>
                <w:sz w:val="22"/>
                <w:szCs w:val="22"/>
              </w:rPr>
            </w:pPr>
            <w:r w:rsidRPr="005A6BF4">
              <w:rPr>
                <w:sz w:val="22"/>
                <w:szCs w:val="22"/>
              </w:rPr>
              <w:t>по размещениям</w:t>
            </w:r>
          </w:p>
        </w:tc>
        <w:tc>
          <w:tcPr>
            <w:tcW w:w="1417" w:type="dxa"/>
            <w:vAlign w:val="bottom"/>
          </w:tcPr>
          <w:p w:rsidR="00C20988" w:rsidRPr="005A6BF4" w:rsidRDefault="00C20988" w:rsidP="00AF27AD">
            <w:pPr>
              <w:spacing w:before="20" w:after="20"/>
              <w:jc w:val="right"/>
              <w:rPr>
                <w:sz w:val="22"/>
                <w:szCs w:val="22"/>
              </w:rPr>
            </w:pPr>
            <w:r>
              <w:rPr>
                <w:sz w:val="22"/>
                <w:szCs w:val="22"/>
              </w:rPr>
              <w:t>812</w:t>
            </w:r>
          </w:p>
        </w:tc>
        <w:tc>
          <w:tcPr>
            <w:tcW w:w="1417" w:type="dxa"/>
            <w:vAlign w:val="bottom"/>
          </w:tcPr>
          <w:p w:rsidR="00C20988" w:rsidRPr="005A6BF4" w:rsidRDefault="00C20988" w:rsidP="00AF27AD">
            <w:pPr>
              <w:spacing w:before="20" w:after="20"/>
              <w:jc w:val="right"/>
              <w:rPr>
                <w:snapToGrid w:val="0"/>
                <w:sz w:val="22"/>
                <w:szCs w:val="22"/>
              </w:rPr>
            </w:pPr>
            <w:r>
              <w:rPr>
                <w:snapToGrid w:val="0"/>
                <w:sz w:val="22"/>
                <w:szCs w:val="22"/>
              </w:rPr>
              <w:t>4 187</w:t>
            </w:r>
          </w:p>
        </w:tc>
        <w:tc>
          <w:tcPr>
            <w:tcW w:w="1417" w:type="dxa"/>
            <w:vAlign w:val="bottom"/>
          </w:tcPr>
          <w:p w:rsidR="00C20988" w:rsidRPr="005A6BF4" w:rsidRDefault="00C20988" w:rsidP="00AF27AD">
            <w:pPr>
              <w:spacing w:before="20" w:after="20"/>
              <w:ind w:right="-20"/>
              <w:jc w:val="right"/>
              <w:rPr>
                <w:snapToGrid w:val="0"/>
                <w:sz w:val="22"/>
                <w:szCs w:val="22"/>
              </w:rPr>
            </w:pPr>
            <w:r>
              <w:rPr>
                <w:snapToGrid w:val="0"/>
                <w:sz w:val="22"/>
                <w:szCs w:val="22"/>
              </w:rPr>
              <w:t>515,6</w:t>
            </w:r>
          </w:p>
        </w:tc>
      </w:tr>
      <w:tr w:rsidR="00C20988" w:rsidRPr="005A6BF4" w:rsidTr="00AF27AD">
        <w:trPr>
          <w:trHeight w:val="70"/>
        </w:trPr>
        <w:tc>
          <w:tcPr>
            <w:tcW w:w="640" w:type="dxa"/>
            <w:vAlign w:val="bottom"/>
          </w:tcPr>
          <w:p w:rsidR="00C20988" w:rsidRPr="005A6BF4" w:rsidRDefault="00C20988" w:rsidP="00396EC8">
            <w:pPr>
              <w:spacing w:before="20" w:after="20"/>
              <w:ind w:right="-108"/>
              <w:rPr>
                <w:sz w:val="22"/>
                <w:szCs w:val="22"/>
              </w:rPr>
            </w:pPr>
            <w:r>
              <w:rPr>
                <w:sz w:val="22"/>
                <w:szCs w:val="22"/>
              </w:rPr>
              <w:t>1.3.</w:t>
            </w:r>
          </w:p>
        </w:tc>
        <w:tc>
          <w:tcPr>
            <w:tcW w:w="5046" w:type="dxa"/>
            <w:vAlign w:val="bottom"/>
          </w:tcPr>
          <w:p w:rsidR="00C20988" w:rsidRPr="005A6BF4" w:rsidRDefault="00C20988" w:rsidP="00AF27AD">
            <w:pPr>
              <w:spacing w:before="20" w:after="20"/>
              <w:ind w:left="34" w:right="-108"/>
              <w:rPr>
                <w:sz w:val="22"/>
                <w:szCs w:val="22"/>
              </w:rPr>
            </w:pPr>
            <w:r w:rsidRPr="005A6BF4">
              <w:rPr>
                <w:sz w:val="22"/>
                <w:szCs w:val="22"/>
              </w:rPr>
              <w:t>по кредитам</w:t>
            </w:r>
            <w:r>
              <w:rPr>
                <w:sz w:val="22"/>
                <w:szCs w:val="22"/>
              </w:rPr>
              <w:t xml:space="preserve"> и прочим размещённым средствам</w:t>
            </w:r>
            <w:r w:rsidRPr="005A6BF4">
              <w:rPr>
                <w:sz w:val="22"/>
                <w:szCs w:val="22"/>
              </w:rPr>
              <w:t xml:space="preserve"> </w:t>
            </w:r>
            <w:r>
              <w:rPr>
                <w:sz w:val="22"/>
                <w:szCs w:val="22"/>
              </w:rPr>
              <w:t xml:space="preserve"> </w:t>
            </w:r>
          </w:p>
        </w:tc>
        <w:tc>
          <w:tcPr>
            <w:tcW w:w="1417" w:type="dxa"/>
            <w:vAlign w:val="bottom"/>
          </w:tcPr>
          <w:p w:rsidR="00C20988" w:rsidRPr="005A6BF4" w:rsidRDefault="00C20988" w:rsidP="00AF27AD">
            <w:pPr>
              <w:spacing w:before="20" w:after="20"/>
              <w:jc w:val="right"/>
              <w:rPr>
                <w:sz w:val="22"/>
                <w:szCs w:val="22"/>
              </w:rPr>
            </w:pPr>
            <w:r>
              <w:rPr>
                <w:sz w:val="22"/>
                <w:szCs w:val="22"/>
              </w:rPr>
              <w:t>2 238</w:t>
            </w:r>
          </w:p>
        </w:tc>
        <w:tc>
          <w:tcPr>
            <w:tcW w:w="1417" w:type="dxa"/>
            <w:vAlign w:val="bottom"/>
          </w:tcPr>
          <w:p w:rsidR="00C20988" w:rsidRPr="005A6BF4" w:rsidRDefault="00C20988" w:rsidP="00AF27AD">
            <w:pPr>
              <w:spacing w:before="20" w:after="20"/>
              <w:jc w:val="right"/>
              <w:rPr>
                <w:snapToGrid w:val="0"/>
                <w:sz w:val="22"/>
                <w:szCs w:val="22"/>
              </w:rPr>
            </w:pPr>
            <w:r>
              <w:rPr>
                <w:snapToGrid w:val="0"/>
                <w:sz w:val="22"/>
                <w:szCs w:val="22"/>
              </w:rPr>
              <w:t>1 091</w:t>
            </w:r>
          </w:p>
        </w:tc>
        <w:tc>
          <w:tcPr>
            <w:tcW w:w="1417" w:type="dxa"/>
            <w:vAlign w:val="bottom"/>
          </w:tcPr>
          <w:p w:rsidR="00C20988" w:rsidRPr="005A6BF4" w:rsidRDefault="00C20988" w:rsidP="00AF27AD">
            <w:pPr>
              <w:spacing w:before="20" w:after="20"/>
              <w:ind w:right="-20"/>
              <w:jc w:val="right"/>
              <w:rPr>
                <w:snapToGrid w:val="0"/>
                <w:sz w:val="22"/>
                <w:szCs w:val="22"/>
              </w:rPr>
            </w:pPr>
            <w:r>
              <w:rPr>
                <w:snapToGrid w:val="0"/>
                <w:sz w:val="22"/>
                <w:szCs w:val="22"/>
              </w:rPr>
              <w:t>48,7</w:t>
            </w:r>
          </w:p>
        </w:tc>
      </w:tr>
      <w:tr w:rsidR="00C20988" w:rsidRPr="005A6BF4" w:rsidTr="00AF27AD">
        <w:trPr>
          <w:trHeight w:val="70"/>
        </w:trPr>
        <w:tc>
          <w:tcPr>
            <w:tcW w:w="640" w:type="dxa"/>
            <w:vAlign w:val="bottom"/>
          </w:tcPr>
          <w:p w:rsidR="00C20988" w:rsidRDefault="00C20988" w:rsidP="00396EC8">
            <w:pPr>
              <w:tabs>
                <w:tab w:val="num" w:pos="459"/>
              </w:tabs>
              <w:spacing w:before="20" w:after="20"/>
              <w:ind w:left="34" w:right="-108"/>
              <w:rPr>
                <w:sz w:val="22"/>
                <w:szCs w:val="22"/>
              </w:rPr>
            </w:pPr>
            <w:r>
              <w:rPr>
                <w:sz w:val="22"/>
                <w:szCs w:val="22"/>
              </w:rPr>
              <w:t>2</w:t>
            </w:r>
            <w:r w:rsidRPr="005A6BF4">
              <w:rPr>
                <w:sz w:val="22"/>
                <w:szCs w:val="22"/>
              </w:rPr>
              <w:t>.</w:t>
            </w:r>
          </w:p>
        </w:tc>
        <w:tc>
          <w:tcPr>
            <w:tcW w:w="5046" w:type="dxa"/>
            <w:vAlign w:val="bottom"/>
          </w:tcPr>
          <w:p w:rsidR="00C20988" w:rsidRPr="005A6BF4" w:rsidRDefault="00C20988" w:rsidP="00AF27AD">
            <w:pPr>
              <w:tabs>
                <w:tab w:val="num" w:pos="459"/>
              </w:tabs>
              <w:spacing w:before="20" w:after="20"/>
              <w:ind w:left="34" w:right="-108"/>
              <w:rPr>
                <w:sz w:val="22"/>
                <w:szCs w:val="22"/>
              </w:rPr>
            </w:pPr>
            <w:r w:rsidRPr="005A6BF4">
              <w:rPr>
                <w:sz w:val="22"/>
                <w:szCs w:val="22"/>
              </w:rPr>
              <w:t>Доходы от участия в капиталах кредитных и иных организаций</w:t>
            </w:r>
          </w:p>
        </w:tc>
        <w:tc>
          <w:tcPr>
            <w:tcW w:w="1417" w:type="dxa"/>
            <w:vAlign w:val="bottom"/>
          </w:tcPr>
          <w:p w:rsidR="00C20988" w:rsidRPr="005A6BF4" w:rsidRDefault="00C20988" w:rsidP="00AF27AD">
            <w:pPr>
              <w:spacing w:before="20" w:after="20"/>
              <w:jc w:val="right"/>
              <w:rPr>
                <w:sz w:val="22"/>
                <w:szCs w:val="22"/>
              </w:rPr>
            </w:pPr>
            <w:r>
              <w:rPr>
                <w:sz w:val="22"/>
                <w:szCs w:val="22"/>
              </w:rPr>
              <w:t>16 500</w:t>
            </w:r>
          </w:p>
        </w:tc>
        <w:tc>
          <w:tcPr>
            <w:tcW w:w="1417" w:type="dxa"/>
            <w:vAlign w:val="bottom"/>
          </w:tcPr>
          <w:p w:rsidR="00C20988" w:rsidRPr="005A6BF4" w:rsidRDefault="00C20988" w:rsidP="00AF27AD">
            <w:pPr>
              <w:spacing w:before="20" w:after="20"/>
              <w:jc w:val="right"/>
              <w:rPr>
                <w:snapToGrid w:val="0"/>
                <w:sz w:val="22"/>
                <w:szCs w:val="22"/>
              </w:rPr>
            </w:pPr>
            <w:r>
              <w:rPr>
                <w:snapToGrid w:val="0"/>
                <w:sz w:val="22"/>
                <w:szCs w:val="22"/>
              </w:rPr>
              <w:t>0</w:t>
            </w:r>
          </w:p>
        </w:tc>
        <w:tc>
          <w:tcPr>
            <w:tcW w:w="1417" w:type="dxa"/>
            <w:vAlign w:val="bottom"/>
          </w:tcPr>
          <w:p w:rsidR="00C20988" w:rsidRPr="005A6BF4" w:rsidRDefault="00C20988" w:rsidP="00AF27AD">
            <w:pPr>
              <w:spacing w:before="20" w:after="20"/>
              <w:ind w:right="-20"/>
              <w:jc w:val="right"/>
              <w:rPr>
                <w:snapToGrid w:val="0"/>
                <w:sz w:val="22"/>
                <w:szCs w:val="22"/>
              </w:rPr>
            </w:pPr>
            <w:r>
              <w:rPr>
                <w:snapToGrid w:val="0"/>
                <w:sz w:val="22"/>
                <w:szCs w:val="22"/>
              </w:rPr>
              <w:t>0</w:t>
            </w:r>
          </w:p>
        </w:tc>
      </w:tr>
      <w:tr w:rsidR="00C20988" w:rsidRPr="005A6BF4" w:rsidTr="00AF27AD">
        <w:trPr>
          <w:trHeight w:val="70"/>
        </w:trPr>
        <w:tc>
          <w:tcPr>
            <w:tcW w:w="640" w:type="dxa"/>
            <w:vAlign w:val="bottom"/>
          </w:tcPr>
          <w:p w:rsidR="00C20988" w:rsidRDefault="00C20988" w:rsidP="00396EC8">
            <w:pPr>
              <w:tabs>
                <w:tab w:val="num" w:pos="459"/>
              </w:tabs>
              <w:spacing w:before="20" w:after="20"/>
              <w:ind w:left="34" w:right="-108"/>
              <w:rPr>
                <w:sz w:val="22"/>
                <w:szCs w:val="22"/>
              </w:rPr>
            </w:pPr>
            <w:r>
              <w:rPr>
                <w:sz w:val="22"/>
                <w:szCs w:val="22"/>
              </w:rPr>
              <w:t>3.</w:t>
            </w:r>
          </w:p>
        </w:tc>
        <w:tc>
          <w:tcPr>
            <w:tcW w:w="5046" w:type="dxa"/>
            <w:vAlign w:val="bottom"/>
          </w:tcPr>
          <w:p w:rsidR="00C20988" w:rsidRPr="005A6BF4" w:rsidRDefault="00C20988" w:rsidP="00AF27AD">
            <w:pPr>
              <w:tabs>
                <w:tab w:val="num" w:pos="459"/>
              </w:tabs>
              <w:spacing w:before="20" w:after="20"/>
              <w:ind w:left="34" w:right="-108"/>
              <w:rPr>
                <w:sz w:val="22"/>
                <w:szCs w:val="22"/>
              </w:rPr>
            </w:pPr>
            <w:r w:rsidRPr="005A6BF4">
              <w:rPr>
                <w:sz w:val="22"/>
                <w:szCs w:val="22"/>
              </w:rPr>
              <w:t xml:space="preserve">Чистые </w:t>
            </w:r>
            <w:r>
              <w:rPr>
                <w:sz w:val="22"/>
                <w:szCs w:val="22"/>
              </w:rPr>
              <w:t>дохо</w:t>
            </w:r>
            <w:r w:rsidRPr="005A6BF4">
              <w:rPr>
                <w:sz w:val="22"/>
                <w:szCs w:val="22"/>
              </w:rPr>
              <w:t xml:space="preserve">ды от </w:t>
            </w:r>
            <w:r>
              <w:rPr>
                <w:sz w:val="22"/>
                <w:szCs w:val="22"/>
              </w:rPr>
              <w:t>восстановле</w:t>
            </w:r>
            <w:r w:rsidRPr="005A6BF4">
              <w:rPr>
                <w:sz w:val="22"/>
                <w:szCs w:val="22"/>
              </w:rPr>
              <w:t>ния резервов</w:t>
            </w:r>
          </w:p>
        </w:tc>
        <w:tc>
          <w:tcPr>
            <w:tcW w:w="1417" w:type="dxa"/>
            <w:vAlign w:val="bottom"/>
          </w:tcPr>
          <w:p w:rsidR="00C20988" w:rsidRDefault="00C20988" w:rsidP="00AF27AD">
            <w:pPr>
              <w:spacing w:before="20" w:after="20"/>
              <w:jc w:val="right"/>
              <w:rPr>
                <w:sz w:val="22"/>
                <w:szCs w:val="22"/>
              </w:rPr>
            </w:pPr>
            <w:r>
              <w:rPr>
                <w:sz w:val="22"/>
                <w:szCs w:val="22"/>
              </w:rPr>
              <w:t>8 905</w:t>
            </w:r>
          </w:p>
        </w:tc>
        <w:tc>
          <w:tcPr>
            <w:tcW w:w="1417" w:type="dxa"/>
            <w:vAlign w:val="bottom"/>
          </w:tcPr>
          <w:p w:rsidR="00C20988" w:rsidRDefault="00C20988" w:rsidP="00AF27AD">
            <w:pPr>
              <w:spacing w:before="20" w:after="20"/>
              <w:jc w:val="right"/>
              <w:rPr>
                <w:snapToGrid w:val="0"/>
                <w:sz w:val="22"/>
                <w:szCs w:val="22"/>
              </w:rPr>
            </w:pPr>
            <w:r>
              <w:rPr>
                <w:snapToGrid w:val="0"/>
                <w:sz w:val="22"/>
                <w:szCs w:val="22"/>
              </w:rPr>
              <w:t>33 252</w:t>
            </w:r>
          </w:p>
        </w:tc>
        <w:tc>
          <w:tcPr>
            <w:tcW w:w="1417" w:type="dxa"/>
            <w:vAlign w:val="bottom"/>
          </w:tcPr>
          <w:p w:rsidR="00C20988" w:rsidRDefault="00C20988" w:rsidP="00AF27AD">
            <w:pPr>
              <w:spacing w:before="20" w:after="20"/>
              <w:ind w:right="-20"/>
              <w:jc w:val="right"/>
              <w:rPr>
                <w:snapToGrid w:val="0"/>
                <w:sz w:val="22"/>
                <w:szCs w:val="22"/>
              </w:rPr>
            </w:pPr>
            <w:r>
              <w:rPr>
                <w:snapToGrid w:val="0"/>
                <w:sz w:val="22"/>
                <w:szCs w:val="22"/>
              </w:rPr>
              <w:t>373,4</w:t>
            </w:r>
          </w:p>
        </w:tc>
      </w:tr>
      <w:tr w:rsidR="00C20988" w:rsidRPr="005A6BF4" w:rsidTr="00AF27AD">
        <w:trPr>
          <w:trHeight w:val="70"/>
        </w:trPr>
        <w:tc>
          <w:tcPr>
            <w:tcW w:w="640" w:type="dxa"/>
            <w:vAlign w:val="bottom"/>
          </w:tcPr>
          <w:p w:rsidR="00C20988" w:rsidRPr="00756BB2" w:rsidRDefault="00C20988" w:rsidP="00396EC8">
            <w:pPr>
              <w:tabs>
                <w:tab w:val="num" w:pos="459"/>
              </w:tabs>
              <w:spacing w:before="20" w:after="20"/>
              <w:ind w:left="34" w:right="-108"/>
              <w:rPr>
                <w:sz w:val="22"/>
                <w:szCs w:val="22"/>
              </w:rPr>
            </w:pPr>
            <w:r>
              <w:rPr>
                <w:sz w:val="22"/>
                <w:szCs w:val="22"/>
              </w:rPr>
              <w:t>4</w:t>
            </w:r>
            <w:r w:rsidRPr="00756BB2">
              <w:rPr>
                <w:sz w:val="22"/>
                <w:szCs w:val="22"/>
              </w:rPr>
              <w:t>.</w:t>
            </w:r>
          </w:p>
        </w:tc>
        <w:tc>
          <w:tcPr>
            <w:tcW w:w="5046" w:type="dxa"/>
            <w:vAlign w:val="bottom"/>
          </w:tcPr>
          <w:p w:rsidR="00C20988" w:rsidRPr="005A6BF4" w:rsidRDefault="00C20988" w:rsidP="00AF27AD">
            <w:pPr>
              <w:tabs>
                <w:tab w:val="num" w:pos="459"/>
              </w:tabs>
              <w:spacing w:before="20" w:after="20"/>
              <w:ind w:left="34" w:right="-108"/>
              <w:rPr>
                <w:sz w:val="22"/>
                <w:szCs w:val="22"/>
              </w:rPr>
            </w:pPr>
            <w:r w:rsidRPr="005A6BF4">
              <w:rPr>
                <w:sz w:val="22"/>
                <w:szCs w:val="22"/>
              </w:rPr>
              <w:t xml:space="preserve">Прочие доходы, </w:t>
            </w:r>
            <w:r>
              <w:rPr>
                <w:sz w:val="22"/>
                <w:szCs w:val="22"/>
              </w:rPr>
              <w:t>в том числе</w:t>
            </w:r>
            <w:r w:rsidRPr="005A6BF4">
              <w:rPr>
                <w:sz w:val="22"/>
                <w:szCs w:val="22"/>
              </w:rPr>
              <w:t>:</w:t>
            </w:r>
          </w:p>
        </w:tc>
        <w:tc>
          <w:tcPr>
            <w:tcW w:w="1417" w:type="dxa"/>
            <w:vAlign w:val="bottom"/>
          </w:tcPr>
          <w:p w:rsidR="00C20988" w:rsidRPr="005A6BF4" w:rsidRDefault="00C20988" w:rsidP="00AF27AD">
            <w:pPr>
              <w:spacing w:before="20" w:after="20"/>
              <w:jc w:val="right"/>
              <w:rPr>
                <w:sz w:val="22"/>
                <w:szCs w:val="22"/>
              </w:rPr>
            </w:pPr>
            <w:r>
              <w:rPr>
                <w:sz w:val="22"/>
                <w:szCs w:val="22"/>
              </w:rPr>
              <w:t>40 520</w:t>
            </w:r>
          </w:p>
        </w:tc>
        <w:tc>
          <w:tcPr>
            <w:tcW w:w="1417" w:type="dxa"/>
            <w:vAlign w:val="bottom"/>
          </w:tcPr>
          <w:p w:rsidR="00C20988" w:rsidRPr="005A6BF4" w:rsidRDefault="00C20988" w:rsidP="00AF27AD">
            <w:pPr>
              <w:spacing w:before="20" w:after="20"/>
              <w:jc w:val="right"/>
              <w:rPr>
                <w:snapToGrid w:val="0"/>
                <w:sz w:val="22"/>
                <w:szCs w:val="22"/>
              </w:rPr>
            </w:pPr>
            <w:r>
              <w:rPr>
                <w:snapToGrid w:val="0"/>
                <w:sz w:val="22"/>
                <w:szCs w:val="22"/>
              </w:rPr>
              <w:t>43 260</w:t>
            </w:r>
          </w:p>
        </w:tc>
        <w:tc>
          <w:tcPr>
            <w:tcW w:w="1417" w:type="dxa"/>
            <w:vAlign w:val="bottom"/>
          </w:tcPr>
          <w:p w:rsidR="00C20988" w:rsidRPr="005A6BF4" w:rsidRDefault="00C20988" w:rsidP="00AF27AD">
            <w:pPr>
              <w:spacing w:before="20" w:after="20"/>
              <w:ind w:right="-20"/>
              <w:jc w:val="right"/>
              <w:rPr>
                <w:snapToGrid w:val="0"/>
                <w:sz w:val="22"/>
                <w:szCs w:val="22"/>
              </w:rPr>
            </w:pPr>
            <w:r>
              <w:rPr>
                <w:snapToGrid w:val="0"/>
                <w:sz w:val="22"/>
                <w:szCs w:val="22"/>
              </w:rPr>
              <w:t>106,8</w:t>
            </w:r>
          </w:p>
        </w:tc>
      </w:tr>
      <w:tr w:rsidR="00C20988" w:rsidRPr="005A6BF4" w:rsidTr="00AF27AD">
        <w:trPr>
          <w:trHeight w:val="70"/>
        </w:trPr>
        <w:tc>
          <w:tcPr>
            <w:tcW w:w="640" w:type="dxa"/>
            <w:vAlign w:val="bottom"/>
          </w:tcPr>
          <w:p w:rsidR="00C20988" w:rsidRPr="00756BB2" w:rsidRDefault="00C20988" w:rsidP="00396EC8">
            <w:pPr>
              <w:spacing w:before="20" w:after="20"/>
              <w:ind w:left="34" w:right="-108"/>
              <w:rPr>
                <w:sz w:val="22"/>
                <w:szCs w:val="22"/>
              </w:rPr>
            </w:pPr>
            <w:r>
              <w:rPr>
                <w:sz w:val="22"/>
                <w:szCs w:val="22"/>
              </w:rPr>
              <w:t>4</w:t>
            </w:r>
            <w:r w:rsidRPr="00756BB2">
              <w:rPr>
                <w:sz w:val="22"/>
                <w:szCs w:val="22"/>
              </w:rPr>
              <w:t>.1.</w:t>
            </w:r>
          </w:p>
        </w:tc>
        <w:tc>
          <w:tcPr>
            <w:tcW w:w="5046" w:type="dxa"/>
            <w:vAlign w:val="bottom"/>
          </w:tcPr>
          <w:p w:rsidR="00C20988" w:rsidRPr="005A6BF4" w:rsidRDefault="00C20988" w:rsidP="00AF27AD">
            <w:pPr>
              <w:spacing w:before="20" w:after="20"/>
              <w:ind w:left="34" w:right="-108"/>
              <w:rPr>
                <w:sz w:val="22"/>
                <w:szCs w:val="22"/>
              </w:rPr>
            </w:pPr>
            <w:r w:rsidRPr="005A6BF4">
              <w:rPr>
                <w:sz w:val="22"/>
                <w:szCs w:val="22"/>
              </w:rPr>
              <w:t>доходы о</w:t>
            </w:r>
            <w:r>
              <w:rPr>
                <w:sz w:val="22"/>
                <w:szCs w:val="22"/>
              </w:rPr>
              <w:t>т</w:t>
            </w:r>
            <w:r w:rsidRPr="005A6BF4">
              <w:rPr>
                <w:sz w:val="22"/>
                <w:szCs w:val="22"/>
              </w:rPr>
              <w:t xml:space="preserve"> </w:t>
            </w:r>
            <w:r>
              <w:rPr>
                <w:sz w:val="22"/>
                <w:szCs w:val="22"/>
              </w:rPr>
              <w:t xml:space="preserve">операций с </w:t>
            </w:r>
            <w:r w:rsidRPr="005A6BF4">
              <w:rPr>
                <w:sz w:val="22"/>
                <w:szCs w:val="22"/>
              </w:rPr>
              <w:t>иностранной валютой</w:t>
            </w:r>
          </w:p>
        </w:tc>
        <w:tc>
          <w:tcPr>
            <w:tcW w:w="1417" w:type="dxa"/>
            <w:vAlign w:val="bottom"/>
          </w:tcPr>
          <w:p w:rsidR="00C20988" w:rsidRPr="005A6BF4" w:rsidRDefault="00C20988" w:rsidP="00AF27AD">
            <w:pPr>
              <w:spacing w:before="20" w:after="20"/>
              <w:jc w:val="right"/>
              <w:rPr>
                <w:sz w:val="22"/>
                <w:szCs w:val="22"/>
              </w:rPr>
            </w:pPr>
            <w:r>
              <w:rPr>
                <w:sz w:val="22"/>
                <w:szCs w:val="22"/>
              </w:rPr>
              <w:t>18 000</w:t>
            </w:r>
          </w:p>
        </w:tc>
        <w:tc>
          <w:tcPr>
            <w:tcW w:w="1417" w:type="dxa"/>
            <w:vAlign w:val="bottom"/>
          </w:tcPr>
          <w:p w:rsidR="00C20988" w:rsidRPr="005A6BF4" w:rsidRDefault="00C20988" w:rsidP="00AF27AD">
            <w:pPr>
              <w:spacing w:before="20" w:after="20"/>
              <w:jc w:val="right"/>
              <w:rPr>
                <w:snapToGrid w:val="0"/>
                <w:sz w:val="22"/>
                <w:szCs w:val="22"/>
              </w:rPr>
            </w:pPr>
            <w:r>
              <w:rPr>
                <w:snapToGrid w:val="0"/>
                <w:sz w:val="22"/>
                <w:szCs w:val="22"/>
              </w:rPr>
              <w:t>21 372</w:t>
            </w:r>
          </w:p>
        </w:tc>
        <w:tc>
          <w:tcPr>
            <w:tcW w:w="1417" w:type="dxa"/>
            <w:vAlign w:val="bottom"/>
          </w:tcPr>
          <w:p w:rsidR="00C20988" w:rsidRPr="005A6BF4" w:rsidRDefault="00C20988" w:rsidP="00AF27AD">
            <w:pPr>
              <w:spacing w:before="20" w:after="20"/>
              <w:ind w:right="-20"/>
              <w:jc w:val="right"/>
              <w:rPr>
                <w:snapToGrid w:val="0"/>
                <w:sz w:val="22"/>
                <w:szCs w:val="22"/>
              </w:rPr>
            </w:pPr>
            <w:r>
              <w:rPr>
                <w:snapToGrid w:val="0"/>
                <w:sz w:val="22"/>
                <w:szCs w:val="22"/>
              </w:rPr>
              <w:t>118,7</w:t>
            </w:r>
          </w:p>
        </w:tc>
      </w:tr>
      <w:tr w:rsidR="00C20988" w:rsidRPr="005A6BF4" w:rsidTr="00AF27AD">
        <w:trPr>
          <w:trHeight w:val="70"/>
        </w:trPr>
        <w:tc>
          <w:tcPr>
            <w:tcW w:w="640" w:type="dxa"/>
            <w:vAlign w:val="bottom"/>
          </w:tcPr>
          <w:p w:rsidR="00C20988" w:rsidRPr="00756BB2" w:rsidRDefault="00C20988" w:rsidP="00396EC8">
            <w:pPr>
              <w:spacing w:before="20" w:after="20"/>
              <w:ind w:left="34" w:right="-108"/>
              <w:rPr>
                <w:sz w:val="22"/>
                <w:szCs w:val="22"/>
              </w:rPr>
            </w:pPr>
            <w:r>
              <w:rPr>
                <w:sz w:val="22"/>
                <w:szCs w:val="22"/>
              </w:rPr>
              <w:t>4</w:t>
            </w:r>
            <w:r w:rsidRPr="00756BB2">
              <w:rPr>
                <w:sz w:val="22"/>
                <w:szCs w:val="22"/>
              </w:rPr>
              <w:t>.2.</w:t>
            </w:r>
          </w:p>
        </w:tc>
        <w:tc>
          <w:tcPr>
            <w:tcW w:w="5046" w:type="dxa"/>
            <w:vAlign w:val="bottom"/>
          </w:tcPr>
          <w:p w:rsidR="00C20988" w:rsidRPr="005A6BF4" w:rsidRDefault="00C20988" w:rsidP="00AF27AD">
            <w:pPr>
              <w:spacing w:before="20" w:after="20"/>
              <w:ind w:left="34" w:right="-108"/>
              <w:rPr>
                <w:sz w:val="22"/>
                <w:szCs w:val="22"/>
              </w:rPr>
            </w:pPr>
            <w:r w:rsidRPr="005A6BF4">
              <w:rPr>
                <w:sz w:val="22"/>
                <w:szCs w:val="22"/>
              </w:rPr>
              <w:t>комиссионные доходы</w:t>
            </w:r>
          </w:p>
        </w:tc>
        <w:tc>
          <w:tcPr>
            <w:tcW w:w="1417" w:type="dxa"/>
            <w:vAlign w:val="bottom"/>
          </w:tcPr>
          <w:p w:rsidR="00C20988" w:rsidRPr="00680EE8" w:rsidRDefault="00C20988" w:rsidP="00AF27AD">
            <w:pPr>
              <w:spacing w:before="20" w:after="20"/>
              <w:jc w:val="right"/>
              <w:rPr>
                <w:sz w:val="22"/>
                <w:szCs w:val="22"/>
              </w:rPr>
            </w:pPr>
            <w:r>
              <w:rPr>
                <w:sz w:val="22"/>
                <w:szCs w:val="22"/>
              </w:rPr>
              <w:t>20 582</w:t>
            </w:r>
          </w:p>
        </w:tc>
        <w:tc>
          <w:tcPr>
            <w:tcW w:w="1417" w:type="dxa"/>
            <w:vAlign w:val="bottom"/>
          </w:tcPr>
          <w:p w:rsidR="00C20988" w:rsidRPr="00680EE8" w:rsidRDefault="00C20988" w:rsidP="00AF27AD">
            <w:pPr>
              <w:spacing w:before="20" w:after="20"/>
              <w:jc w:val="right"/>
              <w:rPr>
                <w:snapToGrid w:val="0"/>
                <w:sz w:val="22"/>
                <w:szCs w:val="22"/>
              </w:rPr>
            </w:pPr>
            <w:r>
              <w:rPr>
                <w:snapToGrid w:val="0"/>
                <w:sz w:val="22"/>
                <w:szCs w:val="22"/>
              </w:rPr>
              <w:t>20 002</w:t>
            </w:r>
          </w:p>
        </w:tc>
        <w:tc>
          <w:tcPr>
            <w:tcW w:w="1417" w:type="dxa"/>
            <w:vAlign w:val="bottom"/>
          </w:tcPr>
          <w:p w:rsidR="00C20988" w:rsidRPr="00680EE8" w:rsidRDefault="00C20988" w:rsidP="00AF27AD">
            <w:pPr>
              <w:spacing w:before="20" w:after="20"/>
              <w:ind w:right="-20"/>
              <w:jc w:val="right"/>
              <w:rPr>
                <w:snapToGrid w:val="0"/>
                <w:sz w:val="22"/>
                <w:szCs w:val="22"/>
              </w:rPr>
            </w:pPr>
            <w:r>
              <w:rPr>
                <w:snapToGrid w:val="0"/>
                <w:sz w:val="22"/>
                <w:szCs w:val="22"/>
              </w:rPr>
              <w:t>97,2</w:t>
            </w:r>
          </w:p>
        </w:tc>
      </w:tr>
      <w:tr w:rsidR="00C20988" w:rsidRPr="005A6BF4" w:rsidTr="00AF27AD">
        <w:trPr>
          <w:trHeight w:val="90"/>
        </w:trPr>
        <w:tc>
          <w:tcPr>
            <w:tcW w:w="640" w:type="dxa"/>
            <w:vAlign w:val="bottom"/>
          </w:tcPr>
          <w:p w:rsidR="00C20988" w:rsidRPr="00756BB2" w:rsidRDefault="00C20988" w:rsidP="00396EC8">
            <w:pPr>
              <w:spacing w:before="20" w:after="20"/>
              <w:ind w:left="34" w:right="-108"/>
              <w:rPr>
                <w:sz w:val="22"/>
                <w:szCs w:val="22"/>
              </w:rPr>
            </w:pPr>
            <w:r>
              <w:rPr>
                <w:sz w:val="22"/>
                <w:szCs w:val="22"/>
              </w:rPr>
              <w:t>4</w:t>
            </w:r>
            <w:r w:rsidRPr="00756BB2">
              <w:rPr>
                <w:sz w:val="22"/>
                <w:szCs w:val="22"/>
              </w:rPr>
              <w:t>.3.</w:t>
            </w:r>
          </w:p>
        </w:tc>
        <w:tc>
          <w:tcPr>
            <w:tcW w:w="5046" w:type="dxa"/>
            <w:vAlign w:val="bottom"/>
          </w:tcPr>
          <w:p w:rsidR="00C20988" w:rsidRPr="005A6BF4" w:rsidRDefault="00C20988" w:rsidP="00AF27AD">
            <w:pPr>
              <w:spacing w:before="20" w:after="20"/>
              <w:ind w:left="34" w:right="-108"/>
              <w:rPr>
                <w:sz w:val="22"/>
                <w:szCs w:val="22"/>
              </w:rPr>
            </w:pPr>
            <w:r w:rsidRPr="005A6BF4">
              <w:rPr>
                <w:sz w:val="22"/>
                <w:szCs w:val="22"/>
              </w:rPr>
              <w:t xml:space="preserve">доходы </w:t>
            </w:r>
            <w:r>
              <w:rPr>
                <w:sz w:val="22"/>
                <w:szCs w:val="22"/>
              </w:rPr>
              <w:t>п</w:t>
            </w:r>
            <w:r w:rsidRPr="005A6BF4">
              <w:rPr>
                <w:sz w:val="22"/>
                <w:szCs w:val="22"/>
              </w:rPr>
              <w:t xml:space="preserve">о </w:t>
            </w:r>
            <w:r>
              <w:rPr>
                <w:sz w:val="22"/>
                <w:szCs w:val="22"/>
              </w:rPr>
              <w:t>операциям с</w:t>
            </w:r>
            <w:r w:rsidRPr="005A6BF4">
              <w:rPr>
                <w:sz w:val="22"/>
                <w:szCs w:val="22"/>
              </w:rPr>
              <w:t xml:space="preserve"> </w:t>
            </w:r>
            <w:r>
              <w:rPr>
                <w:sz w:val="22"/>
                <w:szCs w:val="22"/>
              </w:rPr>
              <w:t xml:space="preserve">памятными (юбилейными)  банкнотами и </w:t>
            </w:r>
            <w:r w:rsidRPr="005A6BF4">
              <w:rPr>
                <w:sz w:val="22"/>
                <w:szCs w:val="22"/>
              </w:rPr>
              <w:t>монет</w:t>
            </w:r>
            <w:r>
              <w:rPr>
                <w:sz w:val="22"/>
                <w:szCs w:val="22"/>
              </w:rPr>
              <w:t>ами</w:t>
            </w:r>
            <w:r w:rsidRPr="005A6BF4">
              <w:rPr>
                <w:sz w:val="22"/>
                <w:szCs w:val="22"/>
              </w:rPr>
              <w:t xml:space="preserve"> </w:t>
            </w:r>
          </w:p>
        </w:tc>
        <w:tc>
          <w:tcPr>
            <w:tcW w:w="1417" w:type="dxa"/>
            <w:vAlign w:val="bottom"/>
          </w:tcPr>
          <w:p w:rsidR="00C20988" w:rsidRPr="00680EE8" w:rsidRDefault="00C20988" w:rsidP="00AF27AD">
            <w:pPr>
              <w:spacing w:before="20" w:after="20"/>
              <w:jc w:val="right"/>
              <w:rPr>
                <w:sz w:val="22"/>
                <w:szCs w:val="22"/>
              </w:rPr>
            </w:pPr>
            <w:r>
              <w:rPr>
                <w:sz w:val="22"/>
                <w:szCs w:val="22"/>
              </w:rPr>
              <w:t>1 865</w:t>
            </w:r>
          </w:p>
        </w:tc>
        <w:tc>
          <w:tcPr>
            <w:tcW w:w="1417" w:type="dxa"/>
            <w:vAlign w:val="bottom"/>
          </w:tcPr>
          <w:p w:rsidR="00C20988" w:rsidRPr="00680EE8" w:rsidRDefault="00C20988" w:rsidP="00AF27AD">
            <w:pPr>
              <w:spacing w:before="20" w:after="20"/>
              <w:jc w:val="right"/>
              <w:rPr>
                <w:snapToGrid w:val="0"/>
                <w:sz w:val="22"/>
                <w:szCs w:val="22"/>
              </w:rPr>
            </w:pPr>
            <w:r>
              <w:rPr>
                <w:snapToGrid w:val="0"/>
                <w:sz w:val="22"/>
                <w:szCs w:val="22"/>
              </w:rPr>
              <w:t>1 646</w:t>
            </w:r>
          </w:p>
        </w:tc>
        <w:tc>
          <w:tcPr>
            <w:tcW w:w="1417" w:type="dxa"/>
            <w:vAlign w:val="bottom"/>
          </w:tcPr>
          <w:p w:rsidR="00C20988" w:rsidRPr="00680EE8" w:rsidRDefault="00C20988" w:rsidP="00AF27AD">
            <w:pPr>
              <w:spacing w:before="20" w:after="20"/>
              <w:ind w:right="-20"/>
              <w:jc w:val="right"/>
              <w:rPr>
                <w:snapToGrid w:val="0"/>
                <w:sz w:val="22"/>
                <w:szCs w:val="22"/>
              </w:rPr>
            </w:pPr>
            <w:r>
              <w:rPr>
                <w:snapToGrid w:val="0"/>
                <w:sz w:val="22"/>
                <w:szCs w:val="22"/>
              </w:rPr>
              <w:t>88,3</w:t>
            </w:r>
          </w:p>
        </w:tc>
      </w:tr>
      <w:tr w:rsidR="00C20988" w:rsidRPr="005A6BF4" w:rsidTr="00AF27AD">
        <w:trPr>
          <w:trHeight w:val="84"/>
        </w:trPr>
        <w:tc>
          <w:tcPr>
            <w:tcW w:w="640" w:type="dxa"/>
            <w:vAlign w:val="bottom"/>
          </w:tcPr>
          <w:p w:rsidR="00C20988" w:rsidRPr="00756BB2" w:rsidRDefault="00C20988" w:rsidP="00396EC8">
            <w:pPr>
              <w:spacing w:before="20" w:after="20"/>
              <w:ind w:left="34" w:right="-108"/>
              <w:rPr>
                <w:sz w:val="22"/>
                <w:szCs w:val="22"/>
              </w:rPr>
            </w:pPr>
            <w:r>
              <w:rPr>
                <w:sz w:val="22"/>
                <w:szCs w:val="22"/>
              </w:rPr>
              <w:t>4</w:t>
            </w:r>
            <w:r w:rsidRPr="00756BB2">
              <w:rPr>
                <w:sz w:val="22"/>
                <w:szCs w:val="22"/>
              </w:rPr>
              <w:t>.4.</w:t>
            </w:r>
          </w:p>
        </w:tc>
        <w:tc>
          <w:tcPr>
            <w:tcW w:w="5046" w:type="dxa"/>
            <w:vAlign w:val="bottom"/>
          </w:tcPr>
          <w:p w:rsidR="00C20988" w:rsidRPr="005A6BF4" w:rsidRDefault="00C20988" w:rsidP="00AF27AD">
            <w:pPr>
              <w:spacing w:before="20" w:after="20"/>
              <w:ind w:left="34" w:right="-108"/>
              <w:rPr>
                <w:sz w:val="22"/>
                <w:szCs w:val="22"/>
              </w:rPr>
            </w:pPr>
            <w:r w:rsidRPr="005A6BF4">
              <w:rPr>
                <w:sz w:val="22"/>
                <w:szCs w:val="22"/>
              </w:rPr>
              <w:t>доходы от аренды</w:t>
            </w:r>
            <w:r>
              <w:rPr>
                <w:sz w:val="22"/>
                <w:szCs w:val="22"/>
              </w:rPr>
              <w:t xml:space="preserve"> и финансовой аренды (лизинга)</w:t>
            </w:r>
          </w:p>
        </w:tc>
        <w:tc>
          <w:tcPr>
            <w:tcW w:w="1417" w:type="dxa"/>
            <w:vAlign w:val="bottom"/>
          </w:tcPr>
          <w:p w:rsidR="00C20988" w:rsidRPr="00680EE8" w:rsidRDefault="00C20988" w:rsidP="00AF27AD">
            <w:pPr>
              <w:spacing w:before="20" w:after="20"/>
              <w:jc w:val="right"/>
              <w:rPr>
                <w:sz w:val="22"/>
                <w:szCs w:val="22"/>
              </w:rPr>
            </w:pPr>
            <w:r>
              <w:rPr>
                <w:sz w:val="22"/>
                <w:szCs w:val="22"/>
              </w:rPr>
              <w:t>1</w:t>
            </w:r>
          </w:p>
        </w:tc>
        <w:tc>
          <w:tcPr>
            <w:tcW w:w="1417" w:type="dxa"/>
            <w:vAlign w:val="bottom"/>
          </w:tcPr>
          <w:p w:rsidR="00C20988" w:rsidRPr="00680EE8" w:rsidRDefault="00C20988" w:rsidP="00AF27AD">
            <w:pPr>
              <w:spacing w:before="20" w:after="20"/>
              <w:jc w:val="right"/>
              <w:rPr>
                <w:snapToGrid w:val="0"/>
                <w:sz w:val="22"/>
                <w:szCs w:val="22"/>
              </w:rPr>
            </w:pPr>
            <w:r>
              <w:rPr>
                <w:snapToGrid w:val="0"/>
                <w:sz w:val="22"/>
                <w:szCs w:val="22"/>
              </w:rPr>
              <w:t>1</w:t>
            </w:r>
          </w:p>
        </w:tc>
        <w:tc>
          <w:tcPr>
            <w:tcW w:w="1417" w:type="dxa"/>
            <w:vAlign w:val="bottom"/>
          </w:tcPr>
          <w:p w:rsidR="00C20988" w:rsidRPr="00680EE8" w:rsidRDefault="00C20988" w:rsidP="00AF27AD">
            <w:pPr>
              <w:spacing w:before="20" w:after="20"/>
              <w:ind w:right="-20"/>
              <w:jc w:val="right"/>
              <w:rPr>
                <w:snapToGrid w:val="0"/>
                <w:sz w:val="22"/>
                <w:szCs w:val="22"/>
              </w:rPr>
            </w:pPr>
            <w:r>
              <w:rPr>
                <w:snapToGrid w:val="0"/>
                <w:sz w:val="22"/>
                <w:szCs w:val="22"/>
              </w:rPr>
              <w:t>100,0</w:t>
            </w:r>
          </w:p>
        </w:tc>
      </w:tr>
      <w:tr w:rsidR="00C20988" w:rsidRPr="005A6BF4" w:rsidTr="00AF27AD">
        <w:trPr>
          <w:trHeight w:val="135"/>
        </w:trPr>
        <w:tc>
          <w:tcPr>
            <w:tcW w:w="640" w:type="dxa"/>
            <w:vAlign w:val="bottom"/>
          </w:tcPr>
          <w:p w:rsidR="00C20988" w:rsidRPr="00756BB2" w:rsidRDefault="00C20988" w:rsidP="00396EC8">
            <w:pPr>
              <w:spacing w:before="20" w:after="20"/>
              <w:ind w:left="34" w:right="-108"/>
              <w:rPr>
                <w:sz w:val="22"/>
                <w:szCs w:val="22"/>
              </w:rPr>
            </w:pPr>
            <w:r>
              <w:rPr>
                <w:sz w:val="22"/>
                <w:szCs w:val="22"/>
              </w:rPr>
              <w:t>4</w:t>
            </w:r>
            <w:r w:rsidRPr="00756BB2">
              <w:rPr>
                <w:sz w:val="22"/>
                <w:szCs w:val="22"/>
              </w:rPr>
              <w:t>.5.</w:t>
            </w:r>
          </w:p>
        </w:tc>
        <w:tc>
          <w:tcPr>
            <w:tcW w:w="5046" w:type="dxa"/>
            <w:vAlign w:val="bottom"/>
          </w:tcPr>
          <w:p w:rsidR="00C20988" w:rsidRPr="005A6BF4" w:rsidRDefault="00C20988" w:rsidP="00AF27AD">
            <w:pPr>
              <w:spacing w:before="20" w:after="20"/>
              <w:ind w:left="34" w:right="-108"/>
              <w:rPr>
                <w:sz w:val="22"/>
                <w:szCs w:val="22"/>
              </w:rPr>
            </w:pPr>
            <w:r w:rsidRPr="005A6BF4">
              <w:rPr>
                <w:sz w:val="22"/>
                <w:szCs w:val="22"/>
              </w:rPr>
              <w:t xml:space="preserve">доходы от выбытия </w:t>
            </w:r>
            <w:r>
              <w:rPr>
                <w:sz w:val="22"/>
                <w:szCs w:val="22"/>
              </w:rPr>
              <w:t xml:space="preserve">(реализации) </w:t>
            </w:r>
            <w:r w:rsidRPr="005A6BF4">
              <w:rPr>
                <w:sz w:val="22"/>
                <w:szCs w:val="22"/>
              </w:rPr>
              <w:t>активов</w:t>
            </w:r>
          </w:p>
        </w:tc>
        <w:tc>
          <w:tcPr>
            <w:tcW w:w="1417" w:type="dxa"/>
            <w:vAlign w:val="bottom"/>
          </w:tcPr>
          <w:p w:rsidR="00C20988" w:rsidRPr="00680EE8" w:rsidRDefault="00C20988" w:rsidP="00AF27AD">
            <w:pPr>
              <w:spacing w:before="20" w:after="20"/>
              <w:jc w:val="right"/>
              <w:rPr>
                <w:sz w:val="22"/>
                <w:szCs w:val="22"/>
              </w:rPr>
            </w:pPr>
            <w:r>
              <w:rPr>
                <w:sz w:val="22"/>
                <w:szCs w:val="22"/>
              </w:rPr>
              <w:t>50</w:t>
            </w:r>
          </w:p>
        </w:tc>
        <w:tc>
          <w:tcPr>
            <w:tcW w:w="1417" w:type="dxa"/>
            <w:vAlign w:val="bottom"/>
          </w:tcPr>
          <w:p w:rsidR="00C20988" w:rsidRPr="00680EE8" w:rsidRDefault="00C20988" w:rsidP="00AF27AD">
            <w:pPr>
              <w:spacing w:before="20" w:after="20"/>
              <w:jc w:val="right"/>
              <w:rPr>
                <w:snapToGrid w:val="0"/>
                <w:sz w:val="22"/>
                <w:szCs w:val="22"/>
              </w:rPr>
            </w:pPr>
            <w:r>
              <w:rPr>
                <w:snapToGrid w:val="0"/>
                <w:sz w:val="22"/>
                <w:szCs w:val="22"/>
              </w:rPr>
              <w:t>165</w:t>
            </w:r>
          </w:p>
        </w:tc>
        <w:tc>
          <w:tcPr>
            <w:tcW w:w="1417" w:type="dxa"/>
            <w:vAlign w:val="bottom"/>
          </w:tcPr>
          <w:p w:rsidR="00C20988" w:rsidRPr="00680EE8" w:rsidRDefault="00C20988" w:rsidP="00AF27AD">
            <w:pPr>
              <w:spacing w:before="20" w:after="20"/>
              <w:ind w:right="-20"/>
              <w:jc w:val="right"/>
              <w:rPr>
                <w:snapToGrid w:val="0"/>
                <w:sz w:val="22"/>
                <w:szCs w:val="22"/>
              </w:rPr>
            </w:pPr>
            <w:r>
              <w:rPr>
                <w:snapToGrid w:val="0"/>
                <w:sz w:val="22"/>
                <w:szCs w:val="22"/>
              </w:rPr>
              <w:t>330,0</w:t>
            </w:r>
          </w:p>
        </w:tc>
      </w:tr>
      <w:tr w:rsidR="00C20988" w:rsidRPr="005A6BF4" w:rsidTr="00AF27AD">
        <w:trPr>
          <w:trHeight w:val="70"/>
        </w:trPr>
        <w:tc>
          <w:tcPr>
            <w:tcW w:w="640" w:type="dxa"/>
            <w:vAlign w:val="bottom"/>
          </w:tcPr>
          <w:p w:rsidR="00C20988" w:rsidRPr="00756BB2" w:rsidRDefault="00C20988" w:rsidP="00396EC8">
            <w:pPr>
              <w:spacing w:before="20" w:after="20"/>
              <w:ind w:left="34" w:right="-108"/>
              <w:rPr>
                <w:sz w:val="22"/>
                <w:szCs w:val="22"/>
              </w:rPr>
            </w:pPr>
            <w:r>
              <w:rPr>
                <w:sz w:val="22"/>
                <w:szCs w:val="22"/>
              </w:rPr>
              <w:t>4</w:t>
            </w:r>
            <w:r w:rsidRPr="00756BB2">
              <w:rPr>
                <w:sz w:val="22"/>
                <w:szCs w:val="22"/>
              </w:rPr>
              <w:t>.6.</w:t>
            </w:r>
          </w:p>
        </w:tc>
        <w:tc>
          <w:tcPr>
            <w:tcW w:w="5046" w:type="dxa"/>
            <w:vAlign w:val="bottom"/>
          </w:tcPr>
          <w:p w:rsidR="00C20988" w:rsidRPr="005A6BF4" w:rsidRDefault="00C20988" w:rsidP="00AF27AD">
            <w:pPr>
              <w:spacing w:before="20" w:after="20"/>
              <w:ind w:left="34" w:right="-108"/>
              <w:rPr>
                <w:sz w:val="22"/>
                <w:szCs w:val="22"/>
              </w:rPr>
            </w:pPr>
            <w:r w:rsidRPr="005A6BF4">
              <w:rPr>
                <w:sz w:val="22"/>
                <w:szCs w:val="22"/>
              </w:rPr>
              <w:t>другие доходы</w:t>
            </w:r>
          </w:p>
        </w:tc>
        <w:tc>
          <w:tcPr>
            <w:tcW w:w="1417" w:type="dxa"/>
            <w:vAlign w:val="bottom"/>
          </w:tcPr>
          <w:p w:rsidR="00C20988" w:rsidRPr="00680EE8" w:rsidRDefault="00C20988" w:rsidP="00AF27AD">
            <w:pPr>
              <w:spacing w:before="20" w:after="20"/>
              <w:jc w:val="right"/>
              <w:rPr>
                <w:sz w:val="22"/>
                <w:szCs w:val="22"/>
              </w:rPr>
            </w:pPr>
            <w:r>
              <w:rPr>
                <w:sz w:val="22"/>
                <w:szCs w:val="22"/>
              </w:rPr>
              <w:t>22</w:t>
            </w:r>
          </w:p>
        </w:tc>
        <w:tc>
          <w:tcPr>
            <w:tcW w:w="1417" w:type="dxa"/>
            <w:vAlign w:val="bottom"/>
          </w:tcPr>
          <w:p w:rsidR="00C20988" w:rsidRPr="00680EE8" w:rsidRDefault="00C20988" w:rsidP="00AF27AD">
            <w:pPr>
              <w:spacing w:before="20" w:after="20"/>
              <w:jc w:val="right"/>
              <w:rPr>
                <w:snapToGrid w:val="0"/>
                <w:sz w:val="22"/>
                <w:szCs w:val="22"/>
              </w:rPr>
            </w:pPr>
            <w:r>
              <w:rPr>
                <w:snapToGrid w:val="0"/>
                <w:sz w:val="22"/>
                <w:szCs w:val="22"/>
              </w:rPr>
              <w:t>73</w:t>
            </w:r>
          </w:p>
        </w:tc>
        <w:tc>
          <w:tcPr>
            <w:tcW w:w="1417" w:type="dxa"/>
            <w:vAlign w:val="bottom"/>
          </w:tcPr>
          <w:p w:rsidR="00C20988" w:rsidRPr="00680EE8" w:rsidRDefault="00C20988" w:rsidP="00AF27AD">
            <w:pPr>
              <w:spacing w:before="20" w:after="20"/>
              <w:ind w:right="-20"/>
              <w:jc w:val="right"/>
              <w:rPr>
                <w:snapToGrid w:val="0"/>
                <w:sz w:val="22"/>
                <w:szCs w:val="22"/>
              </w:rPr>
            </w:pPr>
            <w:r>
              <w:rPr>
                <w:snapToGrid w:val="0"/>
                <w:sz w:val="22"/>
                <w:szCs w:val="22"/>
              </w:rPr>
              <w:t>331,8</w:t>
            </w:r>
          </w:p>
        </w:tc>
      </w:tr>
      <w:tr w:rsidR="00C20988" w:rsidRPr="005A6BF4" w:rsidTr="00AF27AD">
        <w:trPr>
          <w:trHeight w:val="70"/>
        </w:trPr>
        <w:tc>
          <w:tcPr>
            <w:tcW w:w="640" w:type="dxa"/>
            <w:vAlign w:val="bottom"/>
          </w:tcPr>
          <w:p w:rsidR="00C20988" w:rsidRPr="00756BB2" w:rsidRDefault="00C20988" w:rsidP="00396EC8">
            <w:pPr>
              <w:spacing w:before="20" w:after="20"/>
              <w:ind w:left="34" w:right="-108"/>
              <w:rPr>
                <w:sz w:val="22"/>
                <w:szCs w:val="22"/>
              </w:rPr>
            </w:pPr>
            <w:r>
              <w:rPr>
                <w:sz w:val="22"/>
                <w:szCs w:val="22"/>
              </w:rPr>
              <w:t>4.7.</w:t>
            </w:r>
          </w:p>
        </w:tc>
        <w:tc>
          <w:tcPr>
            <w:tcW w:w="5046" w:type="dxa"/>
            <w:vAlign w:val="bottom"/>
          </w:tcPr>
          <w:p w:rsidR="00C20988" w:rsidRPr="005A6BF4" w:rsidRDefault="00C20988" w:rsidP="00AF27AD">
            <w:pPr>
              <w:spacing w:before="20" w:after="20"/>
              <w:ind w:left="34" w:right="-108"/>
              <w:rPr>
                <w:sz w:val="22"/>
                <w:szCs w:val="22"/>
              </w:rPr>
            </w:pPr>
            <w:r>
              <w:rPr>
                <w:sz w:val="22"/>
                <w:szCs w:val="22"/>
              </w:rPr>
              <w:t>полученные штрафы, пени, неустойки</w:t>
            </w:r>
          </w:p>
        </w:tc>
        <w:tc>
          <w:tcPr>
            <w:tcW w:w="1417" w:type="dxa"/>
            <w:vAlign w:val="bottom"/>
          </w:tcPr>
          <w:p w:rsidR="00C20988" w:rsidRDefault="00C20988" w:rsidP="00AF27AD">
            <w:pPr>
              <w:spacing w:before="20" w:after="20"/>
              <w:jc w:val="right"/>
              <w:rPr>
                <w:sz w:val="22"/>
                <w:szCs w:val="22"/>
              </w:rPr>
            </w:pPr>
            <w:r>
              <w:rPr>
                <w:sz w:val="22"/>
                <w:szCs w:val="22"/>
              </w:rPr>
              <w:t>0</w:t>
            </w:r>
          </w:p>
        </w:tc>
        <w:tc>
          <w:tcPr>
            <w:tcW w:w="1417" w:type="dxa"/>
            <w:vAlign w:val="bottom"/>
          </w:tcPr>
          <w:p w:rsidR="00C20988" w:rsidRDefault="00C20988" w:rsidP="00AF27AD">
            <w:pPr>
              <w:spacing w:before="20" w:after="20"/>
              <w:jc w:val="right"/>
              <w:rPr>
                <w:snapToGrid w:val="0"/>
                <w:sz w:val="22"/>
                <w:szCs w:val="22"/>
              </w:rPr>
            </w:pPr>
            <w:r>
              <w:rPr>
                <w:snapToGrid w:val="0"/>
                <w:sz w:val="22"/>
                <w:szCs w:val="22"/>
              </w:rPr>
              <w:t>1</w:t>
            </w:r>
          </w:p>
        </w:tc>
        <w:tc>
          <w:tcPr>
            <w:tcW w:w="1417" w:type="dxa"/>
            <w:vAlign w:val="bottom"/>
          </w:tcPr>
          <w:p w:rsidR="00C20988" w:rsidRDefault="00C20988" w:rsidP="00AF27AD">
            <w:pPr>
              <w:spacing w:before="20" w:after="20"/>
              <w:ind w:right="-20"/>
              <w:jc w:val="right"/>
              <w:rPr>
                <w:snapToGrid w:val="0"/>
                <w:sz w:val="22"/>
                <w:szCs w:val="22"/>
              </w:rPr>
            </w:pPr>
            <w:r>
              <w:rPr>
                <w:snapToGrid w:val="0"/>
                <w:sz w:val="22"/>
                <w:szCs w:val="22"/>
              </w:rPr>
              <w:t>0</w:t>
            </w:r>
          </w:p>
        </w:tc>
      </w:tr>
      <w:tr w:rsidR="00C20988" w:rsidRPr="005A6BF4" w:rsidTr="00AF27AD">
        <w:trPr>
          <w:trHeight w:val="126"/>
        </w:trPr>
        <w:tc>
          <w:tcPr>
            <w:tcW w:w="640" w:type="dxa"/>
            <w:shd w:val="clear" w:color="auto" w:fill="CCCCCC"/>
            <w:vAlign w:val="bottom"/>
          </w:tcPr>
          <w:p w:rsidR="00C20988" w:rsidRPr="00396EC8" w:rsidRDefault="00C20988" w:rsidP="00396EC8">
            <w:pPr>
              <w:pStyle w:val="Heading6"/>
              <w:spacing w:before="20" w:after="20"/>
              <w:ind w:right="-108" w:firstLine="0"/>
              <w:jc w:val="left"/>
              <w:rPr>
                <w:rFonts w:ascii="Times New Roman" w:hAnsi="Times New Roman" w:cs="Times New Roman"/>
                <w:b/>
                <w:i w:val="0"/>
                <w:iCs w:val="0"/>
                <w:sz w:val="22"/>
                <w:szCs w:val="22"/>
              </w:rPr>
            </w:pPr>
            <w:r w:rsidRPr="00396EC8">
              <w:rPr>
                <w:rFonts w:ascii="Times New Roman" w:hAnsi="Times New Roman" w:cs="Times New Roman"/>
                <w:b/>
                <w:i w:val="0"/>
                <w:iCs w:val="0"/>
                <w:sz w:val="22"/>
                <w:szCs w:val="22"/>
              </w:rPr>
              <w:t>5.</w:t>
            </w:r>
          </w:p>
        </w:tc>
        <w:tc>
          <w:tcPr>
            <w:tcW w:w="5046" w:type="dxa"/>
            <w:shd w:val="clear" w:color="auto" w:fill="CCCCCC"/>
            <w:vAlign w:val="bottom"/>
          </w:tcPr>
          <w:p w:rsidR="00C20988" w:rsidRPr="00396EC8" w:rsidRDefault="00C20988" w:rsidP="00396EC8">
            <w:pPr>
              <w:pStyle w:val="Heading6"/>
              <w:spacing w:before="20" w:after="20"/>
              <w:ind w:right="-108" w:firstLine="0"/>
              <w:jc w:val="left"/>
              <w:rPr>
                <w:rFonts w:ascii="Times New Roman" w:hAnsi="Times New Roman" w:cs="Times New Roman"/>
                <w:b/>
                <w:i w:val="0"/>
                <w:iCs w:val="0"/>
                <w:sz w:val="22"/>
                <w:szCs w:val="22"/>
              </w:rPr>
            </w:pPr>
            <w:r w:rsidRPr="00396EC8">
              <w:rPr>
                <w:rFonts w:ascii="Times New Roman" w:hAnsi="Times New Roman" w:cs="Times New Roman"/>
                <w:b/>
                <w:i w:val="0"/>
                <w:iCs w:val="0"/>
                <w:sz w:val="22"/>
                <w:szCs w:val="22"/>
              </w:rPr>
              <w:t>Итого доходов</w:t>
            </w:r>
          </w:p>
        </w:tc>
        <w:tc>
          <w:tcPr>
            <w:tcW w:w="1417" w:type="dxa"/>
            <w:shd w:val="clear" w:color="auto" w:fill="CCCCCC"/>
            <w:vAlign w:val="bottom"/>
          </w:tcPr>
          <w:p w:rsidR="00C20988" w:rsidRPr="005A6BF4" w:rsidRDefault="00C20988" w:rsidP="00AF27AD">
            <w:pPr>
              <w:spacing w:before="20" w:after="20"/>
              <w:jc w:val="right"/>
              <w:rPr>
                <w:b/>
                <w:bCs/>
                <w:sz w:val="22"/>
                <w:szCs w:val="22"/>
              </w:rPr>
            </w:pPr>
            <w:r>
              <w:rPr>
                <w:b/>
                <w:bCs/>
                <w:sz w:val="22"/>
                <w:szCs w:val="22"/>
              </w:rPr>
              <w:t>69 050</w:t>
            </w:r>
          </w:p>
        </w:tc>
        <w:tc>
          <w:tcPr>
            <w:tcW w:w="1417" w:type="dxa"/>
            <w:shd w:val="clear" w:color="auto" w:fill="CCCCCC"/>
            <w:vAlign w:val="bottom"/>
          </w:tcPr>
          <w:p w:rsidR="00C20988" w:rsidRPr="005A6BF4" w:rsidRDefault="00C20988" w:rsidP="00AF27AD">
            <w:pPr>
              <w:spacing w:before="20" w:after="20"/>
              <w:jc w:val="right"/>
              <w:rPr>
                <w:b/>
                <w:bCs/>
                <w:snapToGrid w:val="0"/>
                <w:sz w:val="22"/>
                <w:szCs w:val="22"/>
              </w:rPr>
            </w:pPr>
            <w:r>
              <w:rPr>
                <w:b/>
                <w:bCs/>
                <w:snapToGrid w:val="0"/>
                <w:sz w:val="22"/>
                <w:szCs w:val="22"/>
              </w:rPr>
              <w:t>81 865</w:t>
            </w:r>
          </w:p>
        </w:tc>
        <w:tc>
          <w:tcPr>
            <w:tcW w:w="1417" w:type="dxa"/>
            <w:shd w:val="clear" w:color="auto" w:fill="CCCCCC"/>
            <w:vAlign w:val="bottom"/>
          </w:tcPr>
          <w:p w:rsidR="00C20988" w:rsidRPr="005A6BF4" w:rsidRDefault="00C20988" w:rsidP="00AF27AD">
            <w:pPr>
              <w:spacing w:before="20" w:after="20"/>
              <w:ind w:right="-20"/>
              <w:jc w:val="right"/>
              <w:rPr>
                <w:b/>
                <w:bCs/>
                <w:snapToGrid w:val="0"/>
                <w:sz w:val="22"/>
                <w:szCs w:val="22"/>
              </w:rPr>
            </w:pPr>
            <w:r>
              <w:rPr>
                <w:b/>
                <w:bCs/>
                <w:snapToGrid w:val="0"/>
                <w:sz w:val="22"/>
                <w:szCs w:val="22"/>
              </w:rPr>
              <w:t>118,6</w:t>
            </w:r>
          </w:p>
        </w:tc>
      </w:tr>
      <w:tr w:rsidR="00C20988" w:rsidRPr="005A6BF4" w:rsidTr="00AF27AD">
        <w:trPr>
          <w:trHeight w:val="70"/>
        </w:trPr>
        <w:tc>
          <w:tcPr>
            <w:tcW w:w="640" w:type="dxa"/>
            <w:tcBorders>
              <w:top w:val="nil"/>
            </w:tcBorders>
            <w:vAlign w:val="bottom"/>
          </w:tcPr>
          <w:p w:rsidR="00C20988" w:rsidRPr="00396EC8" w:rsidRDefault="00C20988" w:rsidP="00396EC8">
            <w:pPr>
              <w:pStyle w:val="Heading6"/>
              <w:spacing w:before="20" w:after="20"/>
              <w:ind w:right="-108" w:firstLine="0"/>
              <w:jc w:val="left"/>
              <w:rPr>
                <w:rFonts w:ascii="Times New Roman" w:hAnsi="Times New Roman" w:cs="Times New Roman"/>
                <w:b/>
                <w:i w:val="0"/>
                <w:iCs w:val="0"/>
                <w:sz w:val="22"/>
                <w:szCs w:val="22"/>
                <w:lang w:val="en-US"/>
              </w:rPr>
            </w:pPr>
            <w:r w:rsidRPr="00396EC8">
              <w:rPr>
                <w:rFonts w:ascii="Times New Roman" w:hAnsi="Times New Roman" w:cs="Times New Roman"/>
                <w:b/>
                <w:i w:val="0"/>
                <w:iCs w:val="0"/>
                <w:sz w:val="22"/>
                <w:szCs w:val="22"/>
                <w:lang w:val="en-US"/>
              </w:rPr>
              <w:t>II</w:t>
            </w:r>
          </w:p>
        </w:tc>
        <w:tc>
          <w:tcPr>
            <w:tcW w:w="5046" w:type="dxa"/>
            <w:tcBorders>
              <w:top w:val="nil"/>
            </w:tcBorders>
            <w:vAlign w:val="bottom"/>
          </w:tcPr>
          <w:p w:rsidR="00C20988" w:rsidRPr="00396EC8" w:rsidRDefault="00C20988" w:rsidP="00AF27AD">
            <w:pPr>
              <w:pStyle w:val="Heading6"/>
              <w:spacing w:before="20" w:after="20"/>
              <w:ind w:right="-108"/>
              <w:jc w:val="center"/>
              <w:rPr>
                <w:rFonts w:ascii="Times New Roman" w:hAnsi="Times New Roman" w:cs="Times New Roman"/>
                <w:b/>
                <w:i w:val="0"/>
                <w:iCs w:val="0"/>
                <w:sz w:val="22"/>
                <w:szCs w:val="22"/>
              </w:rPr>
            </w:pPr>
            <w:r w:rsidRPr="00396EC8">
              <w:rPr>
                <w:rFonts w:ascii="Times New Roman" w:hAnsi="Times New Roman" w:cs="Times New Roman"/>
                <w:b/>
                <w:i w:val="0"/>
                <w:iCs w:val="0"/>
                <w:sz w:val="22"/>
                <w:szCs w:val="22"/>
              </w:rPr>
              <w:t>РАСХОДЫ</w:t>
            </w:r>
          </w:p>
        </w:tc>
        <w:tc>
          <w:tcPr>
            <w:tcW w:w="1417" w:type="dxa"/>
            <w:tcBorders>
              <w:top w:val="nil"/>
            </w:tcBorders>
            <w:vAlign w:val="bottom"/>
          </w:tcPr>
          <w:p w:rsidR="00C20988" w:rsidRPr="005A6BF4" w:rsidRDefault="00C20988" w:rsidP="00AF27AD">
            <w:pPr>
              <w:spacing w:before="20" w:after="20"/>
              <w:jc w:val="right"/>
              <w:rPr>
                <w:sz w:val="22"/>
                <w:szCs w:val="22"/>
              </w:rPr>
            </w:pPr>
          </w:p>
        </w:tc>
        <w:tc>
          <w:tcPr>
            <w:tcW w:w="1417" w:type="dxa"/>
            <w:tcBorders>
              <w:top w:val="nil"/>
            </w:tcBorders>
            <w:vAlign w:val="bottom"/>
          </w:tcPr>
          <w:p w:rsidR="00C20988" w:rsidRPr="005A6BF4" w:rsidRDefault="00C20988" w:rsidP="00AF27AD">
            <w:pPr>
              <w:spacing w:before="20" w:after="20"/>
              <w:jc w:val="right"/>
              <w:rPr>
                <w:snapToGrid w:val="0"/>
                <w:sz w:val="22"/>
                <w:szCs w:val="22"/>
              </w:rPr>
            </w:pPr>
          </w:p>
        </w:tc>
        <w:tc>
          <w:tcPr>
            <w:tcW w:w="1417" w:type="dxa"/>
            <w:tcBorders>
              <w:top w:val="nil"/>
            </w:tcBorders>
            <w:vAlign w:val="bottom"/>
          </w:tcPr>
          <w:p w:rsidR="00C20988" w:rsidRPr="005A6BF4" w:rsidRDefault="00C20988" w:rsidP="00AF27AD">
            <w:pPr>
              <w:spacing w:before="20" w:after="20"/>
              <w:ind w:right="-20"/>
              <w:jc w:val="right"/>
              <w:rPr>
                <w:snapToGrid w:val="0"/>
                <w:sz w:val="22"/>
                <w:szCs w:val="22"/>
              </w:rPr>
            </w:pPr>
          </w:p>
        </w:tc>
      </w:tr>
      <w:tr w:rsidR="00C20988" w:rsidRPr="005A6BF4" w:rsidTr="00AF27AD">
        <w:trPr>
          <w:trHeight w:val="70"/>
        </w:trPr>
        <w:tc>
          <w:tcPr>
            <w:tcW w:w="640" w:type="dxa"/>
            <w:vAlign w:val="bottom"/>
          </w:tcPr>
          <w:p w:rsidR="00C20988" w:rsidRPr="00756BB2" w:rsidRDefault="00C20988" w:rsidP="00396EC8">
            <w:pPr>
              <w:tabs>
                <w:tab w:val="num" w:pos="720"/>
              </w:tabs>
              <w:spacing w:before="20" w:after="20"/>
              <w:ind w:left="72" w:right="-108"/>
              <w:rPr>
                <w:sz w:val="22"/>
                <w:szCs w:val="22"/>
              </w:rPr>
            </w:pPr>
            <w:r>
              <w:rPr>
                <w:sz w:val="22"/>
                <w:szCs w:val="22"/>
              </w:rPr>
              <w:t>6</w:t>
            </w:r>
            <w:r w:rsidRPr="00756BB2">
              <w:rPr>
                <w:sz w:val="22"/>
                <w:szCs w:val="22"/>
              </w:rPr>
              <w:t>.</w:t>
            </w:r>
          </w:p>
        </w:tc>
        <w:tc>
          <w:tcPr>
            <w:tcW w:w="5046" w:type="dxa"/>
            <w:vAlign w:val="bottom"/>
          </w:tcPr>
          <w:p w:rsidR="00C20988" w:rsidRPr="005A6BF4" w:rsidRDefault="00C20988" w:rsidP="00AF27AD">
            <w:pPr>
              <w:tabs>
                <w:tab w:val="num" w:pos="720"/>
              </w:tabs>
              <w:spacing w:before="20" w:after="20"/>
              <w:ind w:left="72" w:right="-108"/>
              <w:rPr>
                <w:sz w:val="22"/>
                <w:szCs w:val="22"/>
              </w:rPr>
            </w:pPr>
            <w:r w:rsidRPr="005A6BF4">
              <w:rPr>
                <w:sz w:val="22"/>
                <w:szCs w:val="22"/>
              </w:rPr>
              <w:t xml:space="preserve">Процентные расходы </w:t>
            </w:r>
          </w:p>
        </w:tc>
        <w:tc>
          <w:tcPr>
            <w:tcW w:w="1417" w:type="dxa"/>
            <w:vAlign w:val="bottom"/>
          </w:tcPr>
          <w:p w:rsidR="00C20988" w:rsidRPr="005A6BF4" w:rsidRDefault="00C20988" w:rsidP="00AF27AD">
            <w:pPr>
              <w:spacing w:before="20" w:after="20"/>
              <w:jc w:val="right"/>
              <w:rPr>
                <w:sz w:val="22"/>
                <w:szCs w:val="22"/>
              </w:rPr>
            </w:pPr>
            <w:r>
              <w:rPr>
                <w:sz w:val="22"/>
                <w:szCs w:val="22"/>
              </w:rPr>
              <w:t>13</w:t>
            </w:r>
          </w:p>
        </w:tc>
        <w:tc>
          <w:tcPr>
            <w:tcW w:w="1417" w:type="dxa"/>
            <w:vAlign w:val="bottom"/>
          </w:tcPr>
          <w:p w:rsidR="00C20988" w:rsidRPr="005A6BF4" w:rsidRDefault="00C20988" w:rsidP="00AF27AD">
            <w:pPr>
              <w:spacing w:before="20" w:after="20"/>
              <w:jc w:val="right"/>
              <w:rPr>
                <w:snapToGrid w:val="0"/>
                <w:sz w:val="22"/>
                <w:szCs w:val="22"/>
              </w:rPr>
            </w:pPr>
            <w:r>
              <w:rPr>
                <w:snapToGrid w:val="0"/>
                <w:sz w:val="22"/>
                <w:szCs w:val="22"/>
              </w:rPr>
              <w:t>5</w:t>
            </w:r>
          </w:p>
        </w:tc>
        <w:tc>
          <w:tcPr>
            <w:tcW w:w="1417" w:type="dxa"/>
            <w:vAlign w:val="bottom"/>
          </w:tcPr>
          <w:p w:rsidR="00C20988" w:rsidRPr="005A6BF4" w:rsidRDefault="00C20988" w:rsidP="00AF27AD">
            <w:pPr>
              <w:spacing w:before="20" w:after="20"/>
              <w:ind w:right="-20"/>
              <w:jc w:val="right"/>
              <w:rPr>
                <w:snapToGrid w:val="0"/>
                <w:sz w:val="22"/>
                <w:szCs w:val="22"/>
              </w:rPr>
            </w:pPr>
            <w:r>
              <w:rPr>
                <w:snapToGrid w:val="0"/>
                <w:sz w:val="22"/>
                <w:szCs w:val="22"/>
              </w:rPr>
              <w:t>38,5</w:t>
            </w:r>
          </w:p>
        </w:tc>
      </w:tr>
      <w:tr w:rsidR="00C20988" w:rsidRPr="005A6BF4" w:rsidTr="00AF27AD">
        <w:trPr>
          <w:trHeight w:val="327"/>
        </w:trPr>
        <w:tc>
          <w:tcPr>
            <w:tcW w:w="640" w:type="dxa"/>
            <w:vAlign w:val="bottom"/>
          </w:tcPr>
          <w:p w:rsidR="00C20988" w:rsidRPr="00756BB2" w:rsidRDefault="00C20988" w:rsidP="00396EC8">
            <w:pPr>
              <w:spacing w:before="20" w:after="20"/>
              <w:ind w:left="72" w:right="-108"/>
              <w:rPr>
                <w:sz w:val="22"/>
                <w:szCs w:val="22"/>
              </w:rPr>
            </w:pPr>
            <w:r>
              <w:rPr>
                <w:sz w:val="22"/>
                <w:szCs w:val="22"/>
              </w:rPr>
              <w:t>7</w:t>
            </w:r>
            <w:r w:rsidRPr="00756BB2">
              <w:rPr>
                <w:sz w:val="22"/>
                <w:szCs w:val="22"/>
              </w:rPr>
              <w:t>.</w:t>
            </w:r>
          </w:p>
        </w:tc>
        <w:tc>
          <w:tcPr>
            <w:tcW w:w="5046" w:type="dxa"/>
            <w:vAlign w:val="bottom"/>
          </w:tcPr>
          <w:p w:rsidR="00C20988" w:rsidRPr="005A6BF4" w:rsidRDefault="00C20988" w:rsidP="00AF27AD">
            <w:pPr>
              <w:spacing w:before="20" w:after="20"/>
              <w:ind w:left="72"/>
              <w:rPr>
                <w:sz w:val="22"/>
                <w:szCs w:val="22"/>
              </w:rPr>
            </w:pPr>
            <w:r w:rsidRPr="005A6BF4">
              <w:rPr>
                <w:sz w:val="22"/>
                <w:szCs w:val="22"/>
              </w:rPr>
              <w:t>Расходы по организации налично</w:t>
            </w:r>
            <w:r>
              <w:rPr>
                <w:sz w:val="22"/>
                <w:szCs w:val="22"/>
              </w:rPr>
              <w:t xml:space="preserve">го </w:t>
            </w:r>
            <w:r w:rsidRPr="005A6BF4">
              <w:rPr>
                <w:sz w:val="22"/>
                <w:szCs w:val="22"/>
              </w:rPr>
              <w:t>денежного обращения</w:t>
            </w:r>
          </w:p>
        </w:tc>
        <w:tc>
          <w:tcPr>
            <w:tcW w:w="1417" w:type="dxa"/>
            <w:vAlign w:val="bottom"/>
          </w:tcPr>
          <w:p w:rsidR="00C20988" w:rsidRPr="005A6BF4" w:rsidRDefault="00C20988" w:rsidP="00AF27AD">
            <w:pPr>
              <w:spacing w:before="20" w:after="20"/>
              <w:jc w:val="right"/>
              <w:rPr>
                <w:sz w:val="22"/>
                <w:szCs w:val="22"/>
              </w:rPr>
            </w:pPr>
            <w:r>
              <w:rPr>
                <w:sz w:val="22"/>
                <w:szCs w:val="22"/>
              </w:rPr>
              <w:t>7 215</w:t>
            </w:r>
          </w:p>
        </w:tc>
        <w:tc>
          <w:tcPr>
            <w:tcW w:w="1417" w:type="dxa"/>
            <w:vAlign w:val="bottom"/>
          </w:tcPr>
          <w:p w:rsidR="00C20988" w:rsidRPr="005A6BF4" w:rsidRDefault="00C20988" w:rsidP="00AF27AD">
            <w:pPr>
              <w:jc w:val="right"/>
              <w:rPr>
                <w:sz w:val="22"/>
                <w:szCs w:val="22"/>
              </w:rPr>
            </w:pPr>
            <w:r>
              <w:rPr>
                <w:sz w:val="22"/>
                <w:szCs w:val="22"/>
              </w:rPr>
              <w:t>6 705</w:t>
            </w:r>
          </w:p>
        </w:tc>
        <w:tc>
          <w:tcPr>
            <w:tcW w:w="1417" w:type="dxa"/>
            <w:vAlign w:val="bottom"/>
          </w:tcPr>
          <w:p w:rsidR="00C20988" w:rsidRPr="005A6BF4" w:rsidRDefault="00C20988" w:rsidP="00AF27AD">
            <w:pPr>
              <w:ind w:right="-20"/>
              <w:jc w:val="right"/>
              <w:rPr>
                <w:sz w:val="22"/>
                <w:szCs w:val="22"/>
              </w:rPr>
            </w:pPr>
            <w:r>
              <w:rPr>
                <w:sz w:val="22"/>
                <w:szCs w:val="22"/>
              </w:rPr>
              <w:t>92,9</w:t>
            </w:r>
          </w:p>
        </w:tc>
      </w:tr>
      <w:tr w:rsidR="00C20988" w:rsidRPr="005A6BF4" w:rsidTr="00AF27AD">
        <w:trPr>
          <w:trHeight w:val="70"/>
        </w:trPr>
        <w:tc>
          <w:tcPr>
            <w:tcW w:w="640" w:type="dxa"/>
            <w:vAlign w:val="bottom"/>
          </w:tcPr>
          <w:p w:rsidR="00C20988" w:rsidRPr="00756BB2" w:rsidRDefault="00C20988" w:rsidP="00396EC8">
            <w:pPr>
              <w:spacing w:before="20" w:after="20"/>
              <w:ind w:left="72" w:right="-108"/>
              <w:rPr>
                <w:sz w:val="22"/>
                <w:szCs w:val="22"/>
              </w:rPr>
            </w:pPr>
            <w:r w:rsidRPr="00756BB2">
              <w:rPr>
                <w:sz w:val="22"/>
                <w:szCs w:val="22"/>
              </w:rPr>
              <w:t>8.</w:t>
            </w:r>
          </w:p>
        </w:tc>
        <w:tc>
          <w:tcPr>
            <w:tcW w:w="5046" w:type="dxa"/>
            <w:vAlign w:val="bottom"/>
          </w:tcPr>
          <w:p w:rsidR="00C20988" w:rsidRPr="005A6BF4" w:rsidRDefault="00C20988" w:rsidP="00AF27AD">
            <w:pPr>
              <w:spacing w:before="20" w:after="20"/>
              <w:ind w:left="72"/>
              <w:rPr>
                <w:sz w:val="22"/>
                <w:szCs w:val="22"/>
              </w:rPr>
            </w:pPr>
            <w:r w:rsidRPr="005A6BF4">
              <w:rPr>
                <w:sz w:val="22"/>
                <w:szCs w:val="22"/>
              </w:rPr>
              <w:t xml:space="preserve">Прочие расходы, </w:t>
            </w:r>
            <w:r>
              <w:rPr>
                <w:sz w:val="22"/>
                <w:szCs w:val="22"/>
              </w:rPr>
              <w:t>в том числе</w:t>
            </w:r>
            <w:r w:rsidRPr="005A6BF4">
              <w:rPr>
                <w:sz w:val="22"/>
                <w:szCs w:val="22"/>
              </w:rPr>
              <w:t>:</w:t>
            </w:r>
          </w:p>
        </w:tc>
        <w:tc>
          <w:tcPr>
            <w:tcW w:w="1417" w:type="dxa"/>
            <w:vAlign w:val="bottom"/>
          </w:tcPr>
          <w:p w:rsidR="00C20988" w:rsidRPr="005A6BF4" w:rsidRDefault="00C20988" w:rsidP="00AF27AD">
            <w:pPr>
              <w:widowControl w:val="0"/>
              <w:spacing w:line="200" w:lineRule="exact"/>
              <w:jc w:val="right"/>
              <w:rPr>
                <w:sz w:val="22"/>
                <w:szCs w:val="22"/>
              </w:rPr>
            </w:pPr>
            <w:r>
              <w:rPr>
                <w:sz w:val="22"/>
                <w:szCs w:val="22"/>
              </w:rPr>
              <w:t xml:space="preserve">41 343 </w:t>
            </w:r>
          </w:p>
        </w:tc>
        <w:tc>
          <w:tcPr>
            <w:tcW w:w="1417" w:type="dxa"/>
            <w:vAlign w:val="bottom"/>
          </w:tcPr>
          <w:p w:rsidR="00C20988" w:rsidRPr="005A6BF4" w:rsidRDefault="00C20988" w:rsidP="00AF27AD">
            <w:pPr>
              <w:widowControl w:val="0"/>
              <w:spacing w:line="200" w:lineRule="exact"/>
              <w:jc w:val="right"/>
              <w:rPr>
                <w:sz w:val="22"/>
                <w:szCs w:val="22"/>
              </w:rPr>
            </w:pPr>
            <w:r>
              <w:rPr>
                <w:sz w:val="22"/>
                <w:szCs w:val="22"/>
              </w:rPr>
              <w:t>39 415</w:t>
            </w:r>
          </w:p>
        </w:tc>
        <w:tc>
          <w:tcPr>
            <w:tcW w:w="1417" w:type="dxa"/>
            <w:vAlign w:val="bottom"/>
          </w:tcPr>
          <w:p w:rsidR="00C20988" w:rsidRPr="005A6BF4" w:rsidRDefault="00C20988" w:rsidP="00AF27AD">
            <w:pPr>
              <w:widowControl w:val="0"/>
              <w:spacing w:line="200" w:lineRule="exact"/>
              <w:ind w:right="-20"/>
              <w:jc w:val="right"/>
              <w:rPr>
                <w:sz w:val="22"/>
                <w:szCs w:val="22"/>
              </w:rPr>
            </w:pPr>
            <w:r>
              <w:rPr>
                <w:sz w:val="22"/>
                <w:szCs w:val="22"/>
              </w:rPr>
              <w:t>95,3</w:t>
            </w:r>
          </w:p>
        </w:tc>
      </w:tr>
      <w:tr w:rsidR="00C20988" w:rsidRPr="005A6BF4" w:rsidTr="00AF27AD">
        <w:trPr>
          <w:trHeight w:val="70"/>
        </w:trPr>
        <w:tc>
          <w:tcPr>
            <w:tcW w:w="640" w:type="dxa"/>
            <w:vAlign w:val="bottom"/>
          </w:tcPr>
          <w:p w:rsidR="00C20988" w:rsidRPr="00756BB2" w:rsidRDefault="00C20988" w:rsidP="00396EC8">
            <w:pPr>
              <w:spacing w:before="20" w:after="20"/>
              <w:ind w:left="34" w:right="-108"/>
              <w:rPr>
                <w:sz w:val="22"/>
                <w:szCs w:val="22"/>
              </w:rPr>
            </w:pPr>
            <w:r w:rsidRPr="00756BB2">
              <w:rPr>
                <w:sz w:val="22"/>
                <w:szCs w:val="22"/>
              </w:rPr>
              <w:t>8.1.</w:t>
            </w:r>
          </w:p>
        </w:tc>
        <w:tc>
          <w:tcPr>
            <w:tcW w:w="5046" w:type="dxa"/>
            <w:vAlign w:val="bottom"/>
          </w:tcPr>
          <w:p w:rsidR="00C20988" w:rsidRPr="005A6BF4" w:rsidRDefault="00C20988" w:rsidP="00AF27AD">
            <w:pPr>
              <w:spacing w:before="20" w:after="20"/>
              <w:ind w:left="34" w:right="-108"/>
              <w:rPr>
                <w:sz w:val="22"/>
                <w:szCs w:val="22"/>
              </w:rPr>
            </w:pPr>
            <w:r w:rsidRPr="005A6BF4">
              <w:rPr>
                <w:sz w:val="22"/>
                <w:szCs w:val="22"/>
              </w:rPr>
              <w:t xml:space="preserve"> административно-хозяйственные расходы</w:t>
            </w:r>
          </w:p>
        </w:tc>
        <w:tc>
          <w:tcPr>
            <w:tcW w:w="1417" w:type="dxa"/>
            <w:vAlign w:val="bottom"/>
          </w:tcPr>
          <w:p w:rsidR="00C20988" w:rsidRPr="005A6BF4" w:rsidRDefault="00C20988" w:rsidP="00AF27AD">
            <w:pPr>
              <w:widowControl w:val="0"/>
              <w:spacing w:line="200" w:lineRule="exact"/>
              <w:jc w:val="right"/>
              <w:rPr>
                <w:sz w:val="22"/>
                <w:szCs w:val="22"/>
              </w:rPr>
            </w:pPr>
            <w:r>
              <w:rPr>
                <w:sz w:val="22"/>
                <w:szCs w:val="22"/>
              </w:rPr>
              <w:t>10 837</w:t>
            </w:r>
          </w:p>
        </w:tc>
        <w:tc>
          <w:tcPr>
            <w:tcW w:w="1417" w:type="dxa"/>
            <w:vAlign w:val="bottom"/>
          </w:tcPr>
          <w:p w:rsidR="00C20988" w:rsidRPr="005A6BF4" w:rsidRDefault="00C20988" w:rsidP="00AF27AD">
            <w:pPr>
              <w:widowControl w:val="0"/>
              <w:spacing w:line="200" w:lineRule="exact"/>
              <w:jc w:val="right"/>
              <w:rPr>
                <w:sz w:val="22"/>
                <w:szCs w:val="22"/>
              </w:rPr>
            </w:pPr>
            <w:r>
              <w:rPr>
                <w:sz w:val="22"/>
                <w:szCs w:val="22"/>
              </w:rPr>
              <w:t>10 017</w:t>
            </w:r>
          </w:p>
        </w:tc>
        <w:tc>
          <w:tcPr>
            <w:tcW w:w="1417" w:type="dxa"/>
            <w:vAlign w:val="bottom"/>
          </w:tcPr>
          <w:p w:rsidR="00C20988" w:rsidRPr="005A6BF4" w:rsidRDefault="00C20988" w:rsidP="00AF27AD">
            <w:pPr>
              <w:widowControl w:val="0"/>
              <w:spacing w:line="200" w:lineRule="exact"/>
              <w:ind w:right="-20"/>
              <w:jc w:val="right"/>
              <w:rPr>
                <w:sz w:val="22"/>
                <w:szCs w:val="22"/>
              </w:rPr>
            </w:pPr>
            <w:r>
              <w:rPr>
                <w:sz w:val="22"/>
                <w:szCs w:val="22"/>
              </w:rPr>
              <w:t>92,4</w:t>
            </w:r>
          </w:p>
        </w:tc>
      </w:tr>
      <w:tr w:rsidR="00C20988" w:rsidRPr="005A6BF4" w:rsidTr="00AF27AD">
        <w:trPr>
          <w:trHeight w:val="131"/>
        </w:trPr>
        <w:tc>
          <w:tcPr>
            <w:tcW w:w="640" w:type="dxa"/>
            <w:vAlign w:val="bottom"/>
          </w:tcPr>
          <w:p w:rsidR="00C20988" w:rsidRPr="00756BB2" w:rsidRDefault="00C20988" w:rsidP="00396EC8">
            <w:pPr>
              <w:tabs>
                <w:tab w:val="num" w:pos="432"/>
              </w:tabs>
              <w:spacing w:before="20" w:after="20"/>
              <w:ind w:left="34" w:right="-108"/>
              <w:rPr>
                <w:sz w:val="22"/>
                <w:szCs w:val="22"/>
              </w:rPr>
            </w:pPr>
            <w:r w:rsidRPr="00756BB2">
              <w:rPr>
                <w:sz w:val="22"/>
                <w:szCs w:val="22"/>
              </w:rPr>
              <w:t>8.2.</w:t>
            </w:r>
          </w:p>
        </w:tc>
        <w:tc>
          <w:tcPr>
            <w:tcW w:w="5046" w:type="dxa"/>
            <w:vAlign w:val="bottom"/>
          </w:tcPr>
          <w:p w:rsidR="00C20988" w:rsidRPr="005A6BF4" w:rsidRDefault="00C20988" w:rsidP="00AF27AD">
            <w:pPr>
              <w:tabs>
                <w:tab w:val="num" w:pos="432"/>
              </w:tabs>
              <w:spacing w:before="20" w:after="20"/>
              <w:ind w:left="34" w:right="-108"/>
              <w:rPr>
                <w:sz w:val="22"/>
                <w:szCs w:val="22"/>
              </w:rPr>
            </w:pPr>
            <w:r>
              <w:rPr>
                <w:sz w:val="22"/>
                <w:szCs w:val="22"/>
              </w:rPr>
              <w:t xml:space="preserve"> </w:t>
            </w:r>
            <w:r w:rsidRPr="005A6BF4">
              <w:rPr>
                <w:sz w:val="22"/>
                <w:szCs w:val="22"/>
              </w:rPr>
              <w:t>расходы на содержание служащих</w:t>
            </w:r>
            <w:r>
              <w:rPr>
                <w:sz w:val="22"/>
                <w:szCs w:val="22"/>
              </w:rPr>
              <w:t xml:space="preserve"> </w:t>
            </w:r>
          </w:p>
        </w:tc>
        <w:tc>
          <w:tcPr>
            <w:tcW w:w="1417" w:type="dxa"/>
            <w:vAlign w:val="bottom"/>
          </w:tcPr>
          <w:p w:rsidR="00C20988" w:rsidRPr="005A6BF4" w:rsidRDefault="00C20988" w:rsidP="00AF27AD">
            <w:pPr>
              <w:widowControl w:val="0"/>
              <w:spacing w:line="200" w:lineRule="exact"/>
              <w:jc w:val="right"/>
              <w:rPr>
                <w:sz w:val="22"/>
                <w:szCs w:val="22"/>
              </w:rPr>
            </w:pPr>
            <w:r>
              <w:rPr>
                <w:sz w:val="22"/>
                <w:szCs w:val="22"/>
              </w:rPr>
              <w:t>28 900</w:t>
            </w:r>
          </w:p>
        </w:tc>
        <w:tc>
          <w:tcPr>
            <w:tcW w:w="1417" w:type="dxa"/>
            <w:vAlign w:val="bottom"/>
          </w:tcPr>
          <w:p w:rsidR="00C20988" w:rsidRPr="005A6BF4" w:rsidRDefault="00C20988" w:rsidP="00AF27AD">
            <w:pPr>
              <w:widowControl w:val="0"/>
              <w:spacing w:line="200" w:lineRule="exact"/>
              <w:jc w:val="right"/>
              <w:rPr>
                <w:sz w:val="22"/>
                <w:szCs w:val="22"/>
              </w:rPr>
            </w:pPr>
            <w:r>
              <w:rPr>
                <w:sz w:val="22"/>
                <w:szCs w:val="22"/>
              </w:rPr>
              <w:t>28 900</w:t>
            </w:r>
          </w:p>
        </w:tc>
        <w:tc>
          <w:tcPr>
            <w:tcW w:w="1417" w:type="dxa"/>
            <w:vAlign w:val="bottom"/>
          </w:tcPr>
          <w:p w:rsidR="00C20988" w:rsidRPr="005A6BF4" w:rsidRDefault="00C20988" w:rsidP="00AF27AD">
            <w:pPr>
              <w:widowControl w:val="0"/>
              <w:spacing w:line="200" w:lineRule="exact"/>
              <w:ind w:right="-20"/>
              <w:jc w:val="right"/>
              <w:rPr>
                <w:sz w:val="22"/>
                <w:szCs w:val="22"/>
              </w:rPr>
            </w:pPr>
            <w:r>
              <w:rPr>
                <w:sz w:val="22"/>
                <w:szCs w:val="22"/>
              </w:rPr>
              <w:t>100,0</w:t>
            </w:r>
          </w:p>
        </w:tc>
      </w:tr>
      <w:tr w:rsidR="00C20988" w:rsidRPr="005A6BF4" w:rsidTr="00AF27AD">
        <w:trPr>
          <w:trHeight w:val="131"/>
        </w:trPr>
        <w:tc>
          <w:tcPr>
            <w:tcW w:w="640" w:type="dxa"/>
            <w:vAlign w:val="bottom"/>
          </w:tcPr>
          <w:p w:rsidR="00C20988" w:rsidRPr="00756BB2" w:rsidRDefault="00C20988" w:rsidP="00396EC8">
            <w:pPr>
              <w:tabs>
                <w:tab w:val="num" w:pos="432"/>
              </w:tabs>
              <w:spacing w:before="20" w:after="20"/>
              <w:ind w:left="34" w:right="-108"/>
              <w:rPr>
                <w:sz w:val="22"/>
                <w:szCs w:val="22"/>
              </w:rPr>
            </w:pPr>
            <w:r w:rsidRPr="00756BB2">
              <w:rPr>
                <w:sz w:val="22"/>
                <w:szCs w:val="22"/>
              </w:rPr>
              <w:t>8.3.</w:t>
            </w:r>
          </w:p>
        </w:tc>
        <w:tc>
          <w:tcPr>
            <w:tcW w:w="5046" w:type="dxa"/>
            <w:vAlign w:val="bottom"/>
          </w:tcPr>
          <w:p w:rsidR="00C20988" w:rsidRPr="005A6BF4" w:rsidRDefault="00C20988" w:rsidP="00AF27AD">
            <w:pPr>
              <w:tabs>
                <w:tab w:val="num" w:pos="432"/>
              </w:tabs>
              <w:spacing w:before="20" w:after="20"/>
              <w:ind w:left="34" w:right="-108"/>
              <w:rPr>
                <w:sz w:val="22"/>
                <w:szCs w:val="22"/>
              </w:rPr>
            </w:pPr>
            <w:r w:rsidRPr="005A6BF4">
              <w:rPr>
                <w:sz w:val="22"/>
                <w:szCs w:val="22"/>
              </w:rPr>
              <w:t xml:space="preserve"> другие расходы</w:t>
            </w:r>
          </w:p>
        </w:tc>
        <w:tc>
          <w:tcPr>
            <w:tcW w:w="1417" w:type="dxa"/>
            <w:vAlign w:val="bottom"/>
          </w:tcPr>
          <w:p w:rsidR="00C20988" w:rsidRPr="005A6BF4" w:rsidRDefault="00C20988" w:rsidP="00AF27AD">
            <w:pPr>
              <w:widowControl w:val="0"/>
              <w:spacing w:line="200" w:lineRule="exact"/>
              <w:jc w:val="right"/>
              <w:rPr>
                <w:sz w:val="22"/>
                <w:szCs w:val="22"/>
              </w:rPr>
            </w:pPr>
            <w:r>
              <w:rPr>
                <w:sz w:val="22"/>
                <w:szCs w:val="22"/>
              </w:rPr>
              <w:t>1 606</w:t>
            </w:r>
          </w:p>
        </w:tc>
        <w:tc>
          <w:tcPr>
            <w:tcW w:w="1417" w:type="dxa"/>
            <w:vAlign w:val="bottom"/>
          </w:tcPr>
          <w:p w:rsidR="00C20988" w:rsidRPr="005A6BF4" w:rsidRDefault="00C20988" w:rsidP="00AF27AD">
            <w:pPr>
              <w:widowControl w:val="0"/>
              <w:spacing w:line="200" w:lineRule="exact"/>
              <w:jc w:val="right"/>
              <w:rPr>
                <w:sz w:val="22"/>
                <w:szCs w:val="22"/>
              </w:rPr>
            </w:pPr>
            <w:r>
              <w:rPr>
                <w:sz w:val="22"/>
                <w:szCs w:val="22"/>
              </w:rPr>
              <w:t>498</w:t>
            </w:r>
          </w:p>
        </w:tc>
        <w:tc>
          <w:tcPr>
            <w:tcW w:w="1417" w:type="dxa"/>
            <w:vAlign w:val="bottom"/>
          </w:tcPr>
          <w:p w:rsidR="00C20988" w:rsidRPr="005A6BF4" w:rsidRDefault="00C20988" w:rsidP="00AF27AD">
            <w:pPr>
              <w:widowControl w:val="0"/>
              <w:spacing w:line="200" w:lineRule="exact"/>
              <w:ind w:right="-20"/>
              <w:jc w:val="right"/>
              <w:rPr>
                <w:sz w:val="22"/>
                <w:szCs w:val="22"/>
              </w:rPr>
            </w:pPr>
            <w:r>
              <w:rPr>
                <w:sz w:val="22"/>
                <w:szCs w:val="22"/>
              </w:rPr>
              <w:t>31,0</w:t>
            </w:r>
          </w:p>
        </w:tc>
      </w:tr>
      <w:tr w:rsidR="00C20988" w:rsidRPr="005A6BF4" w:rsidTr="00AF27AD">
        <w:trPr>
          <w:trHeight w:val="70"/>
        </w:trPr>
        <w:tc>
          <w:tcPr>
            <w:tcW w:w="640" w:type="dxa"/>
            <w:shd w:val="clear" w:color="auto" w:fill="CCCCCC"/>
            <w:vAlign w:val="bottom"/>
          </w:tcPr>
          <w:p w:rsidR="00C20988" w:rsidRPr="00396EC8" w:rsidRDefault="00C20988" w:rsidP="00396EC8">
            <w:pPr>
              <w:pStyle w:val="Heading6"/>
              <w:spacing w:before="20" w:after="20"/>
              <w:ind w:right="-108" w:firstLine="0"/>
              <w:jc w:val="left"/>
              <w:rPr>
                <w:rFonts w:ascii="Times New Roman" w:hAnsi="Times New Roman" w:cs="Times New Roman"/>
                <w:b/>
                <w:bCs/>
                <w:i w:val="0"/>
                <w:iCs w:val="0"/>
                <w:sz w:val="22"/>
                <w:szCs w:val="22"/>
              </w:rPr>
            </w:pPr>
            <w:r w:rsidRPr="00396EC8">
              <w:rPr>
                <w:rFonts w:ascii="Times New Roman" w:hAnsi="Times New Roman" w:cs="Times New Roman"/>
                <w:b/>
                <w:bCs/>
                <w:i w:val="0"/>
                <w:iCs w:val="0"/>
                <w:sz w:val="22"/>
                <w:szCs w:val="22"/>
              </w:rPr>
              <w:t>9.</w:t>
            </w:r>
          </w:p>
        </w:tc>
        <w:tc>
          <w:tcPr>
            <w:tcW w:w="5046" w:type="dxa"/>
            <w:shd w:val="clear" w:color="auto" w:fill="CCCCCC"/>
            <w:vAlign w:val="bottom"/>
          </w:tcPr>
          <w:p w:rsidR="00C20988" w:rsidRPr="00396EC8" w:rsidRDefault="00C20988" w:rsidP="00396EC8">
            <w:pPr>
              <w:pStyle w:val="Heading6"/>
              <w:spacing w:before="20" w:after="20"/>
              <w:ind w:right="-108" w:firstLine="0"/>
              <w:jc w:val="left"/>
              <w:rPr>
                <w:b/>
                <w:sz w:val="22"/>
                <w:szCs w:val="22"/>
              </w:rPr>
            </w:pPr>
            <w:r w:rsidRPr="00396EC8">
              <w:rPr>
                <w:rFonts w:ascii="Times New Roman" w:hAnsi="Times New Roman" w:cs="Times New Roman"/>
                <w:b/>
                <w:i w:val="0"/>
                <w:iCs w:val="0"/>
                <w:sz w:val="22"/>
                <w:szCs w:val="22"/>
              </w:rPr>
              <w:t>Итого расходов</w:t>
            </w:r>
          </w:p>
        </w:tc>
        <w:tc>
          <w:tcPr>
            <w:tcW w:w="1417" w:type="dxa"/>
            <w:shd w:val="clear" w:color="auto" w:fill="CCCCCC"/>
            <w:vAlign w:val="bottom"/>
          </w:tcPr>
          <w:p w:rsidR="00C20988" w:rsidRPr="005A6BF4" w:rsidRDefault="00C20988" w:rsidP="00AF27AD">
            <w:pPr>
              <w:spacing w:before="20" w:after="20"/>
              <w:jc w:val="right"/>
              <w:rPr>
                <w:b/>
                <w:bCs/>
                <w:sz w:val="22"/>
                <w:szCs w:val="22"/>
              </w:rPr>
            </w:pPr>
            <w:r>
              <w:rPr>
                <w:b/>
                <w:bCs/>
                <w:sz w:val="22"/>
                <w:szCs w:val="22"/>
              </w:rPr>
              <w:t>48 571</w:t>
            </w:r>
          </w:p>
        </w:tc>
        <w:tc>
          <w:tcPr>
            <w:tcW w:w="1417" w:type="dxa"/>
            <w:shd w:val="clear" w:color="auto" w:fill="CCCCCC"/>
            <w:vAlign w:val="bottom"/>
          </w:tcPr>
          <w:p w:rsidR="00C20988" w:rsidRPr="005A6BF4" w:rsidRDefault="00C20988" w:rsidP="00AF27AD">
            <w:pPr>
              <w:jc w:val="right"/>
              <w:rPr>
                <w:b/>
                <w:bCs/>
                <w:sz w:val="22"/>
                <w:szCs w:val="22"/>
              </w:rPr>
            </w:pPr>
            <w:r>
              <w:rPr>
                <w:b/>
                <w:bCs/>
                <w:sz w:val="22"/>
                <w:szCs w:val="22"/>
              </w:rPr>
              <w:t>46 125</w:t>
            </w:r>
          </w:p>
        </w:tc>
        <w:tc>
          <w:tcPr>
            <w:tcW w:w="1417" w:type="dxa"/>
            <w:shd w:val="clear" w:color="auto" w:fill="CCCCCC"/>
            <w:vAlign w:val="bottom"/>
          </w:tcPr>
          <w:p w:rsidR="00C20988" w:rsidRPr="005A6BF4" w:rsidRDefault="00C20988" w:rsidP="00AF27AD">
            <w:pPr>
              <w:ind w:right="-20"/>
              <w:jc w:val="right"/>
              <w:rPr>
                <w:b/>
                <w:bCs/>
                <w:sz w:val="22"/>
                <w:szCs w:val="22"/>
              </w:rPr>
            </w:pPr>
            <w:r>
              <w:rPr>
                <w:b/>
                <w:bCs/>
                <w:sz w:val="22"/>
                <w:szCs w:val="22"/>
              </w:rPr>
              <w:t>95,0</w:t>
            </w:r>
          </w:p>
        </w:tc>
      </w:tr>
      <w:tr w:rsidR="00C20988" w:rsidRPr="005A6BF4" w:rsidTr="00AF27AD">
        <w:trPr>
          <w:trHeight w:val="70"/>
        </w:trPr>
        <w:tc>
          <w:tcPr>
            <w:tcW w:w="640" w:type="dxa"/>
            <w:shd w:val="clear" w:color="auto" w:fill="CCCCCC"/>
            <w:vAlign w:val="bottom"/>
          </w:tcPr>
          <w:p w:rsidR="00C20988" w:rsidRPr="00396EC8" w:rsidRDefault="00C20988" w:rsidP="00396EC8">
            <w:pPr>
              <w:pStyle w:val="Heading6"/>
              <w:spacing w:before="20" w:after="20"/>
              <w:ind w:right="-108" w:firstLine="0"/>
              <w:jc w:val="left"/>
              <w:rPr>
                <w:rFonts w:ascii="Times New Roman" w:hAnsi="Times New Roman" w:cs="Times New Roman"/>
                <w:b/>
                <w:i w:val="0"/>
                <w:iCs w:val="0"/>
                <w:sz w:val="22"/>
                <w:szCs w:val="22"/>
              </w:rPr>
            </w:pPr>
            <w:r w:rsidRPr="00396EC8">
              <w:rPr>
                <w:rFonts w:ascii="Times New Roman" w:hAnsi="Times New Roman" w:cs="Times New Roman"/>
                <w:b/>
                <w:i w:val="0"/>
                <w:iCs w:val="0"/>
                <w:sz w:val="22"/>
                <w:szCs w:val="22"/>
                <w:lang w:val="en-US"/>
              </w:rPr>
              <w:t>III</w:t>
            </w:r>
          </w:p>
        </w:tc>
        <w:tc>
          <w:tcPr>
            <w:tcW w:w="5046" w:type="dxa"/>
            <w:shd w:val="clear" w:color="auto" w:fill="CCCCCC"/>
            <w:vAlign w:val="bottom"/>
          </w:tcPr>
          <w:p w:rsidR="00C20988" w:rsidRPr="00396EC8" w:rsidRDefault="00C20988" w:rsidP="00396EC8">
            <w:pPr>
              <w:pStyle w:val="Heading6"/>
              <w:tabs>
                <w:tab w:val="left" w:pos="34"/>
              </w:tabs>
              <w:spacing w:before="20" w:after="20"/>
              <w:ind w:right="-108" w:firstLine="0"/>
              <w:jc w:val="left"/>
              <w:rPr>
                <w:b/>
                <w:sz w:val="22"/>
                <w:szCs w:val="22"/>
              </w:rPr>
            </w:pPr>
            <w:r w:rsidRPr="00396EC8">
              <w:rPr>
                <w:rFonts w:ascii="Times New Roman" w:hAnsi="Times New Roman" w:cs="Times New Roman"/>
                <w:b/>
                <w:i w:val="0"/>
                <w:iCs w:val="0"/>
                <w:sz w:val="22"/>
                <w:szCs w:val="22"/>
              </w:rPr>
              <w:t>БАЛАНСОВАЯ ПРИБЫЛЬ (УБЫТОК)</w:t>
            </w:r>
          </w:p>
        </w:tc>
        <w:tc>
          <w:tcPr>
            <w:tcW w:w="1417" w:type="dxa"/>
            <w:shd w:val="clear" w:color="auto" w:fill="CCCCCC"/>
            <w:vAlign w:val="bottom"/>
          </w:tcPr>
          <w:p w:rsidR="00C20988" w:rsidRPr="005A6BF4" w:rsidRDefault="00C20988" w:rsidP="00AF27AD">
            <w:pPr>
              <w:jc w:val="right"/>
              <w:rPr>
                <w:b/>
                <w:bCs/>
                <w:sz w:val="22"/>
                <w:szCs w:val="22"/>
              </w:rPr>
            </w:pPr>
            <w:r>
              <w:rPr>
                <w:b/>
                <w:bCs/>
                <w:sz w:val="22"/>
                <w:szCs w:val="22"/>
              </w:rPr>
              <w:t>20 479</w:t>
            </w:r>
          </w:p>
        </w:tc>
        <w:tc>
          <w:tcPr>
            <w:tcW w:w="1417" w:type="dxa"/>
            <w:shd w:val="clear" w:color="auto" w:fill="CCCCCC"/>
            <w:vAlign w:val="bottom"/>
          </w:tcPr>
          <w:p w:rsidR="00C20988" w:rsidRPr="005A6BF4" w:rsidRDefault="00C20988" w:rsidP="00AF27AD">
            <w:pPr>
              <w:jc w:val="right"/>
              <w:rPr>
                <w:b/>
                <w:bCs/>
                <w:sz w:val="22"/>
                <w:szCs w:val="22"/>
              </w:rPr>
            </w:pPr>
            <w:r>
              <w:rPr>
                <w:b/>
                <w:bCs/>
                <w:sz w:val="22"/>
                <w:szCs w:val="22"/>
              </w:rPr>
              <w:t>35 740</w:t>
            </w:r>
          </w:p>
        </w:tc>
        <w:tc>
          <w:tcPr>
            <w:tcW w:w="1417" w:type="dxa"/>
            <w:shd w:val="clear" w:color="auto" w:fill="CCCCCC"/>
            <w:vAlign w:val="bottom"/>
          </w:tcPr>
          <w:p w:rsidR="00C20988" w:rsidRPr="005A6BF4" w:rsidRDefault="00C20988" w:rsidP="00AF27AD">
            <w:pPr>
              <w:ind w:right="-20"/>
              <w:jc w:val="right"/>
              <w:rPr>
                <w:b/>
                <w:bCs/>
                <w:sz w:val="22"/>
                <w:szCs w:val="22"/>
              </w:rPr>
            </w:pPr>
            <w:r>
              <w:rPr>
                <w:b/>
                <w:bCs/>
                <w:sz w:val="22"/>
                <w:szCs w:val="22"/>
              </w:rPr>
              <w:t>174,5</w:t>
            </w:r>
          </w:p>
        </w:tc>
      </w:tr>
    </w:tbl>
    <w:p w:rsidR="00C20988" w:rsidRPr="005A6BF4" w:rsidRDefault="00C20988" w:rsidP="00396EC8">
      <w:pPr>
        <w:jc w:val="center"/>
        <w:rPr>
          <w:sz w:val="22"/>
          <w:szCs w:val="22"/>
        </w:rPr>
      </w:pPr>
    </w:p>
    <w:p w:rsidR="00C20988" w:rsidRPr="005A6BF4" w:rsidRDefault="00C20988" w:rsidP="00396EC8">
      <w:pPr>
        <w:jc w:val="center"/>
        <w:rPr>
          <w:sz w:val="22"/>
          <w:szCs w:val="22"/>
        </w:rPr>
      </w:pPr>
    </w:p>
    <w:p w:rsidR="00C20988" w:rsidRDefault="00C20988" w:rsidP="00396EC8">
      <w:pPr>
        <w:rPr>
          <w:sz w:val="24"/>
          <w:szCs w:val="24"/>
          <w:lang w:val="en-US"/>
        </w:rPr>
      </w:pPr>
    </w:p>
    <w:p w:rsidR="00C20988" w:rsidRDefault="00C20988" w:rsidP="00396EC8">
      <w:pPr>
        <w:rPr>
          <w:sz w:val="24"/>
          <w:szCs w:val="24"/>
        </w:rPr>
      </w:pPr>
      <w:r>
        <w:rPr>
          <w:sz w:val="24"/>
          <w:szCs w:val="24"/>
        </w:rPr>
        <w:t>П</w:t>
      </w:r>
      <w:r w:rsidRPr="000A4E36">
        <w:rPr>
          <w:sz w:val="24"/>
          <w:szCs w:val="24"/>
        </w:rPr>
        <w:t>редседател</w:t>
      </w:r>
      <w:r>
        <w:rPr>
          <w:sz w:val="24"/>
          <w:szCs w:val="24"/>
        </w:rPr>
        <w:t>ь</w:t>
      </w:r>
      <w:r w:rsidRPr="000A4E36">
        <w:rPr>
          <w:sz w:val="24"/>
          <w:szCs w:val="24"/>
        </w:rPr>
        <w:t xml:space="preserve">                                                                                      </w:t>
      </w:r>
      <w:r>
        <w:rPr>
          <w:sz w:val="24"/>
          <w:szCs w:val="24"/>
        </w:rPr>
        <w:t xml:space="preserve">  </w:t>
      </w:r>
      <w:r w:rsidRPr="000A4E36">
        <w:rPr>
          <w:sz w:val="24"/>
          <w:szCs w:val="24"/>
        </w:rPr>
        <w:t xml:space="preserve">    </w:t>
      </w:r>
      <w:r>
        <w:rPr>
          <w:sz w:val="24"/>
          <w:szCs w:val="24"/>
        </w:rPr>
        <w:t xml:space="preserve">                </w:t>
      </w:r>
      <w:r w:rsidRPr="000A4E36">
        <w:rPr>
          <w:sz w:val="24"/>
          <w:szCs w:val="24"/>
        </w:rPr>
        <w:t xml:space="preserve">  </w:t>
      </w:r>
      <w:r>
        <w:rPr>
          <w:sz w:val="24"/>
          <w:szCs w:val="24"/>
        </w:rPr>
        <w:t>В</w:t>
      </w:r>
      <w:r w:rsidRPr="007206E3">
        <w:rPr>
          <w:sz w:val="24"/>
          <w:szCs w:val="24"/>
        </w:rPr>
        <w:t>.</w:t>
      </w:r>
      <w:r>
        <w:rPr>
          <w:sz w:val="24"/>
          <w:szCs w:val="24"/>
        </w:rPr>
        <w:t>С</w:t>
      </w:r>
      <w:r w:rsidRPr="007206E3">
        <w:rPr>
          <w:sz w:val="24"/>
          <w:szCs w:val="24"/>
        </w:rPr>
        <w:t>.</w:t>
      </w:r>
      <w:r>
        <w:rPr>
          <w:sz w:val="24"/>
          <w:szCs w:val="24"/>
        </w:rPr>
        <w:t xml:space="preserve"> Тидва</w:t>
      </w:r>
    </w:p>
    <w:p w:rsidR="00C20988" w:rsidRDefault="00C20988" w:rsidP="00396EC8">
      <w:pPr>
        <w:rPr>
          <w:sz w:val="24"/>
          <w:szCs w:val="24"/>
        </w:rPr>
      </w:pPr>
    </w:p>
    <w:p w:rsidR="00C20988" w:rsidRPr="007206E3" w:rsidRDefault="00C20988" w:rsidP="00396EC8">
      <w:pPr>
        <w:rPr>
          <w:sz w:val="24"/>
          <w:szCs w:val="24"/>
        </w:rPr>
      </w:pPr>
    </w:p>
    <w:p w:rsidR="00C20988" w:rsidRPr="007206E3" w:rsidRDefault="00C20988" w:rsidP="00396EC8">
      <w:pPr>
        <w:rPr>
          <w:sz w:val="24"/>
          <w:szCs w:val="24"/>
        </w:rPr>
      </w:pPr>
      <w:r>
        <w:rPr>
          <w:sz w:val="24"/>
          <w:szCs w:val="24"/>
        </w:rPr>
        <w:t>Г</w:t>
      </w:r>
      <w:r w:rsidRPr="007206E3">
        <w:rPr>
          <w:sz w:val="24"/>
          <w:szCs w:val="24"/>
        </w:rPr>
        <w:t xml:space="preserve">лавный бухгалтер                                                                                                </w:t>
      </w:r>
      <w:r>
        <w:rPr>
          <w:sz w:val="24"/>
          <w:szCs w:val="24"/>
        </w:rPr>
        <w:t xml:space="preserve">    </w:t>
      </w:r>
      <w:r w:rsidRPr="007206E3">
        <w:rPr>
          <w:sz w:val="24"/>
          <w:szCs w:val="24"/>
        </w:rPr>
        <w:t xml:space="preserve"> </w:t>
      </w:r>
      <w:r>
        <w:rPr>
          <w:sz w:val="24"/>
          <w:szCs w:val="24"/>
        </w:rPr>
        <w:t>О</w:t>
      </w:r>
      <w:r w:rsidRPr="007206E3">
        <w:rPr>
          <w:sz w:val="24"/>
          <w:szCs w:val="24"/>
        </w:rPr>
        <w:t>.</w:t>
      </w:r>
      <w:r>
        <w:rPr>
          <w:sz w:val="24"/>
          <w:szCs w:val="24"/>
        </w:rPr>
        <w:t>И</w:t>
      </w:r>
      <w:r w:rsidRPr="007206E3">
        <w:rPr>
          <w:sz w:val="24"/>
          <w:szCs w:val="24"/>
        </w:rPr>
        <w:t xml:space="preserve">. </w:t>
      </w:r>
      <w:r>
        <w:rPr>
          <w:sz w:val="24"/>
          <w:szCs w:val="24"/>
        </w:rPr>
        <w:t>Плешко</w:t>
      </w:r>
    </w:p>
    <w:p w:rsidR="00C20988" w:rsidRPr="007B6CC3" w:rsidRDefault="00C20988" w:rsidP="00396EC8">
      <w:pPr>
        <w:jc w:val="center"/>
        <w:rPr>
          <w:sz w:val="24"/>
          <w:szCs w:val="24"/>
        </w:rPr>
      </w:pPr>
    </w:p>
    <w:p w:rsidR="00C20988" w:rsidRPr="000A5B19" w:rsidRDefault="00C20988" w:rsidP="00EC5B2E">
      <w:pPr>
        <w:ind w:firstLine="540"/>
        <w:jc w:val="both"/>
        <w:rPr>
          <w:rStyle w:val="FontStyle11"/>
          <w:sz w:val="25"/>
          <w:szCs w:val="25"/>
        </w:rPr>
      </w:pPr>
      <w:r w:rsidRPr="000A5B19">
        <w:rPr>
          <w:rStyle w:val="FontStyle11"/>
          <w:sz w:val="25"/>
          <w:szCs w:val="25"/>
        </w:rPr>
        <w:t>Примечание.</w:t>
      </w:r>
    </w:p>
    <w:p w:rsidR="00C20988" w:rsidRPr="000A5B19" w:rsidRDefault="00C20988" w:rsidP="00EC5B2E">
      <w:pPr>
        <w:ind w:firstLine="540"/>
        <w:jc w:val="both"/>
        <w:rPr>
          <w:rStyle w:val="FontStyle11"/>
          <w:sz w:val="25"/>
          <w:szCs w:val="25"/>
        </w:rPr>
      </w:pPr>
      <w:r w:rsidRPr="000A5B19">
        <w:rPr>
          <w:rStyle w:val="FontStyle11"/>
          <w:sz w:val="25"/>
          <w:szCs w:val="25"/>
        </w:rPr>
        <w:t>Информация, указанная в настоящем Приложении, изложена в редакции</w:t>
      </w:r>
      <w:r>
        <w:rPr>
          <w:rStyle w:val="FontStyle11"/>
          <w:sz w:val="25"/>
          <w:szCs w:val="25"/>
        </w:rPr>
        <w:t>,</w:t>
      </w:r>
      <w:r w:rsidRPr="000A5B19">
        <w:rPr>
          <w:rStyle w:val="FontStyle11"/>
          <w:sz w:val="25"/>
          <w:szCs w:val="25"/>
        </w:rPr>
        <w:t xml:space="preserve"> представленной </w:t>
      </w:r>
      <w:r w:rsidRPr="000A5B19">
        <w:rPr>
          <w:sz w:val="25"/>
          <w:szCs w:val="25"/>
        </w:rPr>
        <w:t>Приднестровск</w:t>
      </w:r>
      <w:r>
        <w:rPr>
          <w:sz w:val="25"/>
          <w:szCs w:val="25"/>
        </w:rPr>
        <w:t>им</w:t>
      </w:r>
      <w:r w:rsidRPr="000A5B19">
        <w:rPr>
          <w:sz w:val="25"/>
          <w:szCs w:val="25"/>
        </w:rPr>
        <w:t xml:space="preserve"> </w:t>
      </w:r>
      <w:r>
        <w:rPr>
          <w:sz w:val="25"/>
          <w:szCs w:val="25"/>
        </w:rPr>
        <w:t>р</w:t>
      </w:r>
      <w:r w:rsidRPr="000A5B19">
        <w:rPr>
          <w:sz w:val="25"/>
          <w:szCs w:val="25"/>
        </w:rPr>
        <w:t>еспублик</w:t>
      </w:r>
      <w:r>
        <w:rPr>
          <w:sz w:val="25"/>
          <w:szCs w:val="25"/>
        </w:rPr>
        <w:t>анским банком</w:t>
      </w:r>
      <w:r w:rsidRPr="000A5B19">
        <w:rPr>
          <w:sz w:val="25"/>
          <w:szCs w:val="25"/>
        </w:rPr>
        <w:t>.</w:t>
      </w:r>
    </w:p>
    <w:p w:rsidR="00C20988" w:rsidRPr="00EC5B2E" w:rsidRDefault="00C20988" w:rsidP="00EC5B2E">
      <w:pPr>
        <w:jc w:val="both"/>
        <w:rPr>
          <w:sz w:val="24"/>
          <w:szCs w:val="24"/>
        </w:rPr>
      </w:pPr>
    </w:p>
    <w:p w:rsidR="00C20988" w:rsidRDefault="00C20988" w:rsidP="00B826DC">
      <w:pPr>
        <w:jc w:val="right"/>
        <w:rPr>
          <w:b/>
          <w:bCs/>
          <w:sz w:val="24"/>
          <w:szCs w:val="24"/>
        </w:rPr>
      </w:pPr>
    </w:p>
    <w:sectPr w:rsidR="00C20988" w:rsidSect="00417B88">
      <w:headerReference w:type="default" r:id="rId11"/>
      <w:footerReference w:type="default" r:id="rId12"/>
      <w:footnotePr>
        <w:numRestart w:val="eachSect"/>
      </w:footnotePr>
      <w:pgSz w:w="11906" w:h="16838" w:code="9"/>
      <w:pgMar w:top="1392" w:right="851" w:bottom="993" w:left="1418" w:header="992" w:footer="449"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988" w:rsidRDefault="00C20988">
      <w:r>
        <w:separator/>
      </w:r>
    </w:p>
  </w:endnote>
  <w:endnote w:type="continuationSeparator" w:id="0">
    <w:p w:rsidR="00C20988" w:rsidRDefault="00C20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eeSetC">
    <w:altName w:val="FreeSetC"/>
    <w:panose1 w:val="00000000000000000000"/>
    <w:charset w:val="CC"/>
    <w:family w:val="auto"/>
    <w:notTrueType/>
    <w:pitch w:val="default"/>
    <w:sig w:usb0="00000201" w:usb1="00000000" w:usb2="00000000" w:usb3="00000000" w:csb0="00000004"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988" w:rsidRPr="008E7F6E" w:rsidRDefault="00C20988" w:rsidP="00BF235E">
    <w:pPr>
      <w:pStyle w:val="Footer"/>
      <w:framePr w:w="374" w:wrap="auto" w:vAnchor="text" w:hAnchor="page" w:x="5974" w:y="15"/>
      <w:jc w:val="center"/>
      <w:rPr>
        <w:rStyle w:val="PageNumber"/>
        <w:sz w:val="22"/>
        <w:szCs w:val="22"/>
      </w:rPr>
    </w:pPr>
    <w:r w:rsidRPr="008E7F6E">
      <w:rPr>
        <w:rStyle w:val="PageNumber"/>
        <w:sz w:val="22"/>
        <w:szCs w:val="22"/>
      </w:rPr>
      <w:fldChar w:fldCharType="begin"/>
    </w:r>
    <w:r w:rsidRPr="008E7F6E">
      <w:rPr>
        <w:rStyle w:val="PageNumber"/>
        <w:sz w:val="22"/>
        <w:szCs w:val="22"/>
      </w:rPr>
      <w:instrText xml:space="preserve">PAGE  </w:instrText>
    </w:r>
    <w:r w:rsidRPr="008E7F6E">
      <w:rPr>
        <w:rStyle w:val="PageNumber"/>
        <w:sz w:val="22"/>
        <w:szCs w:val="22"/>
      </w:rPr>
      <w:fldChar w:fldCharType="separate"/>
    </w:r>
    <w:r>
      <w:rPr>
        <w:rStyle w:val="PageNumber"/>
        <w:noProof/>
        <w:sz w:val="22"/>
        <w:szCs w:val="22"/>
      </w:rPr>
      <w:t>3</w:t>
    </w:r>
    <w:r w:rsidRPr="008E7F6E">
      <w:rPr>
        <w:rStyle w:val="PageNumber"/>
        <w:sz w:val="22"/>
        <w:szCs w:val="22"/>
      </w:rPr>
      <w:fldChar w:fldCharType="end"/>
    </w:r>
  </w:p>
  <w:p w:rsidR="00C20988" w:rsidRPr="003326A1" w:rsidRDefault="00C20988" w:rsidP="003326A1">
    <w:pPr>
      <w:pStyle w:val="Footer"/>
      <w:ind w:left="-142"/>
      <w:jc w:val="center"/>
    </w:pPr>
    <w: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988" w:rsidRDefault="00C20988" w:rsidP="00E437DB">
    <w:pPr>
      <w:pStyle w:val="Footer"/>
      <w:framePr w:wrap="auto" w:vAnchor="text" w:hAnchor="page" w:x="6096" w:y="14"/>
      <w:rPr>
        <w:rStyle w:val="PageNumber"/>
      </w:rPr>
    </w:pPr>
    <w:fldSimple w:instr=" PAGE   \* MERGEFORMAT ">
      <w:r>
        <w:rPr>
          <w:noProof/>
        </w:rPr>
        <w:t>2</w:t>
      </w:r>
    </w:fldSimple>
  </w:p>
  <w:p w:rsidR="00C20988" w:rsidRPr="00BD340B" w:rsidRDefault="00C20988" w:rsidP="00E437DB">
    <w:pPr>
      <w:pStyle w:val="Footer"/>
      <w:ind w:left="-142"/>
      <w:jc w:val="center"/>
    </w:pPr>
    <w: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988" w:rsidRDefault="00C20988">
      <w:r>
        <w:separator/>
      </w:r>
    </w:p>
  </w:footnote>
  <w:footnote w:type="continuationSeparator" w:id="0">
    <w:p w:rsidR="00C20988" w:rsidRDefault="00C20988">
      <w:r>
        <w:continuationSeparator/>
      </w:r>
    </w:p>
  </w:footnote>
  <w:footnote w:id="1">
    <w:p w:rsidR="00C20988" w:rsidRDefault="00C20988" w:rsidP="00FE43CA">
      <w:pPr>
        <w:pStyle w:val="FootnoteText"/>
      </w:pPr>
      <w:r w:rsidRPr="003A2B89">
        <w:rPr>
          <w:rStyle w:val="FootnoteReference"/>
        </w:rPr>
        <w:footnoteRef/>
      </w:r>
      <w:r w:rsidRPr="003A2B89">
        <w:t xml:space="preserve"> </w:t>
      </w:r>
      <w:r w:rsidRPr="004B23AC">
        <w:rPr>
          <w:snapToGrid w:val="0"/>
          <w:sz w:val="22"/>
          <w:szCs w:val="22"/>
        </w:rPr>
        <w:t>в сопоставимых ценах к предыдущему году, далее к таблице 1.2</w:t>
      </w:r>
    </w:p>
  </w:footnote>
  <w:footnote w:id="2">
    <w:p w:rsidR="00C20988" w:rsidRDefault="00C20988" w:rsidP="00BE7BE0">
      <w:pPr>
        <w:tabs>
          <w:tab w:val="left" w:pos="1134"/>
        </w:tabs>
        <w:jc w:val="both"/>
      </w:pPr>
      <w:r w:rsidRPr="00D84063">
        <w:rPr>
          <w:rStyle w:val="FootnoteReference"/>
          <w:sz w:val="22"/>
          <w:szCs w:val="22"/>
        </w:rPr>
        <w:footnoteRef/>
      </w:r>
      <w:r w:rsidRPr="00D84063">
        <w:rPr>
          <w:sz w:val="22"/>
          <w:szCs w:val="22"/>
        </w:rPr>
        <w:t xml:space="preserve"> базовый индекс потребительских цен (базовая инфляция) отражает долгосрочную динамику изменения цен, не подверженную влиянию факторов административного и сезонного характера</w:t>
      </w:r>
    </w:p>
  </w:footnote>
  <w:footnote w:id="3">
    <w:p w:rsidR="00C20988" w:rsidRDefault="00C20988" w:rsidP="00BE7BE0">
      <w:pPr>
        <w:tabs>
          <w:tab w:val="left" w:pos="1134"/>
        </w:tabs>
        <w:jc w:val="both"/>
      </w:pPr>
      <w:r w:rsidRPr="00D84063">
        <w:rPr>
          <w:rStyle w:val="FootnoteReference"/>
          <w:sz w:val="22"/>
          <w:szCs w:val="22"/>
        </w:rPr>
        <w:footnoteRef/>
      </w:r>
      <w:r w:rsidRPr="00D84063">
        <w:rPr>
          <w:sz w:val="22"/>
          <w:szCs w:val="22"/>
        </w:rPr>
        <w:t xml:space="preserve"> небазовая инфляция рассчитывается по товарам и услугам, цены на которые формируются под влиянием административного регулирования и подвержены сезонным колебаниям</w:t>
      </w:r>
    </w:p>
  </w:footnote>
  <w:footnote w:id="4">
    <w:p w:rsidR="00C20988" w:rsidRDefault="00C20988" w:rsidP="00BE7BE0">
      <w:pPr>
        <w:pStyle w:val="FootnoteText"/>
        <w:jc w:val="both"/>
      </w:pPr>
      <w:r w:rsidRPr="00BE7BE0">
        <w:rPr>
          <w:rStyle w:val="FootnoteReference"/>
          <w:sz w:val="22"/>
          <w:szCs w:val="22"/>
        </w:rPr>
        <w:footnoteRef/>
      </w:r>
      <w:r w:rsidRPr="00BE7BE0">
        <w:rPr>
          <w:sz w:val="22"/>
          <w:szCs w:val="22"/>
        </w:rPr>
        <w:t xml:space="preserve"> с учётом принятых Государственной службой статистики ПМР подходов и периодичности мониторинга цен, снижение стоимости топлива на рынке Приднестровья, осуществлённое в конце декабря</w:t>
      </w:r>
      <w:r>
        <w:rPr>
          <w:sz w:val="22"/>
          <w:szCs w:val="22"/>
        </w:rPr>
        <w:t xml:space="preserve"> 2018 года,</w:t>
      </w:r>
      <w:r w:rsidRPr="00BE7BE0">
        <w:rPr>
          <w:sz w:val="22"/>
          <w:szCs w:val="22"/>
        </w:rPr>
        <w:t xml:space="preserve"> не попало в расчёт (индекс по данной позиции в декабре не изменился, сложившись на уро</w:t>
      </w:r>
      <w:r>
        <w:rPr>
          <w:sz w:val="22"/>
          <w:szCs w:val="22"/>
        </w:rPr>
        <w:t>вне 100,0%) и не оказало влияние</w:t>
      </w:r>
      <w:r w:rsidRPr="00BE7BE0">
        <w:rPr>
          <w:sz w:val="22"/>
          <w:szCs w:val="22"/>
        </w:rPr>
        <w:t xml:space="preserve"> на годовой показатель по группе</w:t>
      </w:r>
    </w:p>
  </w:footnote>
  <w:footnote w:id="5">
    <w:p w:rsidR="00C20988" w:rsidRDefault="00C20988" w:rsidP="00A273FB">
      <w:pPr>
        <w:pStyle w:val="FootnoteText"/>
        <w:jc w:val="both"/>
      </w:pPr>
      <w:r w:rsidRPr="00463D12">
        <w:rPr>
          <w:rStyle w:val="FootnoteReference"/>
          <w:sz w:val="22"/>
          <w:szCs w:val="22"/>
        </w:rPr>
        <w:footnoteRef/>
      </w:r>
      <w:r w:rsidRPr="00463D12">
        <w:rPr>
          <w:rStyle w:val="FootnoteReference"/>
          <w:sz w:val="22"/>
          <w:szCs w:val="22"/>
        </w:rPr>
        <w:t xml:space="preserve"> </w:t>
      </w:r>
      <w:r w:rsidRPr="00463D12">
        <w:rPr>
          <w:sz w:val="22"/>
          <w:szCs w:val="22"/>
        </w:rPr>
        <w:t>дефлятор равен 1,1109 (изменение среднего уровня потребительских цен в 2018 год</w:t>
      </w:r>
      <w:r>
        <w:rPr>
          <w:sz w:val="22"/>
          <w:szCs w:val="22"/>
        </w:rPr>
        <w:t>у</w:t>
      </w:r>
      <w:r w:rsidRPr="00463D12">
        <w:rPr>
          <w:sz w:val="22"/>
          <w:szCs w:val="22"/>
        </w:rPr>
        <w:t xml:space="preserve"> к показателю предыдущего года)</w:t>
      </w:r>
    </w:p>
  </w:footnote>
  <w:footnote w:id="6">
    <w:p w:rsidR="00C20988" w:rsidRDefault="00C20988" w:rsidP="00A273FB">
      <w:pPr>
        <w:pStyle w:val="FootnoteText"/>
      </w:pPr>
      <w:r w:rsidRPr="00463D12">
        <w:rPr>
          <w:rStyle w:val="FootnoteReference"/>
          <w:sz w:val="22"/>
          <w:szCs w:val="22"/>
        </w:rPr>
        <w:footnoteRef/>
      </w:r>
      <w:r w:rsidRPr="00463D12">
        <w:rPr>
          <w:rStyle w:val="FootnoteReference"/>
          <w:sz w:val="22"/>
          <w:szCs w:val="22"/>
        </w:rPr>
        <w:t xml:space="preserve"> </w:t>
      </w:r>
      <w:r w:rsidRPr="00463D12">
        <w:rPr>
          <w:sz w:val="22"/>
          <w:szCs w:val="22"/>
        </w:rPr>
        <w:t>объём денежных доходов за вычетом обязательных платежей и разнообразных взносов</w:t>
      </w:r>
    </w:p>
  </w:footnote>
  <w:footnote w:id="7">
    <w:p w:rsidR="00C20988" w:rsidRDefault="00C20988" w:rsidP="00A273FB">
      <w:pPr>
        <w:pStyle w:val="FootnoteText"/>
      </w:pPr>
      <w:r w:rsidRPr="00A65A46">
        <w:rPr>
          <w:rStyle w:val="FootnoteReference"/>
          <w:sz w:val="22"/>
        </w:rPr>
        <w:footnoteRef/>
      </w:r>
      <w:r w:rsidRPr="00A65A46">
        <w:rPr>
          <w:sz w:val="22"/>
        </w:rPr>
        <w:t xml:space="preserve"> согласно данным Единого государственного фонда социального страхования ПМР </w:t>
      </w:r>
    </w:p>
  </w:footnote>
  <w:footnote w:id="8">
    <w:p w:rsidR="00C20988" w:rsidRDefault="00C20988" w:rsidP="00A273FB">
      <w:pPr>
        <w:pStyle w:val="FootnoteText"/>
        <w:spacing w:line="235" w:lineRule="auto"/>
        <w:jc w:val="both"/>
      </w:pPr>
      <w:r w:rsidRPr="00992421">
        <w:rPr>
          <w:rStyle w:val="FootnoteReference"/>
          <w:sz w:val="22"/>
        </w:rPr>
        <w:footnoteRef/>
      </w:r>
      <w:r w:rsidRPr="00992421">
        <w:rPr>
          <w:sz w:val="22"/>
        </w:rPr>
        <w:t xml:space="preserve"> отношение разницы остатков на депозитных счетах на конец и на начало периода к объёму поступления во вклады за отчётный период</w:t>
      </w:r>
    </w:p>
  </w:footnote>
  <w:footnote w:id="9">
    <w:p w:rsidR="00C20988" w:rsidRDefault="00C20988" w:rsidP="00715F41">
      <w:pPr>
        <w:pStyle w:val="FootnoteText"/>
      </w:pPr>
      <w:r w:rsidRPr="008B1156">
        <w:rPr>
          <w:rStyle w:val="FootnoteReference"/>
          <w:sz w:val="22"/>
          <w:szCs w:val="22"/>
        </w:rPr>
        <w:footnoteRef/>
      </w:r>
      <w:r w:rsidRPr="008B1156">
        <w:rPr>
          <w:sz w:val="22"/>
          <w:szCs w:val="22"/>
        </w:rPr>
        <w:t xml:space="preserve"> данные за 2016 и 2017 годы уточнены</w:t>
      </w:r>
    </w:p>
  </w:footnote>
  <w:footnote w:id="10">
    <w:p w:rsidR="00C20988" w:rsidRDefault="00C20988" w:rsidP="00715F41">
      <w:pPr>
        <w:pStyle w:val="FootnoteText"/>
        <w:jc w:val="both"/>
      </w:pPr>
      <w:r w:rsidRPr="008B1156">
        <w:rPr>
          <w:rStyle w:val="FootnoteReference"/>
          <w:sz w:val="22"/>
          <w:szCs w:val="22"/>
        </w:rPr>
        <w:footnoteRef/>
      </w:r>
      <w:r w:rsidRPr="008B1156">
        <w:rPr>
          <w:sz w:val="22"/>
          <w:szCs w:val="22"/>
        </w:rPr>
        <w:t xml:space="preserve"> включают резервные и другие валюты</w:t>
      </w:r>
    </w:p>
  </w:footnote>
  <w:footnote w:id="11">
    <w:p w:rsidR="00C20988" w:rsidRDefault="00C20988" w:rsidP="00B1783D">
      <w:pPr>
        <w:pStyle w:val="FootnoteText"/>
        <w:jc w:val="both"/>
      </w:pPr>
      <w:r w:rsidRPr="008B1156">
        <w:rPr>
          <w:rStyle w:val="FootnoteReference"/>
          <w:sz w:val="22"/>
          <w:szCs w:val="22"/>
        </w:rPr>
        <w:footnoteRef/>
      </w:r>
      <w:r w:rsidRPr="008B1156">
        <w:rPr>
          <w:sz w:val="22"/>
          <w:szCs w:val="22"/>
        </w:rPr>
        <w:t xml:space="preserve"> по методике платёжного баланса, в отличие от методологии ГТК ПМР, стоимость экспорта и импорта отдельных товаров отражена в части фактического пересечения границы, а не документального оформления. Из суммы экспорта исключена стоимость сырья, переработанного вне таможенной территории. Импорт товаров не включает данные о выпуске для внутреннего потребления продуктов переработки остатков, отходов, а также ввоз сырья для переработки на таможенной территории республики</w:t>
      </w:r>
    </w:p>
  </w:footnote>
  <w:footnote w:id="12">
    <w:p w:rsidR="00C20988" w:rsidRDefault="00C20988" w:rsidP="00B1783D">
      <w:pPr>
        <w:pStyle w:val="FootnoteText"/>
        <w:jc w:val="both"/>
      </w:pPr>
      <w:r w:rsidRPr="000E52DC">
        <w:rPr>
          <w:rStyle w:val="FootnoteReference"/>
          <w:sz w:val="22"/>
          <w:szCs w:val="22"/>
        </w:rPr>
        <w:footnoteRef/>
      </w:r>
      <w:r w:rsidRPr="000E52DC">
        <w:rPr>
          <w:sz w:val="22"/>
          <w:szCs w:val="22"/>
        </w:rPr>
        <w:t xml:space="preserve"> </w:t>
      </w:r>
      <w:r>
        <w:rPr>
          <w:sz w:val="22"/>
          <w:szCs w:val="22"/>
        </w:rPr>
        <w:t>включая</w:t>
      </w:r>
      <w:r w:rsidRPr="000E52DC">
        <w:rPr>
          <w:sz w:val="22"/>
          <w:szCs w:val="22"/>
        </w:rPr>
        <w:t xml:space="preserve"> </w:t>
      </w:r>
      <w:r>
        <w:rPr>
          <w:sz w:val="22"/>
          <w:szCs w:val="22"/>
        </w:rPr>
        <w:t xml:space="preserve">экспорт </w:t>
      </w:r>
      <w:r w:rsidRPr="000E52DC">
        <w:rPr>
          <w:sz w:val="22"/>
          <w:szCs w:val="22"/>
        </w:rPr>
        <w:t>физически</w:t>
      </w:r>
      <w:r>
        <w:rPr>
          <w:sz w:val="22"/>
          <w:szCs w:val="22"/>
        </w:rPr>
        <w:t>ми</w:t>
      </w:r>
      <w:r w:rsidRPr="000E52DC">
        <w:rPr>
          <w:sz w:val="22"/>
          <w:szCs w:val="22"/>
        </w:rPr>
        <w:t xml:space="preserve"> лиц</w:t>
      </w:r>
      <w:r>
        <w:rPr>
          <w:sz w:val="22"/>
          <w:szCs w:val="22"/>
        </w:rPr>
        <w:t>ами</w:t>
      </w:r>
    </w:p>
  </w:footnote>
  <w:footnote w:id="13">
    <w:p w:rsidR="00C20988" w:rsidRDefault="00C20988" w:rsidP="00B1783D">
      <w:pPr>
        <w:pStyle w:val="FootnoteText"/>
        <w:jc w:val="both"/>
      </w:pPr>
      <w:r w:rsidRPr="000E52DC">
        <w:rPr>
          <w:rStyle w:val="FootnoteReference"/>
          <w:sz w:val="22"/>
          <w:szCs w:val="22"/>
        </w:rPr>
        <w:footnoteRef/>
      </w:r>
      <w:r w:rsidRPr="000E52DC">
        <w:rPr>
          <w:sz w:val="22"/>
          <w:szCs w:val="22"/>
        </w:rPr>
        <w:t xml:space="preserve"> </w:t>
      </w:r>
      <w:r>
        <w:rPr>
          <w:sz w:val="22"/>
          <w:szCs w:val="22"/>
        </w:rPr>
        <w:t xml:space="preserve">включая </w:t>
      </w:r>
      <w:r w:rsidRPr="000E52DC">
        <w:rPr>
          <w:sz w:val="22"/>
          <w:szCs w:val="22"/>
        </w:rPr>
        <w:t>импорт физически</w:t>
      </w:r>
      <w:r>
        <w:rPr>
          <w:sz w:val="22"/>
          <w:szCs w:val="22"/>
        </w:rPr>
        <w:t>ми</w:t>
      </w:r>
      <w:r w:rsidRPr="000E52DC">
        <w:rPr>
          <w:sz w:val="22"/>
          <w:szCs w:val="22"/>
        </w:rPr>
        <w:t xml:space="preserve"> лиц</w:t>
      </w:r>
      <w:r>
        <w:rPr>
          <w:sz w:val="22"/>
          <w:szCs w:val="22"/>
        </w:rPr>
        <w:t>ами</w:t>
      </w:r>
      <w:r w:rsidRPr="000E52DC">
        <w:rPr>
          <w:sz w:val="22"/>
          <w:szCs w:val="22"/>
        </w:rPr>
        <w:t xml:space="preserve"> </w:t>
      </w:r>
    </w:p>
  </w:footnote>
  <w:footnote w:id="14">
    <w:p w:rsidR="00C20988" w:rsidRDefault="00C20988" w:rsidP="001A074E">
      <w:pPr>
        <w:pStyle w:val="FootnoteText"/>
        <w:jc w:val="both"/>
      </w:pPr>
      <w:r w:rsidRPr="00497D52">
        <w:rPr>
          <w:rStyle w:val="FootnoteReference"/>
        </w:rPr>
        <w:footnoteRef/>
      </w:r>
      <w:r w:rsidRPr="00497D52">
        <w:t xml:space="preserve"> </w:t>
      </w:r>
      <w:r w:rsidRPr="00497D52">
        <w:rPr>
          <w:sz w:val="22"/>
          <w:szCs w:val="22"/>
        </w:rPr>
        <w:t>без учёта средств, носящих несистематический характер (остатков целевых бюджетных фондов на</w:t>
      </w:r>
      <w:r w:rsidRPr="001A074E">
        <w:rPr>
          <w:sz w:val="22"/>
          <w:szCs w:val="22"/>
        </w:rPr>
        <w:t xml:space="preserve"> начало года, зачисленных в доходы текущего периода, безвозмездных перечислений, средств центрального банка в виде части прибыли, возврата займа и др.</w:t>
      </w:r>
      <w:r>
        <w:rPr>
          <w:sz w:val="22"/>
          <w:szCs w:val="22"/>
        </w:rPr>
        <w:t>)</w:t>
      </w:r>
    </w:p>
  </w:footnote>
  <w:footnote w:id="15">
    <w:p w:rsidR="00C20988" w:rsidRDefault="00C20988" w:rsidP="00E72185">
      <w:pPr>
        <w:pStyle w:val="FootnoteText"/>
        <w:tabs>
          <w:tab w:val="left" w:pos="284"/>
        </w:tabs>
      </w:pPr>
      <w:r w:rsidRPr="00A17B6E">
        <w:rPr>
          <w:rStyle w:val="FootnoteReference"/>
          <w:sz w:val="22"/>
          <w:szCs w:val="22"/>
        </w:rPr>
        <w:footnoteRef/>
      </w:r>
      <w:r w:rsidRPr="00A17B6E">
        <w:rPr>
          <w:sz w:val="22"/>
          <w:szCs w:val="22"/>
        </w:rPr>
        <w:t xml:space="preserve"> без специальных бюджетных счетов и гуманитарной помощи</w:t>
      </w:r>
    </w:p>
  </w:footnote>
  <w:footnote w:id="16">
    <w:p w:rsidR="00C20988" w:rsidRDefault="00C20988" w:rsidP="004855D6">
      <w:pPr>
        <w:pStyle w:val="FootnoteText"/>
        <w:jc w:val="both"/>
      </w:pPr>
      <w:r w:rsidRPr="00D7693A">
        <w:rPr>
          <w:rStyle w:val="FootnoteReference"/>
          <w:sz w:val="22"/>
          <w:szCs w:val="22"/>
        </w:rPr>
        <w:footnoteRef/>
      </w:r>
      <w:r w:rsidRPr="00D7693A">
        <w:rPr>
          <w:sz w:val="22"/>
          <w:szCs w:val="22"/>
        </w:rPr>
        <w:t xml:space="preserve"> операции физических и юридических лиц (кроме кредитных организаций) по покупке и продаже безналичной иностранной валюты, включая обязательную продажу части валютной выручки в ПРБ, продажу валюты коммерческими банками за счёт валютных интервенций ПРБ</w:t>
      </w:r>
    </w:p>
  </w:footnote>
  <w:footnote w:id="17">
    <w:p w:rsidR="00C20988" w:rsidRDefault="00C20988" w:rsidP="00FC311A">
      <w:pPr>
        <w:pStyle w:val="FootnoteText"/>
      </w:pPr>
      <w:r w:rsidRPr="00D15800">
        <w:rPr>
          <w:rStyle w:val="FootnoteReference"/>
          <w:rFonts w:ascii="Sylfaen" w:hAnsi="Sylfaen"/>
        </w:rPr>
        <w:footnoteRef/>
      </w:r>
      <w:r w:rsidRPr="00D15800">
        <w:rPr>
          <w:rFonts w:ascii="Sylfaen" w:hAnsi="Sylfaen"/>
        </w:rPr>
        <w:t xml:space="preserve"> </w:t>
      </w:r>
      <w:r w:rsidRPr="004855D6">
        <w:rPr>
          <w:sz w:val="22"/>
          <w:szCs w:val="22"/>
        </w:rPr>
        <w:t>процедура регистрации завершена 21.01.2019</w:t>
      </w:r>
      <w:r w:rsidRPr="00D15800">
        <w:rPr>
          <w:rFonts w:ascii="Sylfaen" w:hAnsi="Sylfaen"/>
        </w:rPr>
        <w:t xml:space="preserve"> </w:t>
      </w:r>
    </w:p>
  </w:footnote>
  <w:footnote w:id="18">
    <w:p w:rsidR="00C20988" w:rsidRDefault="00C20988" w:rsidP="001E0BAB">
      <w:pPr>
        <w:pStyle w:val="FootnoteText"/>
        <w:spacing w:line="235" w:lineRule="auto"/>
        <w:jc w:val="both"/>
      </w:pPr>
      <w:r w:rsidRPr="003379A7">
        <w:rPr>
          <w:rStyle w:val="FootnoteReference"/>
          <w:rFonts w:ascii="Sylfaen" w:hAnsi="Sylfaen"/>
        </w:rPr>
        <w:footnoteRef/>
      </w:r>
      <w:r w:rsidRPr="003379A7">
        <w:rPr>
          <w:rFonts w:ascii="Sylfaen" w:hAnsi="Sylfaen"/>
          <w:sz w:val="18"/>
        </w:rPr>
        <w:t xml:space="preserve"> </w:t>
      </w:r>
      <w:r w:rsidRPr="009A09E8">
        <w:rPr>
          <w:sz w:val="22"/>
        </w:rPr>
        <w:t>(задолженность по кредитам юридическим и физическим лицам – просроченная задолженность по кредитам) / задолженность по кредитам юридическим и физическим лицам</w:t>
      </w:r>
      <w:r w:rsidRPr="009A09E8">
        <w:rPr>
          <w:rFonts w:ascii="Sylfaen" w:hAnsi="Sylfaen"/>
          <w:sz w:val="22"/>
        </w:rPr>
        <w:t xml:space="preserve"> </w:t>
      </w:r>
    </w:p>
  </w:footnote>
  <w:footnote w:id="19">
    <w:p w:rsidR="00C20988" w:rsidRDefault="00C20988" w:rsidP="001E0BAB">
      <w:pPr>
        <w:pStyle w:val="FootnoteText"/>
        <w:jc w:val="both"/>
      </w:pPr>
      <w:r w:rsidRPr="00A031D3">
        <w:rPr>
          <w:rStyle w:val="FootnoteReference"/>
          <w:sz w:val="22"/>
        </w:rPr>
        <w:footnoteRef/>
      </w:r>
      <w:r w:rsidRPr="00A031D3">
        <w:rPr>
          <w:rStyle w:val="FootnoteReference"/>
          <w:sz w:val="22"/>
        </w:rPr>
        <w:t xml:space="preserve"> </w:t>
      </w:r>
      <w:r w:rsidRPr="004855D6">
        <w:rPr>
          <w:sz w:val="22"/>
        </w:rPr>
        <w:t xml:space="preserve">без учёта ОАО «Эксимбанк», проходящего процедуру оздоровления в соответствии с Законом ПМР </w:t>
      </w:r>
      <w:r w:rsidRPr="004855D6">
        <w:rPr>
          <w:sz w:val="22"/>
        </w:rPr>
        <w:br/>
        <w:t xml:space="preserve">№ 201-З-VI от 30 июня 2017 года «О стабилизации банковской системы Приднестровской Молдавской Республики» </w:t>
      </w:r>
    </w:p>
  </w:footnote>
  <w:footnote w:id="20">
    <w:p w:rsidR="00C20988" w:rsidRDefault="00C20988" w:rsidP="001E0BAB">
      <w:pPr>
        <w:pStyle w:val="FootnoteText"/>
        <w:spacing w:line="264" w:lineRule="auto"/>
        <w:jc w:val="both"/>
      </w:pPr>
      <w:r w:rsidRPr="002A239E">
        <w:rPr>
          <w:rStyle w:val="FootnoteReference"/>
          <w:sz w:val="22"/>
        </w:rPr>
        <w:footnoteRef/>
      </w:r>
      <w:r w:rsidRPr="002A239E">
        <w:rPr>
          <w:sz w:val="22"/>
        </w:rPr>
        <w:t xml:space="preserve"> </w:t>
      </w:r>
      <w:r w:rsidRPr="004855D6">
        <w:rPr>
          <w:sz w:val="22"/>
          <w:szCs w:val="22"/>
        </w:rPr>
        <w:t>разница между отношением процентных доходов к величине активов, приносящих доход, и отношением процентных расходов к обязательствам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9639"/>
    </w:tblGrid>
    <w:tr w:rsidR="00C20988">
      <w:tc>
        <w:tcPr>
          <w:tcW w:w="9639" w:type="dxa"/>
          <w:tcBorders>
            <w:bottom w:val="double" w:sz="6" w:space="0" w:color="auto"/>
          </w:tcBorders>
        </w:tcPr>
        <w:p w:rsidR="00C20988" w:rsidRDefault="00C20988" w:rsidP="00182680">
          <w:pPr>
            <w:pStyle w:val="Header"/>
            <w:jc w:val="center"/>
            <w:rPr>
              <w:rFonts w:ascii="Verdana" w:hAnsi="Verdana" w:cs="Verdana"/>
              <w:b/>
              <w:bCs/>
              <w:i/>
              <w:iCs/>
              <w:color w:val="C0C0C0"/>
              <w:sz w:val="24"/>
              <w:szCs w:val="24"/>
            </w:rPr>
          </w:pPr>
          <w:r>
            <w:rPr>
              <w:b/>
              <w:bCs/>
              <w:i/>
              <w:iCs/>
              <w:color w:val="C0C0C0"/>
              <w:sz w:val="24"/>
              <w:szCs w:val="24"/>
            </w:rPr>
            <w:t>Годовой отчёт Приднестровского республиканского банка за 2018 год</w:t>
          </w:r>
        </w:p>
      </w:tc>
    </w:tr>
  </w:tbl>
  <w:p w:rsidR="00C20988" w:rsidRPr="00AD4E1E" w:rsidRDefault="00C20988">
    <w:pPr>
      <w:pStyle w:val="Header"/>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988" w:rsidRPr="006A27D8" w:rsidRDefault="00C20988" w:rsidP="00BD340B">
    <w:pPr>
      <w:pStyle w:val="Header"/>
      <w:pBdr>
        <w:bottom w:val="double" w:sz="4" w:space="1" w:color="auto"/>
      </w:pBdr>
      <w:jc w:val="center"/>
      <w:rPr>
        <w:color w:val="9C9C9C"/>
      </w:rPr>
    </w:pPr>
    <w:r>
      <w:rPr>
        <w:b/>
        <w:bCs/>
        <w:i/>
        <w:iCs/>
        <w:color w:val="9C9C9C"/>
        <w:sz w:val="24"/>
        <w:szCs w:val="24"/>
      </w:rPr>
      <w:t>О</w:t>
    </w:r>
    <w:r w:rsidRPr="006A27D8">
      <w:rPr>
        <w:b/>
        <w:bCs/>
        <w:i/>
        <w:iCs/>
        <w:color w:val="9C9C9C"/>
        <w:sz w:val="24"/>
        <w:szCs w:val="24"/>
      </w:rPr>
      <w:t>тчёт Приднестровского республиканского банка за 2018 год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4E8"/>
    <w:multiLevelType w:val="hybridMultilevel"/>
    <w:tmpl w:val="50202C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9C5F3E"/>
    <w:multiLevelType w:val="hybridMultilevel"/>
    <w:tmpl w:val="4664F8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0B076C"/>
    <w:multiLevelType w:val="hybridMultilevel"/>
    <w:tmpl w:val="50BA46C8"/>
    <w:lvl w:ilvl="0" w:tplc="DBC00BE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D29177A"/>
    <w:multiLevelType w:val="hybridMultilevel"/>
    <w:tmpl w:val="C54C9BF6"/>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
    <w:nsid w:val="0E52066D"/>
    <w:multiLevelType w:val="hybridMultilevel"/>
    <w:tmpl w:val="69AA2662"/>
    <w:lvl w:ilvl="0" w:tplc="D780F05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0ED77503"/>
    <w:multiLevelType w:val="hybridMultilevel"/>
    <w:tmpl w:val="AB0C720A"/>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6">
    <w:nsid w:val="120500CD"/>
    <w:multiLevelType w:val="hybridMultilevel"/>
    <w:tmpl w:val="B098517A"/>
    <w:lvl w:ilvl="0" w:tplc="25F44E10">
      <w:start w:val="1"/>
      <w:numFmt w:val="bullet"/>
      <w:lvlText w:val=""/>
      <w:lvlJc w:val="left"/>
      <w:pPr>
        <w:tabs>
          <w:tab w:val="num" w:pos="1531"/>
        </w:tabs>
        <w:ind w:left="1531" w:hanging="360"/>
      </w:pPr>
      <w:rPr>
        <w:rFonts w:ascii="Symbol" w:hAnsi="Symbol" w:hint="default"/>
      </w:rPr>
    </w:lvl>
    <w:lvl w:ilvl="1" w:tplc="04190003" w:tentative="1">
      <w:start w:val="1"/>
      <w:numFmt w:val="bullet"/>
      <w:lvlText w:val="o"/>
      <w:lvlJc w:val="left"/>
      <w:pPr>
        <w:tabs>
          <w:tab w:val="num" w:pos="1542"/>
        </w:tabs>
        <w:ind w:left="1542" w:hanging="360"/>
      </w:pPr>
      <w:rPr>
        <w:rFonts w:ascii="Courier New" w:hAnsi="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7">
    <w:nsid w:val="14BE0310"/>
    <w:multiLevelType w:val="hybridMultilevel"/>
    <w:tmpl w:val="60B200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B45407"/>
    <w:multiLevelType w:val="hybridMultilevel"/>
    <w:tmpl w:val="FE88609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192144EC"/>
    <w:multiLevelType w:val="hybridMultilevel"/>
    <w:tmpl w:val="3BEA10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3F3C4B"/>
    <w:multiLevelType w:val="hybridMultilevel"/>
    <w:tmpl w:val="4C4A16E0"/>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C2E4770"/>
    <w:multiLevelType w:val="hybridMultilevel"/>
    <w:tmpl w:val="A2260022"/>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2">
    <w:nsid w:val="1E611A6B"/>
    <w:multiLevelType w:val="hybridMultilevel"/>
    <w:tmpl w:val="6CA46724"/>
    <w:lvl w:ilvl="0" w:tplc="10E46F0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0D71E74"/>
    <w:multiLevelType w:val="hybridMultilevel"/>
    <w:tmpl w:val="2826BB32"/>
    <w:lvl w:ilvl="0" w:tplc="6B5039FE">
      <w:start w:val="1"/>
      <w:numFmt w:val="decimal"/>
      <w:lvlText w:val="%1)"/>
      <w:lvlJc w:val="left"/>
      <w:pPr>
        <w:ind w:left="1572" w:hanging="100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219B7208"/>
    <w:multiLevelType w:val="hybridMultilevel"/>
    <w:tmpl w:val="E766CE42"/>
    <w:lvl w:ilvl="0" w:tplc="25F44E1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25CD6FE9"/>
    <w:multiLevelType w:val="hybridMultilevel"/>
    <w:tmpl w:val="0F50E8E6"/>
    <w:lvl w:ilvl="0" w:tplc="D780F056">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6">
    <w:nsid w:val="29530046"/>
    <w:multiLevelType w:val="hybridMultilevel"/>
    <w:tmpl w:val="4B2EB2E2"/>
    <w:lvl w:ilvl="0" w:tplc="0419000F">
      <w:start w:val="1"/>
      <w:numFmt w:val="decimal"/>
      <w:lvlText w:val="%1."/>
      <w:lvlJc w:val="left"/>
      <w:pPr>
        <w:ind w:left="1070" w:hanging="645"/>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7">
    <w:nsid w:val="2EB1040F"/>
    <w:multiLevelType w:val="hybridMultilevel"/>
    <w:tmpl w:val="B31A93A4"/>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8">
    <w:nsid w:val="34EC06F2"/>
    <w:multiLevelType w:val="hybridMultilevel"/>
    <w:tmpl w:val="548AC0B2"/>
    <w:lvl w:ilvl="0" w:tplc="B9768EC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35F82091"/>
    <w:multiLevelType w:val="hybridMultilevel"/>
    <w:tmpl w:val="4B22D6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B32845"/>
    <w:multiLevelType w:val="hybridMultilevel"/>
    <w:tmpl w:val="53322F26"/>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21">
    <w:nsid w:val="39A35135"/>
    <w:multiLevelType w:val="hybridMultilevel"/>
    <w:tmpl w:val="61CEAA90"/>
    <w:lvl w:ilvl="0" w:tplc="3ADA40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9CE53ED"/>
    <w:multiLevelType w:val="hybridMultilevel"/>
    <w:tmpl w:val="EFCC03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A8A02DF"/>
    <w:multiLevelType w:val="multilevel"/>
    <w:tmpl w:val="1CE49E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AF802F7"/>
    <w:multiLevelType w:val="hybridMultilevel"/>
    <w:tmpl w:val="B456E3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D006B12"/>
    <w:multiLevelType w:val="multilevel"/>
    <w:tmpl w:val="DFC63AC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0D8602D"/>
    <w:multiLevelType w:val="multilevel"/>
    <w:tmpl w:val="18B4FF80"/>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48E83058"/>
    <w:multiLevelType w:val="hybridMultilevel"/>
    <w:tmpl w:val="B9543B1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8">
    <w:nsid w:val="49A73D13"/>
    <w:multiLevelType w:val="hybridMultilevel"/>
    <w:tmpl w:val="01768CB4"/>
    <w:lvl w:ilvl="0" w:tplc="09FAF6E6">
      <w:start w:val="1"/>
      <w:numFmt w:val="bullet"/>
      <w:lvlText w:val=""/>
      <w:lvlJc w:val="left"/>
      <w:pPr>
        <w:tabs>
          <w:tab w:val="num" w:pos="2162"/>
        </w:tabs>
        <w:ind w:left="2162" w:hanging="360"/>
      </w:pPr>
      <w:rPr>
        <w:rFonts w:ascii="Symbol" w:hAnsi="Symbol" w:hint="default"/>
      </w:rPr>
    </w:lvl>
    <w:lvl w:ilvl="1" w:tplc="54886632">
      <w:start w:val="1"/>
      <w:numFmt w:val="bullet"/>
      <w:lvlText w:val=""/>
      <w:lvlJc w:val="left"/>
      <w:pPr>
        <w:tabs>
          <w:tab w:val="num" w:pos="1616"/>
        </w:tabs>
        <w:ind w:left="1616" w:hanging="360"/>
      </w:pPr>
      <w:rPr>
        <w:rFonts w:ascii="Symbol" w:eastAsia="Times New Roman" w:hAnsi="Symbol" w:hint="default"/>
      </w:rPr>
    </w:lvl>
    <w:lvl w:ilvl="2" w:tplc="04190005" w:tentative="1">
      <w:start w:val="1"/>
      <w:numFmt w:val="bullet"/>
      <w:lvlText w:val=""/>
      <w:lvlJc w:val="left"/>
      <w:pPr>
        <w:tabs>
          <w:tab w:val="num" w:pos="2336"/>
        </w:tabs>
        <w:ind w:left="2336" w:hanging="360"/>
      </w:pPr>
      <w:rPr>
        <w:rFonts w:ascii="Wingdings" w:hAnsi="Wingdings" w:hint="default"/>
      </w:rPr>
    </w:lvl>
    <w:lvl w:ilvl="3" w:tplc="09FAF6E6">
      <w:start w:val="1"/>
      <w:numFmt w:val="bullet"/>
      <w:lvlText w:val=""/>
      <w:lvlJc w:val="left"/>
      <w:pPr>
        <w:tabs>
          <w:tab w:val="num" w:pos="3056"/>
        </w:tabs>
        <w:ind w:left="3056" w:hanging="360"/>
      </w:pPr>
      <w:rPr>
        <w:rFonts w:ascii="Symbol" w:hAnsi="Symbol" w:hint="default"/>
      </w:rPr>
    </w:lvl>
    <w:lvl w:ilvl="4" w:tplc="04190003" w:tentative="1">
      <w:start w:val="1"/>
      <w:numFmt w:val="bullet"/>
      <w:lvlText w:val="o"/>
      <w:lvlJc w:val="left"/>
      <w:pPr>
        <w:tabs>
          <w:tab w:val="num" w:pos="3776"/>
        </w:tabs>
        <w:ind w:left="3776" w:hanging="360"/>
      </w:pPr>
      <w:rPr>
        <w:rFonts w:ascii="Courier New" w:hAnsi="Courier New" w:hint="default"/>
      </w:rPr>
    </w:lvl>
    <w:lvl w:ilvl="5" w:tplc="04190005" w:tentative="1">
      <w:start w:val="1"/>
      <w:numFmt w:val="bullet"/>
      <w:lvlText w:val=""/>
      <w:lvlJc w:val="left"/>
      <w:pPr>
        <w:tabs>
          <w:tab w:val="num" w:pos="4496"/>
        </w:tabs>
        <w:ind w:left="4496" w:hanging="360"/>
      </w:pPr>
      <w:rPr>
        <w:rFonts w:ascii="Wingdings" w:hAnsi="Wingdings" w:hint="default"/>
      </w:rPr>
    </w:lvl>
    <w:lvl w:ilvl="6" w:tplc="04190001" w:tentative="1">
      <w:start w:val="1"/>
      <w:numFmt w:val="bullet"/>
      <w:lvlText w:val=""/>
      <w:lvlJc w:val="left"/>
      <w:pPr>
        <w:tabs>
          <w:tab w:val="num" w:pos="5216"/>
        </w:tabs>
        <w:ind w:left="5216" w:hanging="360"/>
      </w:pPr>
      <w:rPr>
        <w:rFonts w:ascii="Symbol" w:hAnsi="Symbol" w:hint="default"/>
      </w:rPr>
    </w:lvl>
    <w:lvl w:ilvl="7" w:tplc="04190003" w:tentative="1">
      <w:start w:val="1"/>
      <w:numFmt w:val="bullet"/>
      <w:lvlText w:val="o"/>
      <w:lvlJc w:val="left"/>
      <w:pPr>
        <w:tabs>
          <w:tab w:val="num" w:pos="5936"/>
        </w:tabs>
        <w:ind w:left="5936" w:hanging="360"/>
      </w:pPr>
      <w:rPr>
        <w:rFonts w:ascii="Courier New" w:hAnsi="Courier New" w:hint="default"/>
      </w:rPr>
    </w:lvl>
    <w:lvl w:ilvl="8" w:tplc="04190005" w:tentative="1">
      <w:start w:val="1"/>
      <w:numFmt w:val="bullet"/>
      <w:lvlText w:val=""/>
      <w:lvlJc w:val="left"/>
      <w:pPr>
        <w:tabs>
          <w:tab w:val="num" w:pos="6656"/>
        </w:tabs>
        <w:ind w:left="6656" w:hanging="360"/>
      </w:pPr>
      <w:rPr>
        <w:rFonts w:ascii="Wingdings" w:hAnsi="Wingdings" w:hint="default"/>
      </w:rPr>
    </w:lvl>
  </w:abstractNum>
  <w:abstractNum w:abstractNumId="29">
    <w:nsid w:val="4B0E183F"/>
    <w:multiLevelType w:val="hybridMultilevel"/>
    <w:tmpl w:val="50202C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0CB3FA7"/>
    <w:multiLevelType w:val="multilevel"/>
    <w:tmpl w:val="CF7C5E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518F2D9B"/>
    <w:multiLevelType w:val="hybridMultilevel"/>
    <w:tmpl w:val="AB765460"/>
    <w:lvl w:ilvl="0" w:tplc="5208829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2">
    <w:nsid w:val="5B3A017C"/>
    <w:multiLevelType w:val="hybridMultilevel"/>
    <w:tmpl w:val="A8FEBB3C"/>
    <w:lvl w:ilvl="0" w:tplc="FD3226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BEA6954"/>
    <w:multiLevelType w:val="hybridMultilevel"/>
    <w:tmpl w:val="6BDC58EA"/>
    <w:lvl w:ilvl="0" w:tplc="A558B68A">
      <w:start w:val="6"/>
      <w:numFmt w:val="decimal"/>
      <w:lvlText w:val="%1."/>
      <w:lvlJc w:val="left"/>
      <w:pPr>
        <w:tabs>
          <w:tab w:val="num" w:pos="502"/>
        </w:tabs>
        <w:ind w:left="502" w:hanging="360"/>
      </w:pPr>
      <w:rPr>
        <w:rFonts w:cs="Times New Roman" w:hint="default"/>
        <w:i w:val="0"/>
      </w:rPr>
    </w:lvl>
    <w:lvl w:ilvl="1" w:tplc="4C4C9834">
      <w:numFmt w:val="none"/>
      <w:lvlText w:val=""/>
      <w:lvlJc w:val="left"/>
      <w:pPr>
        <w:tabs>
          <w:tab w:val="num" w:pos="360"/>
        </w:tabs>
      </w:pPr>
      <w:rPr>
        <w:rFonts w:cs="Times New Roman"/>
      </w:rPr>
    </w:lvl>
    <w:lvl w:ilvl="2" w:tplc="B2B4265A">
      <w:numFmt w:val="none"/>
      <w:lvlText w:val=""/>
      <w:lvlJc w:val="left"/>
      <w:pPr>
        <w:tabs>
          <w:tab w:val="num" w:pos="360"/>
        </w:tabs>
      </w:pPr>
      <w:rPr>
        <w:rFonts w:cs="Times New Roman"/>
      </w:rPr>
    </w:lvl>
    <w:lvl w:ilvl="3" w:tplc="CBCE2710">
      <w:numFmt w:val="none"/>
      <w:lvlText w:val=""/>
      <w:lvlJc w:val="left"/>
      <w:pPr>
        <w:tabs>
          <w:tab w:val="num" w:pos="360"/>
        </w:tabs>
      </w:pPr>
      <w:rPr>
        <w:rFonts w:cs="Times New Roman"/>
      </w:rPr>
    </w:lvl>
    <w:lvl w:ilvl="4" w:tplc="F3EE8838">
      <w:numFmt w:val="none"/>
      <w:lvlText w:val=""/>
      <w:lvlJc w:val="left"/>
      <w:pPr>
        <w:tabs>
          <w:tab w:val="num" w:pos="360"/>
        </w:tabs>
      </w:pPr>
      <w:rPr>
        <w:rFonts w:cs="Times New Roman"/>
      </w:rPr>
    </w:lvl>
    <w:lvl w:ilvl="5" w:tplc="5904568A">
      <w:numFmt w:val="none"/>
      <w:lvlText w:val=""/>
      <w:lvlJc w:val="left"/>
      <w:pPr>
        <w:tabs>
          <w:tab w:val="num" w:pos="360"/>
        </w:tabs>
      </w:pPr>
      <w:rPr>
        <w:rFonts w:cs="Times New Roman"/>
      </w:rPr>
    </w:lvl>
    <w:lvl w:ilvl="6" w:tplc="80EC48C0">
      <w:numFmt w:val="none"/>
      <w:lvlText w:val=""/>
      <w:lvlJc w:val="left"/>
      <w:pPr>
        <w:tabs>
          <w:tab w:val="num" w:pos="360"/>
        </w:tabs>
      </w:pPr>
      <w:rPr>
        <w:rFonts w:cs="Times New Roman"/>
      </w:rPr>
    </w:lvl>
    <w:lvl w:ilvl="7" w:tplc="5296DC08">
      <w:numFmt w:val="none"/>
      <w:lvlText w:val=""/>
      <w:lvlJc w:val="left"/>
      <w:pPr>
        <w:tabs>
          <w:tab w:val="num" w:pos="360"/>
        </w:tabs>
      </w:pPr>
      <w:rPr>
        <w:rFonts w:cs="Times New Roman"/>
      </w:rPr>
    </w:lvl>
    <w:lvl w:ilvl="8" w:tplc="C960EB30">
      <w:numFmt w:val="none"/>
      <w:lvlText w:val=""/>
      <w:lvlJc w:val="left"/>
      <w:pPr>
        <w:tabs>
          <w:tab w:val="num" w:pos="360"/>
        </w:tabs>
      </w:pPr>
      <w:rPr>
        <w:rFonts w:cs="Times New Roman"/>
      </w:rPr>
    </w:lvl>
  </w:abstractNum>
  <w:abstractNum w:abstractNumId="34">
    <w:nsid w:val="5C5B6182"/>
    <w:multiLevelType w:val="hybridMultilevel"/>
    <w:tmpl w:val="1C149D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E5703B6"/>
    <w:multiLevelType w:val="hybridMultilevel"/>
    <w:tmpl w:val="F52881B6"/>
    <w:lvl w:ilvl="0" w:tplc="25F44E10">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36">
    <w:nsid w:val="60C0679D"/>
    <w:multiLevelType w:val="hybridMultilevel"/>
    <w:tmpl w:val="71C40BF8"/>
    <w:lvl w:ilvl="0" w:tplc="9B988D18">
      <w:start w:val="1"/>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7">
    <w:nsid w:val="638E04F1"/>
    <w:multiLevelType w:val="hybridMultilevel"/>
    <w:tmpl w:val="B7EC802A"/>
    <w:lvl w:ilvl="0" w:tplc="797865C6">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6FC2FEE"/>
    <w:multiLevelType w:val="hybridMultilevel"/>
    <w:tmpl w:val="0FEAC376"/>
    <w:lvl w:ilvl="0" w:tplc="0A2C7B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B5D265B"/>
    <w:multiLevelType w:val="hybridMultilevel"/>
    <w:tmpl w:val="4E0A42C2"/>
    <w:lvl w:ilvl="0" w:tplc="0419000F">
      <w:start w:val="1"/>
      <w:numFmt w:val="decimal"/>
      <w:lvlText w:val="%1."/>
      <w:lvlJc w:val="left"/>
      <w:pPr>
        <w:tabs>
          <w:tab w:val="num" w:pos="785"/>
        </w:tabs>
        <w:ind w:left="785" w:hanging="360"/>
      </w:pPr>
      <w:rPr>
        <w:rFonts w:cs="Times New Roman" w:hint="default"/>
      </w:rPr>
    </w:lvl>
    <w:lvl w:ilvl="1" w:tplc="04190019">
      <w:start w:val="1"/>
      <w:numFmt w:val="lowerLetter"/>
      <w:lvlText w:val="%2."/>
      <w:lvlJc w:val="left"/>
      <w:pPr>
        <w:tabs>
          <w:tab w:val="num" w:pos="1505"/>
        </w:tabs>
        <w:ind w:left="1505" w:hanging="360"/>
      </w:pPr>
      <w:rPr>
        <w:rFonts w:cs="Times New Roman"/>
      </w:rPr>
    </w:lvl>
    <w:lvl w:ilvl="2" w:tplc="0419001B">
      <w:start w:val="1"/>
      <w:numFmt w:val="lowerRoman"/>
      <w:lvlText w:val="%3."/>
      <w:lvlJc w:val="right"/>
      <w:pPr>
        <w:tabs>
          <w:tab w:val="num" w:pos="2225"/>
        </w:tabs>
        <w:ind w:left="2225" w:hanging="180"/>
      </w:pPr>
      <w:rPr>
        <w:rFonts w:cs="Times New Roman"/>
      </w:rPr>
    </w:lvl>
    <w:lvl w:ilvl="3" w:tplc="0419000F">
      <w:start w:val="1"/>
      <w:numFmt w:val="decimal"/>
      <w:lvlText w:val="%4."/>
      <w:lvlJc w:val="left"/>
      <w:pPr>
        <w:tabs>
          <w:tab w:val="num" w:pos="2945"/>
        </w:tabs>
        <w:ind w:left="2945" w:hanging="360"/>
      </w:pPr>
      <w:rPr>
        <w:rFonts w:cs="Times New Roman"/>
      </w:rPr>
    </w:lvl>
    <w:lvl w:ilvl="4" w:tplc="04190019">
      <w:start w:val="1"/>
      <w:numFmt w:val="lowerLetter"/>
      <w:lvlText w:val="%5."/>
      <w:lvlJc w:val="left"/>
      <w:pPr>
        <w:tabs>
          <w:tab w:val="num" w:pos="3665"/>
        </w:tabs>
        <w:ind w:left="3665" w:hanging="360"/>
      </w:pPr>
      <w:rPr>
        <w:rFonts w:cs="Times New Roman"/>
      </w:rPr>
    </w:lvl>
    <w:lvl w:ilvl="5" w:tplc="0419001B">
      <w:start w:val="1"/>
      <w:numFmt w:val="lowerRoman"/>
      <w:lvlText w:val="%6."/>
      <w:lvlJc w:val="right"/>
      <w:pPr>
        <w:tabs>
          <w:tab w:val="num" w:pos="4385"/>
        </w:tabs>
        <w:ind w:left="4385" w:hanging="180"/>
      </w:pPr>
      <w:rPr>
        <w:rFonts w:cs="Times New Roman"/>
      </w:rPr>
    </w:lvl>
    <w:lvl w:ilvl="6" w:tplc="0419000F">
      <w:start w:val="1"/>
      <w:numFmt w:val="decimal"/>
      <w:lvlText w:val="%7."/>
      <w:lvlJc w:val="left"/>
      <w:pPr>
        <w:tabs>
          <w:tab w:val="num" w:pos="5105"/>
        </w:tabs>
        <w:ind w:left="5105" w:hanging="360"/>
      </w:pPr>
      <w:rPr>
        <w:rFonts w:cs="Times New Roman"/>
      </w:rPr>
    </w:lvl>
    <w:lvl w:ilvl="7" w:tplc="04190019">
      <w:start w:val="1"/>
      <w:numFmt w:val="lowerLetter"/>
      <w:lvlText w:val="%8."/>
      <w:lvlJc w:val="left"/>
      <w:pPr>
        <w:tabs>
          <w:tab w:val="num" w:pos="5825"/>
        </w:tabs>
        <w:ind w:left="5825" w:hanging="360"/>
      </w:pPr>
      <w:rPr>
        <w:rFonts w:cs="Times New Roman"/>
      </w:rPr>
    </w:lvl>
    <w:lvl w:ilvl="8" w:tplc="0419001B">
      <w:start w:val="1"/>
      <w:numFmt w:val="lowerRoman"/>
      <w:lvlText w:val="%9."/>
      <w:lvlJc w:val="right"/>
      <w:pPr>
        <w:tabs>
          <w:tab w:val="num" w:pos="6545"/>
        </w:tabs>
        <w:ind w:left="6545" w:hanging="180"/>
      </w:pPr>
      <w:rPr>
        <w:rFonts w:cs="Times New Roman"/>
      </w:rPr>
    </w:lvl>
  </w:abstractNum>
  <w:abstractNum w:abstractNumId="40">
    <w:nsid w:val="6B6D0D3B"/>
    <w:multiLevelType w:val="hybridMultilevel"/>
    <w:tmpl w:val="73503418"/>
    <w:lvl w:ilvl="0" w:tplc="E57426B8">
      <w:start w:val="1"/>
      <w:numFmt w:val="decimal"/>
      <w:lvlText w:val="%1."/>
      <w:lvlJc w:val="left"/>
      <w:pPr>
        <w:tabs>
          <w:tab w:val="num" w:pos="360"/>
        </w:tabs>
        <w:ind w:left="360" w:hanging="360"/>
      </w:pPr>
      <w:rPr>
        <w:rFonts w:cs="Times New Roman"/>
        <w:b/>
        <w:bCs/>
        <w:color w:val="auto"/>
      </w:rPr>
    </w:lvl>
    <w:lvl w:ilvl="1" w:tplc="E08A9E44">
      <w:numFmt w:val="none"/>
      <w:lvlText w:val=""/>
      <w:lvlJc w:val="left"/>
      <w:pPr>
        <w:tabs>
          <w:tab w:val="num" w:pos="360"/>
        </w:tabs>
      </w:pPr>
      <w:rPr>
        <w:rFonts w:cs="Times New Roman"/>
      </w:rPr>
    </w:lvl>
    <w:lvl w:ilvl="2" w:tplc="16948504">
      <w:numFmt w:val="none"/>
      <w:lvlText w:val=""/>
      <w:lvlJc w:val="left"/>
      <w:pPr>
        <w:tabs>
          <w:tab w:val="num" w:pos="360"/>
        </w:tabs>
      </w:pPr>
      <w:rPr>
        <w:rFonts w:cs="Times New Roman"/>
      </w:rPr>
    </w:lvl>
    <w:lvl w:ilvl="3" w:tplc="80523F9C">
      <w:numFmt w:val="none"/>
      <w:lvlText w:val=""/>
      <w:lvlJc w:val="left"/>
      <w:pPr>
        <w:tabs>
          <w:tab w:val="num" w:pos="360"/>
        </w:tabs>
      </w:pPr>
      <w:rPr>
        <w:rFonts w:cs="Times New Roman"/>
      </w:rPr>
    </w:lvl>
    <w:lvl w:ilvl="4" w:tplc="ADD8E834">
      <w:numFmt w:val="none"/>
      <w:lvlText w:val=""/>
      <w:lvlJc w:val="left"/>
      <w:pPr>
        <w:tabs>
          <w:tab w:val="num" w:pos="360"/>
        </w:tabs>
      </w:pPr>
      <w:rPr>
        <w:rFonts w:cs="Times New Roman"/>
      </w:rPr>
    </w:lvl>
    <w:lvl w:ilvl="5" w:tplc="C360BF78">
      <w:numFmt w:val="none"/>
      <w:lvlText w:val=""/>
      <w:lvlJc w:val="left"/>
      <w:pPr>
        <w:tabs>
          <w:tab w:val="num" w:pos="360"/>
        </w:tabs>
      </w:pPr>
      <w:rPr>
        <w:rFonts w:cs="Times New Roman"/>
      </w:rPr>
    </w:lvl>
    <w:lvl w:ilvl="6" w:tplc="FCE43AEA">
      <w:numFmt w:val="none"/>
      <w:lvlText w:val=""/>
      <w:lvlJc w:val="left"/>
      <w:pPr>
        <w:tabs>
          <w:tab w:val="num" w:pos="360"/>
        </w:tabs>
      </w:pPr>
      <w:rPr>
        <w:rFonts w:cs="Times New Roman"/>
      </w:rPr>
    </w:lvl>
    <w:lvl w:ilvl="7" w:tplc="89BECB1A">
      <w:numFmt w:val="none"/>
      <w:lvlText w:val=""/>
      <w:lvlJc w:val="left"/>
      <w:pPr>
        <w:tabs>
          <w:tab w:val="num" w:pos="360"/>
        </w:tabs>
      </w:pPr>
      <w:rPr>
        <w:rFonts w:cs="Times New Roman"/>
      </w:rPr>
    </w:lvl>
    <w:lvl w:ilvl="8" w:tplc="40FEA728">
      <w:numFmt w:val="none"/>
      <w:lvlText w:val=""/>
      <w:lvlJc w:val="left"/>
      <w:pPr>
        <w:tabs>
          <w:tab w:val="num" w:pos="360"/>
        </w:tabs>
      </w:pPr>
      <w:rPr>
        <w:rFonts w:cs="Times New Roman"/>
      </w:rPr>
    </w:lvl>
  </w:abstractNum>
  <w:abstractNum w:abstractNumId="41">
    <w:nsid w:val="73294043"/>
    <w:multiLevelType w:val="hybridMultilevel"/>
    <w:tmpl w:val="CF5A3472"/>
    <w:lvl w:ilvl="0" w:tplc="0419000F">
      <w:start w:val="1"/>
      <w:numFmt w:val="decimal"/>
      <w:lvlText w:val="%1."/>
      <w:lvlJc w:val="left"/>
      <w:pPr>
        <w:ind w:left="720" w:hanging="360"/>
      </w:pPr>
      <w:rPr>
        <w:rFonts w:cs="Times New Roman"/>
      </w:rPr>
    </w:lvl>
    <w:lvl w:ilvl="1" w:tplc="80C8E3AC">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32A65B9"/>
    <w:multiLevelType w:val="hybridMultilevel"/>
    <w:tmpl w:val="3926AFB0"/>
    <w:lvl w:ilvl="0" w:tplc="4BE01D9C">
      <w:start w:val="1"/>
      <w:numFmt w:val="decimal"/>
      <w:lvlText w:val="%1."/>
      <w:lvlJc w:val="left"/>
      <w:pPr>
        <w:ind w:left="1175" w:hanging="750"/>
      </w:pPr>
      <w:rPr>
        <w:rFonts w:cs="Times New Roman" w:hint="default"/>
        <w:color w:val="auto"/>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43">
    <w:nsid w:val="743E3E73"/>
    <w:multiLevelType w:val="hybridMultilevel"/>
    <w:tmpl w:val="53322F26"/>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4">
    <w:nsid w:val="75731CE5"/>
    <w:multiLevelType w:val="hybridMultilevel"/>
    <w:tmpl w:val="7332C16C"/>
    <w:lvl w:ilvl="0" w:tplc="25F44E10">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45">
    <w:nsid w:val="78B87ECD"/>
    <w:multiLevelType w:val="hybridMultilevel"/>
    <w:tmpl w:val="8C4233F2"/>
    <w:lvl w:ilvl="0" w:tplc="04190001">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46">
    <w:nsid w:val="7A2C39BF"/>
    <w:multiLevelType w:val="hybridMultilevel"/>
    <w:tmpl w:val="4E0A42C2"/>
    <w:lvl w:ilvl="0" w:tplc="0419000F">
      <w:start w:val="1"/>
      <w:numFmt w:val="decimal"/>
      <w:lvlText w:val="%1."/>
      <w:lvlJc w:val="left"/>
      <w:pPr>
        <w:tabs>
          <w:tab w:val="num" w:pos="785"/>
        </w:tabs>
        <w:ind w:left="785" w:hanging="360"/>
      </w:pPr>
      <w:rPr>
        <w:rFonts w:cs="Times New Roman" w:hint="default"/>
      </w:rPr>
    </w:lvl>
    <w:lvl w:ilvl="1" w:tplc="04190019">
      <w:start w:val="1"/>
      <w:numFmt w:val="lowerLetter"/>
      <w:lvlText w:val="%2."/>
      <w:lvlJc w:val="left"/>
      <w:pPr>
        <w:tabs>
          <w:tab w:val="num" w:pos="1505"/>
        </w:tabs>
        <w:ind w:left="1505" w:hanging="360"/>
      </w:pPr>
      <w:rPr>
        <w:rFonts w:cs="Times New Roman"/>
      </w:rPr>
    </w:lvl>
    <w:lvl w:ilvl="2" w:tplc="0419001B">
      <w:start w:val="1"/>
      <w:numFmt w:val="lowerRoman"/>
      <w:lvlText w:val="%3."/>
      <w:lvlJc w:val="right"/>
      <w:pPr>
        <w:tabs>
          <w:tab w:val="num" w:pos="2225"/>
        </w:tabs>
        <w:ind w:left="2225" w:hanging="180"/>
      </w:pPr>
      <w:rPr>
        <w:rFonts w:cs="Times New Roman"/>
      </w:rPr>
    </w:lvl>
    <w:lvl w:ilvl="3" w:tplc="0419000F">
      <w:start w:val="1"/>
      <w:numFmt w:val="decimal"/>
      <w:lvlText w:val="%4."/>
      <w:lvlJc w:val="left"/>
      <w:pPr>
        <w:tabs>
          <w:tab w:val="num" w:pos="2945"/>
        </w:tabs>
        <w:ind w:left="2945" w:hanging="360"/>
      </w:pPr>
      <w:rPr>
        <w:rFonts w:cs="Times New Roman"/>
      </w:rPr>
    </w:lvl>
    <w:lvl w:ilvl="4" w:tplc="04190019">
      <w:start w:val="1"/>
      <w:numFmt w:val="lowerLetter"/>
      <w:lvlText w:val="%5."/>
      <w:lvlJc w:val="left"/>
      <w:pPr>
        <w:tabs>
          <w:tab w:val="num" w:pos="3665"/>
        </w:tabs>
        <w:ind w:left="3665" w:hanging="360"/>
      </w:pPr>
      <w:rPr>
        <w:rFonts w:cs="Times New Roman"/>
      </w:rPr>
    </w:lvl>
    <w:lvl w:ilvl="5" w:tplc="0419001B">
      <w:start w:val="1"/>
      <w:numFmt w:val="lowerRoman"/>
      <w:lvlText w:val="%6."/>
      <w:lvlJc w:val="right"/>
      <w:pPr>
        <w:tabs>
          <w:tab w:val="num" w:pos="4385"/>
        </w:tabs>
        <w:ind w:left="4385" w:hanging="180"/>
      </w:pPr>
      <w:rPr>
        <w:rFonts w:cs="Times New Roman"/>
      </w:rPr>
    </w:lvl>
    <w:lvl w:ilvl="6" w:tplc="0419000F">
      <w:start w:val="1"/>
      <w:numFmt w:val="decimal"/>
      <w:lvlText w:val="%7."/>
      <w:lvlJc w:val="left"/>
      <w:pPr>
        <w:tabs>
          <w:tab w:val="num" w:pos="5105"/>
        </w:tabs>
        <w:ind w:left="5105" w:hanging="360"/>
      </w:pPr>
      <w:rPr>
        <w:rFonts w:cs="Times New Roman"/>
      </w:rPr>
    </w:lvl>
    <w:lvl w:ilvl="7" w:tplc="04190019">
      <w:start w:val="1"/>
      <w:numFmt w:val="lowerLetter"/>
      <w:lvlText w:val="%8."/>
      <w:lvlJc w:val="left"/>
      <w:pPr>
        <w:tabs>
          <w:tab w:val="num" w:pos="5825"/>
        </w:tabs>
        <w:ind w:left="5825" w:hanging="360"/>
      </w:pPr>
      <w:rPr>
        <w:rFonts w:cs="Times New Roman"/>
      </w:rPr>
    </w:lvl>
    <w:lvl w:ilvl="8" w:tplc="0419001B">
      <w:start w:val="1"/>
      <w:numFmt w:val="lowerRoman"/>
      <w:lvlText w:val="%9."/>
      <w:lvlJc w:val="right"/>
      <w:pPr>
        <w:tabs>
          <w:tab w:val="num" w:pos="6545"/>
        </w:tabs>
        <w:ind w:left="6545" w:hanging="180"/>
      </w:pPr>
      <w:rPr>
        <w:rFonts w:cs="Times New Roman"/>
      </w:rPr>
    </w:lvl>
  </w:abstractNum>
  <w:abstractNum w:abstractNumId="47">
    <w:nsid w:val="7A973A26"/>
    <w:multiLevelType w:val="hybridMultilevel"/>
    <w:tmpl w:val="F3E41CA4"/>
    <w:lvl w:ilvl="0" w:tplc="25F44E1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30"/>
  </w:num>
  <w:num w:numId="2">
    <w:abstractNumId w:val="23"/>
  </w:num>
  <w:num w:numId="3">
    <w:abstractNumId w:val="25"/>
  </w:num>
  <w:num w:numId="4">
    <w:abstractNumId w:val="46"/>
  </w:num>
  <w:num w:numId="5">
    <w:abstractNumId w:val="6"/>
  </w:num>
  <w:num w:numId="6">
    <w:abstractNumId w:val="36"/>
  </w:num>
  <w:num w:numId="7">
    <w:abstractNumId w:val="44"/>
  </w:num>
  <w:num w:numId="8">
    <w:abstractNumId w:val="35"/>
  </w:num>
  <w:num w:numId="9">
    <w:abstractNumId w:val="20"/>
  </w:num>
  <w:num w:numId="10">
    <w:abstractNumId w:val="5"/>
  </w:num>
  <w:num w:numId="11">
    <w:abstractNumId w:val="16"/>
  </w:num>
  <w:num w:numId="12">
    <w:abstractNumId w:val="42"/>
  </w:num>
  <w:num w:numId="13">
    <w:abstractNumId w:val="11"/>
  </w:num>
  <w:num w:numId="14">
    <w:abstractNumId w:val="17"/>
  </w:num>
  <w:num w:numId="15">
    <w:abstractNumId w:val="3"/>
  </w:num>
  <w:num w:numId="16">
    <w:abstractNumId w:val="7"/>
  </w:num>
  <w:num w:numId="17">
    <w:abstractNumId w:val="18"/>
  </w:num>
  <w:num w:numId="18">
    <w:abstractNumId w:val="37"/>
  </w:num>
  <w:num w:numId="19">
    <w:abstractNumId w:val="26"/>
  </w:num>
  <w:num w:numId="20">
    <w:abstractNumId w:val="10"/>
  </w:num>
  <w:num w:numId="21">
    <w:abstractNumId w:val="32"/>
  </w:num>
  <w:num w:numId="22">
    <w:abstractNumId w:val="15"/>
  </w:num>
  <w:num w:numId="23">
    <w:abstractNumId w:val="4"/>
  </w:num>
  <w:num w:numId="24">
    <w:abstractNumId w:val="47"/>
  </w:num>
  <w:num w:numId="25">
    <w:abstractNumId w:val="14"/>
  </w:num>
  <w:num w:numId="26">
    <w:abstractNumId w:val="40"/>
  </w:num>
  <w:num w:numId="27">
    <w:abstractNumId w:val="28"/>
  </w:num>
  <w:num w:numId="28">
    <w:abstractNumId w:val="38"/>
  </w:num>
  <w:num w:numId="29">
    <w:abstractNumId w:val="33"/>
  </w:num>
  <w:num w:numId="30">
    <w:abstractNumId w:val="45"/>
  </w:num>
  <w:num w:numId="31">
    <w:abstractNumId w:val="12"/>
  </w:num>
  <w:num w:numId="32">
    <w:abstractNumId w:val="43"/>
  </w:num>
  <w:num w:numId="33">
    <w:abstractNumId w:val="22"/>
  </w:num>
  <w:num w:numId="34">
    <w:abstractNumId w:val="19"/>
  </w:num>
  <w:num w:numId="35">
    <w:abstractNumId w:val="0"/>
  </w:num>
  <w:num w:numId="36">
    <w:abstractNumId w:val="29"/>
  </w:num>
  <w:num w:numId="37">
    <w:abstractNumId w:val="34"/>
  </w:num>
  <w:num w:numId="38">
    <w:abstractNumId w:val="1"/>
  </w:num>
  <w:num w:numId="39">
    <w:abstractNumId w:val="9"/>
  </w:num>
  <w:num w:numId="40">
    <w:abstractNumId w:val="41"/>
  </w:num>
  <w:num w:numId="41">
    <w:abstractNumId w:val="39"/>
  </w:num>
  <w:num w:numId="42">
    <w:abstractNumId w:val="31"/>
  </w:num>
  <w:num w:numId="43">
    <w:abstractNumId w:val="2"/>
  </w:num>
  <w:num w:numId="44">
    <w:abstractNumId w:val="24"/>
  </w:num>
  <w:num w:numId="45">
    <w:abstractNumId w:val="27"/>
  </w:num>
  <w:num w:numId="46">
    <w:abstractNumId w:val="13"/>
  </w:num>
  <w:num w:numId="47">
    <w:abstractNumId w:val="8"/>
  </w:num>
  <w:num w:numId="48">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5F6"/>
    <w:rsid w:val="000002ED"/>
    <w:rsid w:val="00000AEE"/>
    <w:rsid w:val="00000DB1"/>
    <w:rsid w:val="000013EB"/>
    <w:rsid w:val="000015AE"/>
    <w:rsid w:val="000015CB"/>
    <w:rsid w:val="000020E5"/>
    <w:rsid w:val="00002215"/>
    <w:rsid w:val="00002915"/>
    <w:rsid w:val="000033AC"/>
    <w:rsid w:val="00003E6F"/>
    <w:rsid w:val="00004586"/>
    <w:rsid w:val="00004D45"/>
    <w:rsid w:val="0000565B"/>
    <w:rsid w:val="0000631E"/>
    <w:rsid w:val="000067BF"/>
    <w:rsid w:val="00006BDA"/>
    <w:rsid w:val="000076C1"/>
    <w:rsid w:val="000077FF"/>
    <w:rsid w:val="0001009B"/>
    <w:rsid w:val="0001069B"/>
    <w:rsid w:val="00010AC0"/>
    <w:rsid w:val="00011401"/>
    <w:rsid w:val="000117F0"/>
    <w:rsid w:val="000126FB"/>
    <w:rsid w:val="00012E69"/>
    <w:rsid w:val="0001321F"/>
    <w:rsid w:val="00013937"/>
    <w:rsid w:val="000139F8"/>
    <w:rsid w:val="00013EFF"/>
    <w:rsid w:val="00013FFE"/>
    <w:rsid w:val="00014034"/>
    <w:rsid w:val="00014336"/>
    <w:rsid w:val="00014992"/>
    <w:rsid w:val="00015243"/>
    <w:rsid w:val="0001525B"/>
    <w:rsid w:val="00015D87"/>
    <w:rsid w:val="00015FA8"/>
    <w:rsid w:val="000163D5"/>
    <w:rsid w:val="00016893"/>
    <w:rsid w:val="00017214"/>
    <w:rsid w:val="00017227"/>
    <w:rsid w:val="00017672"/>
    <w:rsid w:val="00017914"/>
    <w:rsid w:val="00017925"/>
    <w:rsid w:val="00020ACA"/>
    <w:rsid w:val="000214CD"/>
    <w:rsid w:val="0002193A"/>
    <w:rsid w:val="0002224A"/>
    <w:rsid w:val="000229D5"/>
    <w:rsid w:val="0002329A"/>
    <w:rsid w:val="0002422F"/>
    <w:rsid w:val="00025361"/>
    <w:rsid w:val="00025753"/>
    <w:rsid w:val="00025851"/>
    <w:rsid w:val="00025BF5"/>
    <w:rsid w:val="00026088"/>
    <w:rsid w:val="0002621D"/>
    <w:rsid w:val="00026A35"/>
    <w:rsid w:val="00026A3C"/>
    <w:rsid w:val="000273C9"/>
    <w:rsid w:val="00032167"/>
    <w:rsid w:val="00032409"/>
    <w:rsid w:val="00032E75"/>
    <w:rsid w:val="00032F5D"/>
    <w:rsid w:val="0003335B"/>
    <w:rsid w:val="00033AD1"/>
    <w:rsid w:val="000348DA"/>
    <w:rsid w:val="000356DB"/>
    <w:rsid w:val="00035DD5"/>
    <w:rsid w:val="0003627D"/>
    <w:rsid w:val="0003760F"/>
    <w:rsid w:val="00037FF0"/>
    <w:rsid w:val="00040079"/>
    <w:rsid w:val="000408C9"/>
    <w:rsid w:val="00040A61"/>
    <w:rsid w:val="000415AF"/>
    <w:rsid w:val="000418BC"/>
    <w:rsid w:val="00041EBB"/>
    <w:rsid w:val="00042448"/>
    <w:rsid w:val="00042B48"/>
    <w:rsid w:val="0004302C"/>
    <w:rsid w:val="000430F3"/>
    <w:rsid w:val="00043AB9"/>
    <w:rsid w:val="00044F4D"/>
    <w:rsid w:val="00045214"/>
    <w:rsid w:val="0004566B"/>
    <w:rsid w:val="000466F5"/>
    <w:rsid w:val="000467E0"/>
    <w:rsid w:val="00046AC9"/>
    <w:rsid w:val="000479D0"/>
    <w:rsid w:val="000502F7"/>
    <w:rsid w:val="000503C3"/>
    <w:rsid w:val="000503D6"/>
    <w:rsid w:val="00050970"/>
    <w:rsid w:val="00051740"/>
    <w:rsid w:val="00051B4B"/>
    <w:rsid w:val="000523A9"/>
    <w:rsid w:val="00052792"/>
    <w:rsid w:val="000528B9"/>
    <w:rsid w:val="00052EE8"/>
    <w:rsid w:val="0005320B"/>
    <w:rsid w:val="00053828"/>
    <w:rsid w:val="00054970"/>
    <w:rsid w:val="00054BDB"/>
    <w:rsid w:val="00055344"/>
    <w:rsid w:val="00055B55"/>
    <w:rsid w:val="00057C31"/>
    <w:rsid w:val="00057C64"/>
    <w:rsid w:val="00057E54"/>
    <w:rsid w:val="00060515"/>
    <w:rsid w:val="000609BF"/>
    <w:rsid w:val="00060AAA"/>
    <w:rsid w:val="0006149B"/>
    <w:rsid w:val="00061A8E"/>
    <w:rsid w:val="000624CC"/>
    <w:rsid w:val="00063754"/>
    <w:rsid w:val="00063E3E"/>
    <w:rsid w:val="00063F8D"/>
    <w:rsid w:val="00064509"/>
    <w:rsid w:val="000657C7"/>
    <w:rsid w:val="0006584D"/>
    <w:rsid w:val="000659A9"/>
    <w:rsid w:val="00066B6D"/>
    <w:rsid w:val="00066CE5"/>
    <w:rsid w:val="00067325"/>
    <w:rsid w:val="00067610"/>
    <w:rsid w:val="00067D98"/>
    <w:rsid w:val="00070687"/>
    <w:rsid w:val="0007082E"/>
    <w:rsid w:val="00070A95"/>
    <w:rsid w:val="0007119A"/>
    <w:rsid w:val="00072422"/>
    <w:rsid w:val="000725C3"/>
    <w:rsid w:val="0007283D"/>
    <w:rsid w:val="0007294D"/>
    <w:rsid w:val="000739FA"/>
    <w:rsid w:val="00073FD6"/>
    <w:rsid w:val="00074A1C"/>
    <w:rsid w:val="00074E9F"/>
    <w:rsid w:val="00076A4C"/>
    <w:rsid w:val="00076D76"/>
    <w:rsid w:val="00076E19"/>
    <w:rsid w:val="0007709F"/>
    <w:rsid w:val="00077177"/>
    <w:rsid w:val="00077642"/>
    <w:rsid w:val="000776A1"/>
    <w:rsid w:val="00077ACE"/>
    <w:rsid w:val="00077C78"/>
    <w:rsid w:val="00077EAA"/>
    <w:rsid w:val="000803C1"/>
    <w:rsid w:val="000805B7"/>
    <w:rsid w:val="00080BA6"/>
    <w:rsid w:val="00080C67"/>
    <w:rsid w:val="00082717"/>
    <w:rsid w:val="00082FDE"/>
    <w:rsid w:val="00083696"/>
    <w:rsid w:val="00083CAB"/>
    <w:rsid w:val="00083EAB"/>
    <w:rsid w:val="00087DAF"/>
    <w:rsid w:val="000902D5"/>
    <w:rsid w:val="000902DC"/>
    <w:rsid w:val="00090763"/>
    <w:rsid w:val="000909A0"/>
    <w:rsid w:val="00090E5D"/>
    <w:rsid w:val="00091112"/>
    <w:rsid w:val="000919D3"/>
    <w:rsid w:val="00091B2F"/>
    <w:rsid w:val="00091D9C"/>
    <w:rsid w:val="0009207A"/>
    <w:rsid w:val="000926F9"/>
    <w:rsid w:val="00092948"/>
    <w:rsid w:val="00093604"/>
    <w:rsid w:val="0009387E"/>
    <w:rsid w:val="00093B88"/>
    <w:rsid w:val="0009481C"/>
    <w:rsid w:val="000949B6"/>
    <w:rsid w:val="00094A2A"/>
    <w:rsid w:val="00094B59"/>
    <w:rsid w:val="00094CC5"/>
    <w:rsid w:val="000956EF"/>
    <w:rsid w:val="00095BA5"/>
    <w:rsid w:val="00095ECA"/>
    <w:rsid w:val="00097B32"/>
    <w:rsid w:val="000A07F8"/>
    <w:rsid w:val="000A1961"/>
    <w:rsid w:val="000A21C8"/>
    <w:rsid w:val="000A21FF"/>
    <w:rsid w:val="000A243D"/>
    <w:rsid w:val="000A266C"/>
    <w:rsid w:val="000A27DA"/>
    <w:rsid w:val="000A27FC"/>
    <w:rsid w:val="000A32F7"/>
    <w:rsid w:val="000A3875"/>
    <w:rsid w:val="000A3CED"/>
    <w:rsid w:val="000A4E36"/>
    <w:rsid w:val="000A5871"/>
    <w:rsid w:val="000A58F3"/>
    <w:rsid w:val="000A5B19"/>
    <w:rsid w:val="000A75D0"/>
    <w:rsid w:val="000A77D5"/>
    <w:rsid w:val="000A79FE"/>
    <w:rsid w:val="000A7F1D"/>
    <w:rsid w:val="000B0656"/>
    <w:rsid w:val="000B097A"/>
    <w:rsid w:val="000B1CA5"/>
    <w:rsid w:val="000B2356"/>
    <w:rsid w:val="000B28B7"/>
    <w:rsid w:val="000B35F6"/>
    <w:rsid w:val="000B3BC6"/>
    <w:rsid w:val="000B3CB8"/>
    <w:rsid w:val="000B4BB6"/>
    <w:rsid w:val="000B51EE"/>
    <w:rsid w:val="000B58B8"/>
    <w:rsid w:val="000B5C32"/>
    <w:rsid w:val="000B6489"/>
    <w:rsid w:val="000B7634"/>
    <w:rsid w:val="000B7D82"/>
    <w:rsid w:val="000C04DE"/>
    <w:rsid w:val="000C060C"/>
    <w:rsid w:val="000C0C16"/>
    <w:rsid w:val="000C0C7C"/>
    <w:rsid w:val="000C0CA5"/>
    <w:rsid w:val="000C2726"/>
    <w:rsid w:val="000C3033"/>
    <w:rsid w:val="000C398F"/>
    <w:rsid w:val="000C47E4"/>
    <w:rsid w:val="000C48B3"/>
    <w:rsid w:val="000C4E3C"/>
    <w:rsid w:val="000C598D"/>
    <w:rsid w:val="000C5BAA"/>
    <w:rsid w:val="000C6FB6"/>
    <w:rsid w:val="000D002A"/>
    <w:rsid w:val="000D0822"/>
    <w:rsid w:val="000D082A"/>
    <w:rsid w:val="000D0A9F"/>
    <w:rsid w:val="000D1CE0"/>
    <w:rsid w:val="000D2ECA"/>
    <w:rsid w:val="000D36D0"/>
    <w:rsid w:val="000D3750"/>
    <w:rsid w:val="000D3B39"/>
    <w:rsid w:val="000D3F86"/>
    <w:rsid w:val="000D4647"/>
    <w:rsid w:val="000D46C6"/>
    <w:rsid w:val="000D529E"/>
    <w:rsid w:val="000D5444"/>
    <w:rsid w:val="000D6AC7"/>
    <w:rsid w:val="000D71F9"/>
    <w:rsid w:val="000E04ED"/>
    <w:rsid w:val="000E0777"/>
    <w:rsid w:val="000E1B7E"/>
    <w:rsid w:val="000E21DD"/>
    <w:rsid w:val="000E2D35"/>
    <w:rsid w:val="000E2E33"/>
    <w:rsid w:val="000E3014"/>
    <w:rsid w:val="000E32BD"/>
    <w:rsid w:val="000E40D8"/>
    <w:rsid w:val="000E443F"/>
    <w:rsid w:val="000E4E94"/>
    <w:rsid w:val="000E51ED"/>
    <w:rsid w:val="000E52DC"/>
    <w:rsid w:val="000E68A0"/>
    <w:rsid w:val="000E68CF"/>
    <w:rsid w:val="000E6F62"/>
    <w:rsid w:val="000E753C"/>
    <w:rsid w:val="000E789B"/>
    <w:rsid w:val="000E7984"/>
    <w:rsid w:val="000E7A5A"/>
    <w:rsid w:val="000F01E9"/>
    <w:rsid w:val="000F03C4"/>
    <w:rsid w:val="000F0BF5"/>
    <w:rsid w:val="000F0D53"/>
    <w:rsid w:val="000F0E4A"/>
    <w:rsid w:val="000F119D"/>
    <w:rsid w:val="000F1699"/>
    <w:rsid w:val="000F185A"/>
    <w:rsid w:val="000F1B11"/>
    <w:rsid w:val="000F1DCE"/>
    <w:rsid w:val="000F2094"/>
    <w:rsid w:val="000F27C3"/>
    <w:rsid w:val="000F3414"/>
    <w:rsid w:val="000F3A4F"/>
    <w:rsid w:val="000F3E51"/>
    <w:rsid w:val="000F4EE2"/>
    <w:rsid w:val="000F5A7A"/>
    <w:rsid w:val="000F5BC7"/>
    <w:rsid w:val="000F610A"/>
    <w:rsid w:val="000F68C5"/>
    <w:rsid w:val="000F6B24"/>
    <w:rsid w:val="000F6BE3"/>
    <w:rsid w:val="000F6E55"/>
    <w:rsid w:val="000F6E6A"/>
    <w:rsid w:val="000F740A"/>
    <w:rsid w:val="000F796D"/>
    <w:rsid w:val="000F79A6"/>
    <w:rsid w:val="00100197"/>
    <w:rsid w:val="00100C32"/>
    <w:rsid w:val="00100DE5"/>
    <w:rsid w:val="00101333"/>
    <w:rsid w:val="001014D8"/>
    <w:rsid w:val="001014EF"/>
    <w:rsid w:val="0010178E"/>
    <w:rsid w:val="00103393"/>
    <w:rsid w:val="00103D1B"/>
    <w:rsid w:val="00104E8F"/>
    <w:rsid w:val="0010549D"/>
    <w:rsid w:val="00105626"/>
    <w:rsid w:val="00105BDB"/>
    <w:rsid w:val="00105F07"/>
    <w:rsid w:val="00106095"/>
    <w:rsid w:val="001060F0"/>
    <w:rsid w:val="0010630D"/>
    <w:rsid w:val="001067DC"/>
    <w:rsid w:val="00106F4D"/>
    <w:rsid w:val="00106FA9"/>
    <w:rsid w:val="00111017"/>
    <w:rsid w:val="00111754"/>
    <w:rsid w:val="00111B2A"/>
    <w:rsid w:val="00112609"/>
    <w:rsid w:val="00112B66"/>
    <w:rsid w:val="00112B81"/>
    <w:rsid w:val="001136F8"/>
    <w:rsid w:val="001139ED"/>
    <w:rsid w:val="001147F0"/>
    <w:rsid w:val="00115038"/>
    <w:rsid w:val="00115BB5"/>
    <w:rsid w:val="00115BDD"/>
    <w:rsid w:val="001163E6"/>
    <w:rsid w:val="001168C2"/>
    <w:rsid w:val="001176F9"/>
    <w:rsid w:val="00117B47"/>
    <w:rsid w:val="00117F05"/>
    <w:rsid w:val="001202C2"/>
    <w:rsid w:val="0012039D"/>
    <w:rsid w:val="00120B2F"/>
    <w:rsid w:val="00121362"/>
    <w:rsid w:val="001215F9"/>
    <w:rsid w:val="001220BE"/>
    <w:rsid w:val="00122119"/>
    <w:rsid w:val="001226F3"/>
    <w:rsid w:val="00122861"/>
    <w:rsid w:val="00122C50"/>
    <w:rsid w:val="00123CE2"/>
    <w:rsid w:val="00124824"/>
    <w:rsid w:val="00125665"/>
    <w:rsid w:val="00126ECC"/>
    <w:rsid w:val="001270E4"/>
    <w:rsid w:val="0012730B"/>
    <w:rsid w:val="00127846"/>
    <w:rsid w:val="00127EE8"/>
    <w:rsid w:val="00130425"/>
    <w:rsid w:val="001304A6"/>
    <w:rsid w:val="001306DE"/>
    <w:rsid w:val="00130993"/>
    <w:rsid w:val="001311A6"/>
    <w:rsid w:val="001318A7"/>
    <w:rsid w:val="00131B43"/>
    <w:rsid w:val="00131D2B"/>
    <w:rsid w:val="0013273F"/>
    <w:rsid w:val="00132D8C"/>
    <w:rsid w:val="00133679"/>
    <w:rsid w:val="00134253"/>
    <w:rsid w:val="001347EF"/>
    <w:rsid w:val="00134EEF"/>
    <w:rsid w:val="001357E9"/>
    <w:rsid w:val="0013653B"/>
    <w:rsid w:val="00136BA9"/>
    <w:rsid w:val="00136C68"/>
    <w:rsid w:val="00136DDC"/>
    <w:rsid w:val="00136F7C"/>
    <w:rsid w:val="001370F7"/>
    <w:rsid w:val="0013757E"/>
    <w:rsid w:val="00137C66"/>
    <w:rsid w:val="00140711"/>
    <w:rsid w:val="00140831"/>
    <w:rsid w:val="00140911"/>
    <w:rsid w:val="00141375"/>
    <w:rsid w:val="00141B50"/>
    <w:rsid w:val="00141C21"/>
    <w:rsid w:val="00142364"/>
    <w:rsid w:val="001423F2"/>
    <w:rsid w:val="0014251C"/>
    <w:rsid w:val="00142F2B"/>
    <w:rsid w:val="00142F96"/>
    <w:rsid w:val="0014379D"/>
    <w:rsid w:val="001439FC"/>
    <w:rsid w:val="00143A66"/>
    <w:rsid w:val="00143B49"/>
    <w:rsid w:val="00143B97"/>
    <w:rsid w:val="00143BFF"/>
    <w:rsid w:val="00143CEA"/>
    <w:rsid w:val="00143DB1"/>
    <w:rsid w:val="0014485E"/>
    <w:rsid w:val="00145062"/>
    <w:rsid w:val="0014549B"/>
    <w:rsid w:val="0014562E"/>
    <w:rsid w:val="001457A5"/>
    <w:rsid w:val="001463E4"/>
    <w:rsid w:val="00146E29"/>
    <w:rsid w:val="00146E97"/>
    <w:rsid w:val="001470C7"/>
    <w:rsid w:val="001471AD"/>
    <w:rsid w:val="00147710"/>
    <w:rsid w:val="00147F55"/>
    <w:rsid w:val="00147FF5"/>
    <w:rsid w:val="00150009"/>
    <w:rsid w:val="001504E3"/>
    <w:rsid w:val="00151016"/>
    <w:rsid w:val="0015176E"/>
    <w:rsid w:val="00151E78"/>
    <w:rsid w:val="00152247"/>
    <w:rsid w:val="00152B81"/>
    <w:rsid w:val="001549A1"/>
    <w:rsid w:val="00154C69"/>
    <w:rsid w:val="00154D13"/>
    <w:rsid w:val="001553E5"/>
    <w:rsid w:val="00155A8E"/>
    <w:rsid w:val="00155C08"/>
    <w:rsid w:val="00155DCF"/>
    <w:rsid w:val="00156343"/>
    <w:rsid w:val="001569CC"/>
    <w:rsid w:val="001570CD"/>
    <w:rsid w:val="00157541"/>
    <w:rsid w:val="00157736"/>
    <w:rsid w:val="00160336"/>
    <w:rsid w:val="001607D3"/>
    <w:rsid w:val="00160A97"/>
    <w:rsid w:val="0016183F"/>
    <w:rsid w:val="00161D65"/>
    <w:rsid w:val="00162BE8"/>
    <w:rsid w:val="00162C75"/>
    <w:rsid w:val="00162EFA"/>
    <w:rsid w:val="00163B6C"/>
    <w:rsid w:val="00163DE0"/>
    <w:rsid w:val="0016444E"/>
    <w:rsid w:val="0016469C"/>
    <w:rsid w:val="00165670"/>
    <w:rsid w:val="00165AB5"/>
    <w:rsid w:val="00166727"/>
    <w:rsid w:val="001669BE"/>
    <w:rsid w:val="00166C9D"/>
    <w:rsid w:val="00167205"/>
    <w:rsid w:val="00167876"/>
    <w:rsid w:val="0016791C"/>
    <w:rsid w:val="00167A7F"/>
    <w:rsid w:val="00167AD1"/>
    <w:rsid w:val="00170687"/>
    <w:rsid w:val="00171438"/>
    <w:rsid w:val="00171C51"/>
    <w:rsid w:val="0017246A"/>
    <w:rsid w:val="00172879"/>
    <w:rsid w:val="00172985"/>
    <w:rsid w:val="001734A0"/>
    <w:rsid w:val="00174419"/>
    <w:rsid w:val="00174FA4"/>
    <w:rsid w:val="00175516"/>
    <w:rsid w:val="00175738"/>
    <w:rsid w:val="00175E8B"/>
    <w:rsid w:val="001761C4"/>
    <w:rsid w:val="00176315"/>
    <w:rsid w:val="0017660F"/>
    <w:rsid w:val="00176637"/>
    <w:rsid w:val="001769EA"/>
    <w:rsid w:val="00177257"/>
    <w:rsid w:val="001772AD"/>
    <w:rsid w:val="00177642"/>
    <w:rsid w:val="00177656"/>
    <w:rsid w:val="0017771B"/>
    <w:rsid w:val="00177861"/>
    <w:rsid w:val="001803EC"/>
    <w:rsid w:val="00180723"/>
    <w:rsid w:val="00181171"/>
    <w:rsid w:val="00181398"/>
    <w:rsid w:val="001819C2"/>
    <w:rsid w:val="00181ADE"/>
    <w:rsid w:val="001821D5"/>
    <w:rsid w:val="00182680"/>
    <w:rsid w:val="00182A0F"/>
    <w:rsid w:val="00183902"/>
    <w:rsid w:val="001848F3"/>
    <w:rsid w:val="00184B95"/>
    <w:rsid w:val="00184D46"/>
    <w:rsid w:val="00184F72"/>
    <w:rsid w:val="00185302"/>
    <w:rsid w:val="00185637"/>
    <w:rsid w:val="00185A02"/>
    <w:rsid w:val="001869A1"/>
    <w:rsid w:val="001869C9"/>
    <w:rsid w:val="001878AA"/>
    <w:rsid w:val="00187979"/>
    <w:rsid w:val="00187B85"/>
    <w:rsid w:val="00187D45"/>
    <w:rsid w:val="00187E37"/>
    <w:rsid w:val="00190034"/>
    <w:rsid w:val="001905A7"/>
    <w:rsid w:val="001915E3"/>
    <w:rsid w:val="00192F1D"/>
    <w:rsid w:val="0019302D"/>
    <w:rsid w:val="0019306D"/>
    <w:rsid w:val="0019335E"/>
    <w:rsid w:val="00193ADB"/>
    <w:rsid w:val="00194E83"/>
    <w:rsid w:val="001969DC"/>
    <w:rsid w:val="00196F53"/>
    <w:rsid w:val="00197ABA"/>
    <w:rsid w:val="001A0019"/>
    <w:rsid w:val="001A012F"/>
    <w:rsid w:val="001A074E"/>
    <w:rsid w:val="001A0CF5"/>
    <w:rsid w:val="001A139D"/>
    <w:rsid w:val="001A1A33"/>
    <w:rsid w:val="001A3FD4"/>
    <w:rsid w:val="001A5383"/>
    <w:rsid w:val="001A5BF3"/>
    <w:rsid w:val="001A5C0D"/>
    <w:rsid w:val="001A5D6A"/>
    <w:rsid w:val="001A5E90"/>
    <w:rsid w:val="001A618C"/>
    <w:rsid w:val="001A6265"/>
    <w:rsid w:val="001A6EF5"/>
    <w:rsid w:val="001A7CC0"/>
    <w:rsid w:val="001A7F3C"/>
    <w:rsid w:val="001B00A8"/>
    <w:rsid w:val="001B0EB7"/>
    <w:rsid w:val="001B200C"/>
    <w:rsid w:val="001B2450"/>
    <w:rsid w:val="001B253B"/>
    <w:rsid w:val="001B2605"/>
    <w:rsid w:val="001B2D2D"/>
    <w:rsid w:val="001B2D53"/>
    <w:rsid w:val="001B3B94"/>
    <w:rsid w:val="001B3EC2"/>
    <w:rsid w:val="001B3F4A"/>
    <w:rsid w:val="001B54E9"/>
    <w:rsid w:val="001B6395"/>
    <w:rsid w:val="001B6ED2"/>
    <w:rsid w:val="001B720A"/>
    <w:rsid w:val="001B7326"/>
    <w:rsid w:val="001B761F"/>
    <w:rsid w:val="001B7697"/>
    <w:rsid w:val="001B771B"/>
    <w:rsid w:val="001B7B2B"/>
    <w:rsid w:val="001B7DD6"/>
    <w:rsid w:val="001C08E4"/>
    <w:rsid w:val="001C11A8"/>
    <w:rsid w:val="001C1864"/>
    <w:rsid w:val="001C1D99"/>
    <w:rsid w:val="001C2941"/>
    <w:rsid w:val="001C3049"/>
    <w:rsid w:val="001C3370"/>
    <w:rsid w:val="001C3A3B"/>
    <w:rsid w:val="001C433D"/>
    <w:rsid w:val="001C4E9C"/>
    <w:rsid w:val="001C5716"/>
    <w:rsid w:val="001C5765"/>
    <w:rsid w:val="001C657D"/>
    <w:rsid w:val="001C65D9"/>
    <w:rsid w:val="001C66C2"/>
    <w:rsid w:val="001C6966"/>
    <w:rsid w:val="001D1174"/>
    <w:rsid w:val="001D1D17"/>
    <w:rsid w:val="001D1F94"/>
    <w:rsid w:val="001D23ED"/>
    <w:rsid w:val="001D2948"/>
    <w:rsid w:val="001D2A65"/>
    <w:rsid w:val="001D2B39"/>
    <w:rsid w:val="001D31B8"/>
    <w:rsid w:val="001D386B"/>
    <w:rsid w:val="001D3D1D"/>
    <w:rsid w:val="001D5A09"/>
    <w:rsid w:val="001D6311"/>
    <w:rsid w:val="001D6B48"/>
    <w:rsid w:val="001D77EC"/>
    <w:rsid w:val="001E0BAB"/>
    <w:rsid w:val="001E0BE6"/>
    <w:rsid w:val="001E0C36"/>
    <w:rsid w:val="001E1C45"/>
    <w:rsid w:val="001E1CB9"/>
    <w:rsid w:val="001E1E0E"/>
    <w:rsid w:val="001E2028"/>
    <w:rsid w:val="001E2049"/>
    <w:rsid w:val="001E251F"/>
    <w:rsid w:val="001E2CEF"/>
    <w:rsid w:val="001E3095"/>
    <w:rsid w:val="001E3B93"/>
    <w:rsid w:val="001E509D"/>
    <w:rsid w:val="001E5228"/>
    <w:rsid w:val="001E61A8"/>
    <w:rsid w:val="001E70C3"/>
    <w:rsid w:val="001E7118"/>
    <w:rsid w:val="001F0915"/>
    <w:rsid w:val="001F1241"/>
    <w:rsid w:val="001F17A4"/>
    <w:rsid w:val="001F1F27"/>
    <w:rsid w:val="001F1F5A"/>
    <w:rsid w:val="001F2788"/>
    <w:rsid w:val="001F3121"/>
    <w:rsid w:val="001F3BA6"/>
    <w:rsid w:val="001F3DF7"/>
    <w:rsid w:val="001F3E4E"/>
    <w:rsid w:val="001F4036"/>
    <w:rsid w:val="001F4621"/>
    <w:rsid w:val="001F482B"/>
    <w:rsid w:val="001F4F71"/>
    <w:rsid w:val="001F5012"/>
    <w:rsid w:val="001F6270"/>
    <w:rsid w:val="001F65BC"/>
    <w:rsid w:val="001F72DC"/>
    <w:rsid w:val="001F763E"/>
    <w:rsid w:val="00200417"/>
    <w:rsid w:val="002017F5"/>
    <w:rsid w:val="00201980"/>
    <w:rsid w:val="00201C65"/>
    <w:rsid w:val="00201FE3"/>
    <w:rsid w:val="00202F8E"/>
    <w:rsid w:val="00203736"/>
    <w:rsid w:val="002037BB"/>
    <w:rsid w:val="00204444"/>
    <w:rsid w:val="0020538B"/>
    <w:rsid w:val="00205398"/>
    <w:rsid w:val="00205DD4"/>
    <w:rsid w:val="00205FC0"/>
    <w:rsid w:val="00206188"/>
    <w:rsid w:val="002064AC"/>
    <w:rsid w:val="002066E6"/>
    <w:rsid w:val="00206A0F"/>
    <w:rsid w:val="00206FEF"/>
    <w:rsid w:val="00207A4A"/>
    <w:rsid w:val="00207BA1"/>
    <w:rsid w:val="00207D56"/>
    <w:rsid w:val="00210B2B"/>
    <w:rsid w:val="00210FFA"/>
    <w:rsid w:val="00211937"/>
    <w:rsid w:val="00212312"/>
    <w:rsid w:val="00212A24"/>
    <w:rsid w:val="00212C9A"/>
    <w:rsid w:val="002140A7"/>
    <w:rsid w:val="002163A1"/>
    <w:rsid w:val="00216EC0"/>
    <w:rsid w:val="00221B3C"/>
    <w:rsid w:val="00221EC7"/>
    <w:rsid w:val="00222DC8"/>
    <w:rsid w:val="002235A9"/>
    <w:rsid w:val="00223CDA"/>
    <w:rsid w:val="00224264"/>
    <w:rsid w:val="00224747"/>
    <w:rsid w:val="00224D62"/>
    <w:rsid w:val="002258BB"/>
    <w:rsid w:val="0022630F"/>
    <w:rsid w:val="002268AF"/>
    <w:rsid w:val="0022692E"/>
    <w:rsid w:val="00226B50"/>
    <w:rsid w:val="00226D6F"/>
    <w:rsid w:val="002273ED"/>
    <w:rsid w:val="00227E29"/>
    <w:rsid w:val="0023032A"/>
    <w:rsid w:val="0023039B"/>
    <w:rsid w:val="0023070B"/>
    <w:rsid w:val="00230847"/>
    <w:rsid w:val="00231007"/>
    <w:rsid w:val="00231AB4"/>
    <w:rsid w:val="00231F94"/>
    <w:rsid w:val="00232784"/>
    <w:rsid w:val="002333F6"/>
    <w:rsid w:val="00233929"/>
    <w:rsid w:val="00233B58"/>
    <w:rsid w:val="00233B75"/>
    <w:rsid w:val="002340E3"/>
    <w:rsid w:val="00235099"/>
    <w:rsid w:val="00235CA5"/>
    <w:rsid w:val="00237BE2"/>
    <w:rsid w:val="00237BFB"/>
    <w:rsid w:val="00240144"/>
    <w:rsid w:val="00240168"/>
    <w:rsid w:val="00240622"/>
    <w:rsid w:val="00241206"/>
    <w:rsid w:val="002419CC"/>
    <w:rsid w:val="00242451"/>
    <w:rsid w:val="00242C5A"/>
    <w:rsid w:val="00243025"/>
    <w:rsid w:val="00243034"/>
    <w:rsid w:val="00243CB6"/>
    <w:rsid w:val="00243D6A"/>
    <w:rsid w:val="00245410"/>
    <w:rsid w:val="00245924"/>
    <w:rsid w:val="00245CA2"/>
    <w:rsid w:val="0024627E"/>
    <w:rsid w:val="00246D6D"/>
    <w:rsid w:val="00246DBD"/>
    <w:rsid w:val="0024723A"/>
    <w:rsid w:val="002504CA"/>
    <w:rsid w:val="002509E4"/>
    <w:rsid w:val="00250F02"/>
    <w:rsid w:val="002513ED"/>
    <w:rsid w:val="0025141B"/>
    <w:rsid w:val="0025173A"/>
    <w:rsid w:val="00251B52"/>
    <w:rsid w:val="00251CBE"/>
    <w:rsid w:val="00251F1E"/>
    <w:rsid w:val="00251FD0"/>
    <w:rsid w:val="00252596"/>
    <w:rsid w:val="00252EDA"/>
    <w:rsid w:val="00253523"/>
    <w:rsid w:val="00253C0D"/>
    <w:rsid w:val="002546DC"/>
    <w:rsid w:val="00254D16"/>
    <w:rsid w:val="0025659C"/>
    <w:rsid w:val="00256C22"/>
    <w:rsid w:val="00257396"/>
    <w:rsid w:val="00257419"/>
    <w:rsid w:val="002578BD"/>
    <w:rsid w:val="00257C32"/>
    <w:rsid w:val="002613AE"/>
    <w:rsid w:val="00261503"/>
    <w:rsid w:val="00261F70"/>
    <w:rsid w:val="00262514"/>
    <w:rsid w:val="00262B9D"/>
    <w:rsid w:val="002633FB"/>
    <w:rsid w:val="00263968"/>
    <w:rsid w:val="00263AC3"/>
    <w:rsid w:val="00263B5D"/>
    <w:rsid w:val="00263C29"/>
    <w:rsid w:val="002664C3"/>
    <w:rsid w:val="0026661D"/>
    <w:rsid w:val="0026686C"/>
    <w:rsid w:val="00266AFA"/>
    <w:rsid w:val="00267807"/>
    <w:rsid w:val="00267FF8"/>
    <w:rsid w:val="0027045B"/>
    <w:rsid w:val="0027053B"/>
    <w:rsid w:val="00270544"/>
    <w:rsid w:val="0027181C"/>
    <w:rsid w:val="00271BCB"/>
    <w:rsid w:val="00271BF9"/>
    <w:rsid w:val="00271C5C"/>
    <w:rsid w:val="002722FD"/>
    <w:rsid w:val="00273131"/>
    <w:rsid w:val="00274841"/>
    <w:rsid w:val="00274B8E"/>
    <w:rsid w:val="00275B45"/>
    <w:rsid w:val="00275F6C"/>
    <w:rsid w:val="00276881"/>
    <w:rsid w:val="00276899"/>
    <w:rsid w:val="00276E5C"/>
    <w:rsid w:val="0027767C"/>
    <w:rsid w:val="002800D2"/>
    <w:rsid w:val="00280B9F"/>
    <w:rsid w:val="002827DF"/>
    <w:rsid w:val="00282E57"/>
    <w:rsid w:val="00282ED3"/>
    <w:rsid w:val="002839C2"/>
    <w:rsid w:val="00284603"/>
    <w:rsid w:val="00284E2E"/>
    <w:rsid w:val="0028509D"/>
    <w:rsid w:val="00285194"/>
    <w:rsid w:val="0028555C"/>
    <w:rsid w:val="00285745"/>
    <w:rsid w:val="00286760"/>
    <w:rsid w:val="002869EF"/>
    <w:rsid w:val="00286A4B"/>
    <w:rsid w:val="00286C93"/>
    <w:rsid w:val="0028719F"/>
    <w:rsid w:val="00287610"/>
    <w:rsid w:val="00287830"/>
    <w:rsid w:val="002879A6"/>
    <w:rsid w:val="00287E3A"/>
    <w:rsid w:val="00287E5F"/>
    <w:rsid w:val="00287FCE"/>
    <w:rsid w:val="0029032D"/>
    <w:rsid w:val="002904D3"/>
    <w:rsid w:val="0029089D"/>
    <w:rsid w:val="002909A1"/>
    <w:rsid w:val="00290A13"/>
    <w:rsid w:val="00291451"/>
    <w:rsid w:val="0029187C"/>
    <w:rsid w:val="00291A75"/>
    <w:rsid w:val="00291CBE"/>
    <w:rsid w:val="002922B1"/>
    <w:rsid w:val="002930A4"/>
    <w:rsid w:val="0029387B"/>
    <w:rsid w:val="00293E31"/>
    <w:rsid w:val="002943E9"/>
    <w:rsid w:val="00294A15"/>
    <w:rsid w:val="0029599D"/>
    <w:rsid w:val="00295F26"/>
    <w:rsid w:val="00297A52"/>
    <w:rsid w:val="002A029E"/>
    <w:rsid w:val="002A0682"/>
    <w:rsid w:val="002A0AA5"/>
    <w:rsid w:val="002A0AB4"/>
    <w:rsid w:val="002A0B48"/>
    <w:rsid w:val="002A15DD"/>
    <w:rsid w:val="002A239E"/>
    <w:rsid w:val="002A27AC"/>
    <w:rsid w:val="002A2DC6"/>
    <w:rsid w:val="002A4A1C"/>
    <w:rsid w:val="002A5049"/>
    <w:rsid w:val="002A69AD"/>
    <w:rsid w:val="002A6A47"/>
    <w:rsid w:val="002A6D90"/>
    <w:rsid w:val="002A6E68"/>
    <w:rsid w:val="002A711A"/>
    <w:rsid w:val="002A76C0"/>
    <w:rsid w:val="002A78E9"/>
    <w:rsid w:val="002B0AF3"/>
    <w:rsid w:val="002B0D28"/>
    <w:rsid w:val="002B1832"/>
    <w:rsid w:val="002B1D1D"/>
    <w:rsid w:val="002B2447"/>
    <w:rsid w:val="002B2AD9"/>
    <w:rsid w:val="002B2BD0"/>
    <w:rsid w:val="002B2C09"/>
    <w:rsid w:val="002B309E"/>
    <w:rsid w:val="002B4449"/>
    <w:rsid w:val="002B5035"/>
    <w:rsid w:val="002B56FC"/>
    <w:rsid w:val="002B5740"/>
    <w:rsid w:val="002B59FE"/>
    <w:rsid w:val="002B5EA8"/>
    <w:rsid w:val="002B637B"/>
    <w:rsid w:val="002B6380"/>
    <w:rsid w:val="002B663C"/>
    <w:rsid w:val="002B6AC5"/>
    <w:rsid w:val="002B6E1D"/>
    <w:rsid w:val="002B77F2"/>
    <w:rsid w:val="002B7853"/>
    <w:rsid w:val="002B7871"/>
    <w:rsid w:val="002B7C0C"/>
    <w:rsid w:val="002B7E17"/>
    <w:rsid w:val="002C026D"/>
    <w:rsid w:val="002C0986"/>
    <w:rsid w:val="002C0A81"/>
    <w:rsid w:val="002C13D6"/>
    <w:rsid w:val="002C2178"/>
    <w:rsid w:val="002C2312"/>
    <w:rsid w:val="002C2BF4"/>
    <w:rsid w:val="002C32BA"/>
    <w:rsid w:val="002C3305"/>
    <w:rsid w:val="002C3A39"/>
    <w:rsid w:val="002C45B0"/>
    <w:rsid w:val="002C54D9"/>
    <w:rsid w:val="002C5747"/>
    <w:rsid w:val="002C5C79"/>
    <w:rsid w:val="002C6A89"/>
    <w:rsid w:val="002C71A8"/>
    <w:rsid w:val="002C7262"/>
    <w:rsid w:val="002C79D2"/>
    <w:rsid w:val="002D036A"/>
    <w:rsid w:val="002D079C"/>
    <w:rsid w:val="002D08B1"/>
    <w:rsid w:val="002D20B4"/>
    <w:rsid w:val="002D20EB"/>
    <w:rsid w:val="002D22EF"/>
    <w:rsid w:val="002D2566"/>
    <w:rsid w:val="002D2B0D"/>
    <w:rsid w:val="002D3C88"/>
    <w:rsid w:val="002D3D8D"/>
    <w:rsid w:val="002D4170"/>
    <w:rsid w:val="002D4BC2"/>
    <w:rsid w:val="002D4CD4"/>
    <w:rsid w:val="002D5341"/>
    <w:rsid w:val="002D5524"/>
    <w:rsid w:val="002D564B"/>
    <w:rsid w:val="002D649C"/>
    <w:rsid w:val="002D66DD"/>
    <w:rsid w:val="002D67FA"/>
    <w:rsid w:val="002D700E"/>
    <w:rsid w:val="002D7297"/>
    <w:rsid w:val="002D72C1"/>
    <w:rsid w:val="002D77DE"/>
    <w:rsid w:val="002D7B3B"/>
    <w:rsid w:val="002D7D23"/>
    <w:rsid w:val="002D7D5E"/>
    <w:rsid w:val="002D7F78"/>
    <w:rsid w:val="002E018A"/>
    <w:rsid w:val="002E0981"/>
    <w:rsid w:val="002E0C65"/>
    <w:rsid w:val="002E0F34"/>
    <w:rsid w:val="002E1FAA"/>
    <w:rsid w:val="002E20AC"/>
    <w:rsid w:val="002E30DB"/>
    <w:rsid w:val="002E39AC"/>
    <w:rsid w:val="002E40C8"/>
    <w:rsid w:val="002E5AE0"/>
    <w:rsid w:val="002E5F3A"/>
    <w:rsid w:val="002E692E"/>
    <w:rsid w:val="002E6AB9"/>
    <w:rsid w:val="002E747E"/>
    <w:rsid w:val="002E7807"/>
    <w:rsid w:val="002E79A9"/>
    <w:rsid w:val="002E7D7B"/>
    <w:rsid w:val="002E7FCB"/>
    <w:rsid w:val="002F00C8"/>
    <w:rsid w:val="002F011A"/>
    <w:rsid w:val="002F0A50"/>
    <w:rsid w:val="002F10AC"/>
    <w:rsid w:val="002F12B7"/>
    <w:rsid w:val="002F1448"/>
    <w:rsid w:val="002F15E3"/>
    <w:rsid w:val="002F1C62"/>
    <w:rsid w:val="002F1CD4"/>
    <w:rsid w:val="002F1DA9"/>
    <w:rsid w:val="002F1F1F"/>
    <w:rsid w:val="002F27AC"/>
    <w:rsid w:val="002F3540"/>
    <w:rsid w:val="002F3890"/>
    <w:rsid w:val="002F547B"/>
    <w:rsid w:val="002F5B1B"/>
    <w:rsid w:val="002F5E94"/>
    <w:rsid w:val="002F5EEE"/>
    <w:rsid w:val="002F70A2"/>
    <w:rsid w:val="002F71C3"/>
    <w:rsid w:val="002F74DC"/>
    <w:rsid w:val="003000B8"/>
    <w:rsid w:val="0030041A"/>
    <w:rsid w:val="003007F9"/>
    <w:rsid w:val="00300868"/>
    <w:rsid w:val="00300FF0"/>
    <w:rsid w:val="00301CD5"/>
    <w:rsid w:val="00301F6D"/>
    <w:rsid w:val="00302B65"/>
    <w:rsid w:val="003032BB"/>
    <w:rsid w:val="0030381C"/>
    <w:rsid w:val="003039BC"/>
    <w:rsid w:val="003041B3"/>
    <w:rsid w:val="003042D1"/>
    <w:rsid w:val="00304621"/>
    <w:rsid w:val="00305251"/>
    <w:rsid w:val="00305E15"/>
    <w:rsid w:val="00306D70"/>
    <w:rsid w:val="00306F52"/>
    <w:rsid w:val="003075A2"/>
    <w:rsid w:val="003106D8"/>
    <w:rsid w:val="00310D70"/>
    <w:rsid w:val="00311382"/>
    <w:rsid w:val="0031173B"/>
    <w:rsid w:val="00311C98"/>
    <w:rsid w:val="00312918"/>
    <w:rsid w:val="00312A17"/>
    <w:rsid w:val="00313115"/>
    <w:rsid w:val="00313203"/>
    <w:rsid w:val="00313B69"/>
    <w:rsid w:val="0031448E"/>
    <w:rsid w:val="00314561"/>
    <w:rsid w:val="00314FDA"/>
    <w:rsid w:val="00314FE5"/>
    <w:rsid w:val="003152F3"/>
    <w:rsid w:val="0031557A"/>
    <w:rsid w:val="0031558F"/>
    <w:rsid w:val="003163FB"/>
    <w:rsid w:val="003164CE"/>
    <w:rsid w:val="00316673"/>
    <w:rsid w:val="00316D95"/>
    <w:rsid w:val="00317053"/>
    <w:rsid w:val="0031709D"/>
    <w:rsid w:val="0031738D"/>
    <w:rsid w:val="00320315"/>
    <w:rsid w:val="00320628"/>
    <w:rsid w:val="00320828"/>
    <w:rsid w:val="003209DA"/>
    <w:rsid w:val="00321084"/>
    <w:rsid w:val="003235A0"/>
    <w:rsid w:val="003236FE"/>
    <w:rsid w:val="00323A23"/>
    <w:rsid w:val="00323D2E"/>
    <w:rsid w:val="00324035"/>
    <w:rsid w:val="00324786"/>
    <w:rsid w:val="003248C9"/>
    <w:rsid w:val="00324B2B"/>
    <w:rsid w:val="00324BC4"/>
    <w:rsid w:val="00324F3F"/>
    <w:rsid w:val="00325A16"/>
    <w:rsid w:val="00325E2B"/>
    <w:rsid w:val="00327081"/>
    <w:rsid w:val="00327A24"/>
    <w:rsid w:val="00330F99"/>
    <w:rsid w:val="00331409"/>
    <w:rsid w:val="00331F7F"/>
    <w:rsid w:val="003326A1"/>
    <w:rsid w:val="0033284C"/>
    <w:rsid w:val="003328E9"/>
    <w:rsid w:val="00332A6C"/>
    <w:rsid w:val="003330FA"/>
    <w:rsid w:val="0033344E"/>
    <w:rsid w:val="00333894"/>
    <w:rsid w:val="00333ED4"/>
    <w:rsid w:val="00334BE1"/>
    <w:rsid w:val="0033543C"/>
    <w:rsid w:val="003354DC"/>
    <w:rsid w:val="00335893"/>
    <w:rsid w:val="00335B9C"/>
    <w:rsid w:val="00335C5E"/>
    <w:rsid w:val="00335D5A"/>
    <w:rsid w:val="00335F5D"/>
    <w:rsid w:val="0033601D"/>
    <w:rsid w:val="00336A36"/>
    <w:rsid w:val="00337157"/>
    <w:rsid w:val="00337276"/>
    <w:rsid w:val="003374BF"/>
    <w:rsid w:val="003379A7"/>
    <w:rsid w:val="0034065B"/>
    <w:rsid w:val="00340C09"/>
    <w:rsid w:val="00340E0B"/>
    <w:rsid w:val="00341293"/>
    <w:rsid w:val="00341F3C"/>
    <w:rsid w:val="003427A8"/>
    <w:rsid w:val="0034298D"/>
    <w:rsid w:val="003431A6"/>
    <w:rsid w:val="003434E9"/>
    <w:rsid w:val="0034405B"/>
    <w:rsid w:val="00344B70"/>
    <w:rsid w:val="00346C8C"/>
    <w:rsid w:val="0034729E"/>
    <w:rsid w:val="003476E1"/>
    <w:rsid w:val="0035019C"/>
    <w:rsid w:val="00350381"/>
    <w:rsid w:val="00350CA0"/>
    <w:rsid w:val="00350D5D"/>
    <w:rsid w:val="00350DE2"/>
    <w:rsid w:val="003512EA"/>
    <w:rsid w:val="003518BD"/>
    <w:rsid w:val="00351C82"/>
    <w:rsid w:val="00351E9F"/>
    <w:rsid w:val="00352999"/>
    <w:rsid w:val="00352FB7"/>
    <w:rsid w:val="00352FE8"/>
    <w:rsid w:val="003530C5"/>
    <w:rsid w:val="00353EF4"/>
    <w:rsid w:val="0035590B"/>
    <w:rsid w:val="00355F85"/>
    <w:rsid w:val="00355FBB"/>
    <w:rsid w:val="00356304"/>
    <w:rsid w:val="00356954"/>
    <w:rsid w:val="003578D5"/>
    <w:rsid w:val="003578E3"/>
    <w:rsid w:val="00357E0D"/>
    <w:rsid w:val="00362044"/>
    <w:rsid w:val="00362064"/>
    <w:rsid w:val="003624CB"/>
    <w:rsid w:val="00362C31"/>
    <w:rsid w:val="00362C49"/>
    <w:rsid w:val="003635C5"/>
    <w:rsid w:val="0036361E"/>
    <w:rsid w:val="00363F1F"/>
    <w:rsid w:val="0036413A"/>
    <w:rsid w:val="003645CD"/>
    <w:rsid w:val="00365CD4"/>
    <w:rsid w:val="00366082"/>
    <w:rsid w:val="00366448"/>
    <w:rsid w:val="0036768A"/>
    <w:rsid w:val="00370A73"/>
    <w:rsid w:val="00370FFA"/>
    <w:rsid w:val="00371261"/>
    <w:rsid w:val="00372029"/>
    <w:rsid w:val="003725DB"/>
    <w:rsid w:val="00372AF2"/>
    <w:rsid w:val="00372E23"/>
    <w:rsid w:val="003731CA"/>
    <w:rsid w:val="0037352E"/>
    <w:rsid w:val="0037380F"/>
    <w:rsid w:val="00373AB7"/>
    <w:rsid w:val="00373B96"/>
    <w:rsid w:val="003740AD"/>
    <w:rsid w:val="00374B2A"/>
    <w:rsid w:val="00374E38"/>
    <w:rsid w:val="003757F0"/>
    <w:rsid w:val="00376110"/>
    <w:rsid w:val="003763AA"/>
    <w:rsid w:val="00376494"/>
    <w:rsid w:val="003764AC"/>
    <w:rsid w:val="003766DD"/>
    <w:rsid w:val="003771D1"/>
    <w:rsid w:val="003778BF"/>
    <w:rsid w:val="00380221"/>
    <w:rsid w:val="00380FB5"/>
    <w:rsid w:val="00381706"/>
    <w:rsid w:val="003822FE"/>
    <w:rsid w:val="00382AB7"/>
    <w:rsid w:val="00382DB4"/>
    <w:rsid w:val="00383532"/>
    <w:rsid w:val="00384D3D"/>
    <w:rsid w:val="00384FFF"/>
    <w:rsid w:val="003852E3"/>
    <w:rsid w:val="00385D2B"/>
    <w:rsid w:val="0038604A"/>
    <w:rsid w:val="003862F8"/>
    <w:rsid w:val="0038725C"/>
    <w:rsid w:val="00387510"/>
    <w:rsid w:val="00387F73"/>
    <w:rsid w:val="00390F86"/>
    <w:rsid w:val="0039186C"/>
    <w:rsid w:val="00391A53"/>
    <w:rsid w:val="003929DA"/>
    <w:rsid w:val="00392C08"/>
    <w:rsid w:val="00393811"/>
    <w:rsid w:val="00393EDC"/>
    <w:rsid w:val="0039510F"/>
    <w:rsid w:val="003951C7"/>
    <w:rsid w:val="00395C5B"/>
    <w:rsid w:val="00395F44"/>
    <w:rsid w:val="003961AA"/>
    <w:rsid w:val="00396704"/>
    <w:rsid w:val="00396EC8"/>
    <w:rsid w:val="003977D2"/>
    <w:rsid w:val="0039792F"/>
    <w:rsid w:val="003A1606"/>
    <w:rsid w:val="003A1BAD"/>
    <w:rsid w:val="003A27EB"/>
    <w:rsid w:val="003A29BE"/>
    <w:rsid w:val="003A2B89"/>
    <w:rsid w:val="003A2BEB"/>
    <w:rsid w:val="003A349A"/>
    <w:rsid w:val="003A3969"/>
    <w:rsid w:val="003A3DDE"/>
    <w:rsid w:val="003A41D5"/>
    <w:rsid w:val="003A4BDE"/>
    <w:rsid w:val="003A5371"/>
    <w:rsid w:val="003A767F"/>
    <w:rsid w:val="003A76AA"/>
    <w:rsid w:val="003A7FE2"/>
    <w:rsid w:val="003B002C"/>
    <w:rsid w:val="003B09F1"/>
    <w:rsid w:val="003B227F"/>
    <w:rsid w:val="003B2445"/>
    <w:rsid w:val="003B24DA"/>
    <w:rsid w:val="003B2C09"/>
    <w:rsid w:val="003B37A9"/>
    <w:rsid w:val="003B3BA1"/>
    <w:rsid w:val="003B4894"/>
    <w:rsid w:val="003B4994"/>
    <w:rsid w:val="003B5327"/>
    <w:rsid w:val="003B6221"/>
    <w:rsid w:val="003B76BD"/>
    <w:rsid w:val="003B771D"/>
    <w:rsid w:val="003B7852"/>
    <w:rsid w:val="003B797D"/>
    <w:rsid w:val="003C0152"/>
    <w:rsid w:val="003C034B"/>
    <w:rsid w:val="003C03C9"/>
    <w:rsid w:val="003C06D6"/>
    <w:rsid w:val="003C0D33"/>
    <w:rsid w:val="003C0EF3"/>
    <w:rsid w:val="003C18BB"/>
    <w:rsid w:val="003C1B25"/>
    <w:rsid w:val="003C1C59"/>
    <w:rsid w:val="003C2208"/>
    <w:rsid w:val="003C2EF1"/>
    <w:rsid w:val="003C3612"/>
    <w:rsid w:val="003C3B11"/>
    <w:rsid w:val="003C3C30"/>
    <w:rsid w:val="003C5A86"/>
    <w:rsid w:val="003C5AF6"/>
    <w:rsid w:val="003C5ED8"/>
    <w:rsid w:val="003C72AA"/>
    <w:rsid w:val="003C72E1"/>
    <w:rsid w:val="003C7D91"/>
    <w:rsid w:val="003C7E07"/>
    <w:rsid w:val="003D05C6"/>
    <w:rsid w:val="003D088C"/>
    <w:rsid w:val="003D097D"/>
    <w:rsid w:val="003D1D09"/>
    <w:rsid w:val="003D1FAD"/>
    <w:rsid w:val="003D2AFB"/>
    <w:rsid w:val="003D2B7E"/>
    <w:rsid w:val="003D3202"/>
    <w:rsid w:val="003D36BF"/>
    <w:rsid w:val="003D40AE"/>
    <w:rsid w:val="003D40C5"/>
    <w:rsid w:val="003D4451"/>
    <w:rsid w:val="003D4D4C"/>
    <w:rsid w:val="003D54FC"/>
    <w:rsid w:val="003D5CED"/>
    <w:rsid w:val="003D67C9"/>
    <w:rsid w:val="003D6C51"/>
    <w:rsid w:val="003D73E2"/>
    <w:rsid w:val="003D787F"/>
    <w:rsid w:val="003E01A1"/>
    <w:rsid w:val="003E0668"/>
    <w:rsid w:val="003E06BC"/>
    <w:rsid w:val="003E105B"/>
    <w:rsid w:val="003E11E2"/>
    <w:rsid w:val="003E15E4"/>
    <w:rsid w:val="003E17DF"/>
    <w:rsid w:val="003E1D69"/>
    <w:rsid w:val="003E2CD4"/>
    <w:rsid w:val="003E2D6E"/>
    <w:rsid w:val="003E3906"/>
    <w:rsid w:val="003E3C05"/>
    <w:rsid w:val="003E3F97"/>
    <w:rsid w:val="003E4348"/>
    <w:rsid w:val="003E455A"/>
    <w:rsid w:val="003E46F5"/>
    <w:rsid w:val="003E4B12"/>
    <w:rsid w:val="003E4DC2"/>
    <w:rsid w:val="003E4DCB"/>
    <w:rsid w:val="003E4FA3"/>
    <w:rsid w:val="003E511B"/>
    <w:rsid w:val="003E5217"/>
    <w:rsid w:val="003E535C"/>
    <w:rsid w:val="003E59BC"/>
    <w:rsid w:val="003E59C0"/>
    <w:rsid w:val="003E5C43"/>
    <w:rsid w:val="003E6222"/>
    <w:rsid w:val="003E6F48"/>
    <w:rsid w:val="003E7D97"/>
    <w:rsid w:val="003F027C"/>
    <w:rsid w:val="003F0297"/>
    <w:rsid w:val="003F05F7"/>
    <w:rsid w:val="003F116F"/>
    <w:rsid w:val="003F1CC9"/>
    <w:rsid w:val="003F2BC7"/>
    <w:rsid w:val="003F39E4"/>
    <w:rsid w:val="003F3C6E"/>
    <w:rsid w:val="003F4362"/>
    <w:rsid w:val="003F4609"/>
    <w:rsid w:val="003F4B2E"/>
    <w:rsid w:val="003F4B32"/>
    <w:rsid w:val="003F5C98"/>
    <w:rsid w:val="003F61B4"/>
    <w:rsid w:val="003F6222"/>
    <w:rsid w:val="003F7016"/>
    <w:rsid w:val="003F7F85"/>
    <w:rsid w:val="00400277"/>
    <w:rsid w:val="00400429"/>
    <w:rsid w:val="00400469"/>
    <w:rsid w:val="0040046E"/>
    <w:rsid w:val="00400BE1"/>
    <w:rsid w:val="004011A2"/>
    <w:rsid w:val="00401B04"/>
    <w:rsid w:val="00402766"/>
    <w:rsid w:val="00403287"/>
    <w:rsid w:val="00403411"/>
    <w:rsid w:val="00403D61"/>
    <w:rsid w:val="00403E66"/>
    <w:rsid w:val="00403EA8"/>
    <w:rsid w:val="00406120"/>
    <w:rsid w:val="00406262"/>
    <w:rsid w:val="00406392"/>
    <w:rsid w:val="0040684F"/>
    <w:rsid w:val="004068A4"/>
    <w:rsid w:val="0040697D"/>
    <w:rsid w:val="00406E31"/>
    <w:rsid w:val="004071E6"/>
    <w:rsid w:val="004071FC"/>
    <w:rsid w:val="0040776B"/>
    <w:rsid w:val="004102D1"/>
    <w:rsid w:val="004117B6"/>
    <w:rsid w:val="00411AD5"/>
    <w:rsid w:val="00411F94"/>
    <w:rsid w:val="00411FAB"/>
    <w:rsid w:val="0041276E"/>
    <w:rsid w:val="00413019"/>
    <w:rsid w:val="00413CCD"/>
    <w:rsid w:val="00414A0B"/>
    <w:rsid w:val="0041518C"/>
    <w:rsid w:val="00415C5F"/>
    <w:rsid w:val="00415FDC"/>
    <w:rsid w:val="004169B8"/>
    <w:rsid w:val="00416C45"/>
    <w:rsid w:val="00417B88"/>
    <w:rsid w:val="00417EA6"/>
    <w:rsid w:val="004204DD"/>
    <w:rsid w:val="004204E7"/>
    <w:rsid w:val="00421225"/>
    <w:rsid w:val="0042304C"/>
    <w:rsid w:val="00423073"/>
    <w:rsid w:val="00423697"/>
    <w:rsid w:val="00423926"/>
    <w:rsid w:val="004244FF"/>
    <w:rsid w:val="004249E9"/>
    <w:rsid w:val="0042503C"/>
    <w:rsid w:val="00425153"/>
    <w:rsid w:val="0042573D"/>
    <w:rsid w:val="00425771"/>
    <w:rsid w:val="00425917"/>
    <w:rsid w:val="00426263"/>
    <w:rsid w:val="00426493"/>
    <w:rsid w:val="004268D0"/>
    <w:rsid w:val="0042698A"/>
    <w:rsid w:val="00426C75"/>
    <w:rsid w:val="00427360"/>
    <w:rsid w:val="00427BAB"/>
    <w:rsid w:val="00427E5F"/>
    <w:rsid w:val="00427F07"/>
    <w:rsid w:val="0043048F"/>
    <w:rsid w:val="004307D5"/>
    <w:rsid w:val="00430F3A"/>
    <w:rsid w:val="00431549"/>
    <w:rsid w:val="004317A2"/>
    <w:rsid w:val="00431E48"/>
    <w:rsid w:val="00431EFA"/>
    <w:rsid w:val="004323BB"/>
    <w:rsid w:val="004328A6"/>
    <w:rsid w:val="00433280"/>
    <w:rsid w:val="00434319"/>
    <w:rsid w:val="00434F30"/>
    <w:rsid w:val="00436E67"/>
    <w:rsid w:val="004371B6"/>
    <w:rsid w:val="0043739B"/>
    <w:rsid w:val="00437A18"/>
    <w:rsid w:val="00440768"/>
    <w:rsid w:val="00441393"/>
    <w:rsid w:val="00442625"/>
    <w:rsid w:val="00442A79"/>
    <w:rsid w:val="00442F8B"/>
    <w:rsid w:val="00442F8E"/>
    <w:rsid w:val="00443432"/>
    <w:rsid w:val="00443986"/>
    <w:rsid w:val="00444A74"/>
    <w:rsid w:val="00444C4D"/>
    <w:rsid w:val="00444CC6"/>
    <w:rsid w:val="00445015"/>
    <w:rsid w:val="004450B0"/>
    <w:rsid w:val="00445755"/>
    <w:rsid w:val="00445AE6"/>
    <w:rsid w:val="00445B44"/>
    <w:rsid w:val="00445D3C"/>
    <w:rsid w:val="00445FDD"/>
    <w:rsid w:val="0044634C"/>
    <w:rsid w:val="00446432"/>
    <w:rsid w:val="004464BC"/>
    <w:rsid w:val="00447140"/>
    <w:rsid w:val="004474CE"/>
    <w:rsid w:val="004474FC"/>
    <w:rsid w:val="0044755B"/>
    <w:rsid w:val="004475A7"/>
    <w:rsid w:val="00447980"/>
    <w:rsid w:val="00447FAC"/>
    <w:rsid w:val="0045023E"/>
    <w:rsid w:val="00450AC8"/>
    <w:rsid w:val="004512B3"/>
    <w:rsid w:val="004512C6"/>
    <w:rsid w:val="0045218F"/>
    <w:rsid w:val="00452283"/>
    <w:rsid w:val="004526B5"/>
    <w:rsid w:val="00452C6D"/>
    <w:rsid w:val="004535B2"/>
    <w:rsid w:val="004540E8"/>
    <w:rsid w:val="0045488C"/>
    <w:rsid w:val="004548F5"/>
    <w:rsid w:val="00454D8F"/>
    <w:rsid w:val="00454E0D"/>
    <w:rsid w:val="0045549B"/>
    <w:rsid w:val="004557BD"/>
    <w:rsid w:val="00455D11"/>
    <w:rsid w:val="00455ED0"/>
    <w:rsid w:val="00456434"/>
    <w:rsid w:val="0045688B"/>
    <w:rsid w:val="004570E0"/>
    <w:rsid w:val="0045732D"/>
    <w:rsid w:val="00457843"/>
    <w:rsid w:val="0046087E"/>
    <w:rsid w:val="004615D7"/>
    <w:rsid w:val="004618F2"/>
    <w:rsid w:val="00462765"/>
    <w:rsid w:val="00462775"/>
    <w:rsid w:val="00462BB3"/>
    <w:rsid w:val="00462CA0"/>
    <w:rsid w:val="00462D52"/>
    <w:rsid w:val="00463D12"/>
    <w:rsid w:val="00464DB7"/>
    <w:rsid w:val="00465185"/>
    <w:rsid w:val="0046537B"/>
    <w:rsid w:val="0046538D"/>
    <w:rsid w:val="00465D56"/>
    <w:rsid w:val="00466794"/>
    <w:rsid w:val="00466D89"/>
    <w:rsid w:val="00467104"/>
    <w:rsid w:val="0046724E"/>
    <w:rsid w:val="004704F5"/>
    <w:rsid w:val="004712F5"/>
    <w:rsid w:val="00471556"/>
    <w:rsid w:val="00471A5E"/>
    <w:rsid w:val="00472461"/>
    <w:rsid w:val="00472843"/>
    <w:rsid w:val="004735CD"/>
    <w:rsid w:val="00473D0C"/>
    <w:rsid w:val="004744E9"/>
    <w:rsid w:val="00474C18"/>
    <w:rsid w:val="0047598D"/>
    <w:rsid w:val="00476590"/>
    <w:rsid w:val="00476AD4"/>
    <w:rsid w:val="00476CD5"/>
    <w:rsid w:val="00477150"/>
    <w:rsid w:val="00477502"/>
    <w:rsid w:val="004777B6"/>
    <w:rsid w:val="004801C7"/>
    <w:rsid w:val="00480F3E"/>
    <w:rsid w:val="00481666"/>
    <w:rsid w:val="004825F5"/>
    <w:rsid w:val="0048387C"/>
    <w:rsid w:val="0048472D"/>
    <w:rsid w:val="0048496B"/>
    <w:rsid w:val="00484A39"/>
    <w:rsid w:val="00484CDC"/>
    <w:rsid w:val="00485261"/>
    <w:rsid w:val="00485336"/>
    <w:rsid w:val="004855D6"/>
    <w:rsid w:val="004856A6"/>
    <w:rsid w:val="00485726"/>
    <w:rsid w:val="00485864"/>
    <w:rsid w:val="00485C25"/>
    <w:rsid w:val="00485CDB"/>
    <w:rsid w:val="0048659E"/>
    <w:rsid w:val="0048739C"/>
    <w:rsid w:val="0049095B"/>
    <w:rsid w:val="00490D10"/>
    <w:rsid w:val="004910BA"/>
    <w:rsid w:val="004913DA"/>
    <w:rsid w:val="00491B85"/>
    <w:rsid w:val="00492251"/>
    <w:rsid w:val="004922DC"/>
    <w:rsid w:val="0049254F"/>
    <w:rsid w:val="00492872"/>
    <w:rsid w:val="00492AE4"/>
    <w:rsid w:val="00492CE6"/>
    <w:rsid w:val="004934E4"/>
    <w:rsid w:val="00493748"/>
    <w:rsid w:val="0049449E"/>
    <w:rsid w:val="004948C4"/>
    <w:rsid w:val="00494ED0"/>
    <w:rsid w:val="004953B3"/>
    <w:rsid w:val="004955A9"/>
    <w:rsid w:val="004956D1"/>
    <w:rsid w:val="00495F78"/>
    <w:rsid w:val="004976C2"/>
    <w:rsid w:val="00497AAB"/>
    <w:rsid w:val="00497D52"/>
    <w:rsid w:val="00497F98"/>
    <w:rsid w:val="00497FE4"/>
    <w:rsid w:val="004A0017"/>
    <w:rsid w:val="004A0451"/>
    <w:rsid w:val="004A0490"/>
    <w:rsid w:val="004A059D"/>
    <w:rsid w:val="004A082B"/>
    <w:rsid w:val="004A083A"/>
    <w:rsid w:val="004A09F8"/>
    <w:rsid w:val="004A0F09"/>
    <w:rsid w:val="004A149B"/>
    <w:rsid w:val="004A1F1F"/>
    <w:rsid w:val="004A20E5"/>
    <w:rsid w:val="004A26FB"/>
    <w:rsid w:val="004A2E2E"/>
    <w:rsid w:val="004A30FB"/>
    <w:rsid w:val="004A34EE"/>
    <w:rsid w:val="004A36BF"/>
    <w:rsid w:val="004A3B68"/>
    <w:rsid w:val="004A4ABA"/>
    <w:rsid w:val="004A5282"/>
    <w:rsid w:val="004A5361"/>
    <w:rsid w:val="004A588E"/>
    <w:rsid w:val="004A5F83"/>
    <w:rsid w:val="004A6B4A"/>
    <w:rsid w:val="004A7114"/>
    <w:rsid w:val="004A73AB"/>
    <w:rsid w:val="004A740D"/>
    <w:rsid w:val="004A7DE1"/>
    <w:rsid w:val="004B0155"/>
    <w:rsid w:val="004B025A"/>
    <w:rsid w:val="004B0376"/>
    <w:rsid w:val="004B0918"/>
    <w:rsid w:val="004B1452"/>
    <w:rsid w:val="004B1B6A"/>
    <w:rsid w:val="004B1F49"/>
    <w:rsid w:val="004B23AC"/>
    <w:rsid w:val="004B25C4"/>
    <w:rsid w:val="004B2F1B"/>
    <w:rsid w:val="004B31DD"/>
    <w:rsid w:val="004B3817"/>
    <w:rsid w:val="004B3917"/>
    <w:rsid w:val="004B3A24"/>
    <w:rsid w:val="004B3C57"/>
    <w:rsid w:val="004B430D"/>
    <w:rsid w:val="004B57AE"/>
    <w:rsid w:val="004B5C8B"/>
    <w:rsid w:val="004B6418"/>
    <w:rsid w:val="004B6B1C"/>
    <w:rsid w:val="004B7059"/>
    <w:rsid w:val="004B7417"/>
    <w:rsid w:val="004B7668"/>
    <w:rsid w:val="004B7BF7"/>
    <w:rsid w:val="004B7EB4"/>
    <w:rsid w:val="004C10D3"/>
    <w:rsid w:val="004C241A"/>
    <w:rsid w:val="004C29A2"/>
    <w:rsid w:val="004C2B7F"/>
    <w:rsid w:val="004C2F64"/>
    <w:rsid w:val="004C395A"/>
    <w:rsid w:val="004C3F06"/>
    <w:rsid w:val="004C3FAF"/>
    <w:rsid w:val="004C41A8"/>
    <w:rsid w:val="004C444A"/>
    <w:rsid w:val="004C4E3C"/>
    <w:rsid w:val="004C5696"/>
    <w:rsid w:val="004C5A1A"/>
    <w:rsid w:val="004C5FD3"/>
    <w:rsid w:val="004C6030"/>
    <w:rsid w:val="004C6D86"/>
    <w:rsid w:val="004C75CB"/>
    <w:rsid w:val="004D0C4D"/>
    <w:rsid w:val="004D0ECF"/>
    <w:rsid w:val="004D126E"/>
    <w:rsid w:val="004D14D0"/>
    <w:rsid w:val="004D2B47"/>
    <w:rsid w:val="004D2C23"/>
    <w:rsid w:val="004D34D9"/>
    <w:rsid w:val="004D36CB"/>
    <w:rsid w:val="004D3B13"/>
    <w:rsid w:val="004D43D4"/>
    <w:rsid w:val="004D4EB5"/>
    <w:rsid w:val="004D5D68"/>
    <w:rsid w:val="004D5F47"/>
    <w:rsid w:val="004D651A"/>
    <w:rsid w:val="004D6E47"/>
    <w:rsid w:val="004D7FB1"/>
    <w:rsid w:val="004E0293"/>
    <w:rsid w:val="004E082A"/>
    <w:rsid w:val="004E215D"/>
    <w:rsid w:val="004E2827"/>
    <w:rsid w:val="004E36A6"/>
    <w:rsid w:val="004E36E3"/>
    <w:rsid w:val="004E3E6D"/>
    <w:rsid w:val="004E4825"/>
    <w:rsid w:val="004E495C"/>
    <w:rsid w:val="004E5785"/>
    <w:rsid w:val="004E5FC7"/>
    <w:rsid w:val="004E6BC6"/>
    <w:rsid w:val="004E712E"/>
    <w:rsid w:val="004E7267"/>
    <w:rsid w:val="004E72AC"/>
    <w:rsid w:val="004E76C4"/>
    <w:rsid w:val="004E7701"/>
    <w:rsid w:val="004E7F33"/>
    <w:rsid w:val="004F0653"/>
    <w:rsid w:val="004F0BD7"/>
    <w:rsid w:val="004F1586"/>
    <w:rsid w:val="004F18F1"/>
    <w:rsid w:val="004F2280"/>
    <w:rsid w:val="004F283B"/>
    <w:rsid w:val="004F2C1A"/>
    <w:rsid w:val="004F3304"/>
    <w:rsid w:val="004F53B9"/>
    <w:rsid w:val="004F5B9F"/>
    <w:rsid w:val="004F5C32"/>
    <w:rsid w:val="004F5D6A"/>
    <w:rsid w:val="004F5FA3"/>
    <w:rsid w:val="004F6358"/>
    <w:rsid w:val="004F69A9"/>
    <w:rsid w:val="004F7DDF"/>
    <w:rsid w:val="00500B8A"/>
    <w:rsid w:val="00500D4D"/>
    <w:rsid w:val="005014AB"/>
    <w:rsid w:val="00501FD5"/>
    <w:rsid w:val="00502DD4"/>
    <w:rsid w:val="00502F54"/>
    <w:rsid w:val="00503965"/>
    <w:rsid w:val="00503A9F"/>
    <w:rsid w:val="00504436"/>
    <w:rsid w:val="00504996"/>
    <w:rsid w:val="00504B94"/>
    <w:rsid w:val="005052F6"/>
    <w:rsid w:val="0050600C"/>
    <w:rsid w:val="005060B9"/>
    <w:rsid w:val="005060D2"/>
    <w:rsid w:val="00507088"/>
    <w:rsid w:val="005074D0"/>
    <w:rsid w:val="00510D1A"/>
    <w:rsid w:val="00510D5B"/>
    <w:rsid w:val="00510DB2"/>
    <w:rsid w:val="0051105D"/>
    <w:rsid w:val="00511182"/>
    <w:rsid w:val="00511D0E"/>
    <w:rsid w:val="00511D54"/>
    <w:rsid w:val="00511D8C"/>
    <w:rsid w:val="0051289A"/>
    <w:rsid w:val="00512CD9"/>
    <w:rsid w:val="00513647"/>
    <w:rsid w:val="0051365E"/>
    <w:rsid w:val="00514DAE"/>
    <w:rsid w:val="00514FC2"/>
    <w:rsid w:val="0051619E"/>
    <w:rsid w:val="00516B9C"/>
    <w:rsid w:val="00516F19"/>
    <w:rsid w:val="00516F2B"/>
    <w:rsid w:val="0051730B"/>
    <w:rsid w:val="0051773D"/>
    <w:rsid w:val="00517E62"/>
    <w:rsid w:val="00520009"/>
    <w:rsid w:val="00520314"/>
    <w:rsid w:val="0052037A"/>
    <w:rsid w:val="005217C6"/>
    <w:rsid w:val="00522555"/>
    <w:rsid w:val="00522F08"/>
    <w:rsid w:val="0052354A"/>
    <w:rsid w:val="00523966"/>
    <w:rsid w:val="00523BD8"/>
    <w:rsid w:val="00523E1E"/>
    <w:rsid w:val="00524041"/>
    <w:rsid w:val="005247A1"/>
    <w:rsid w:val="00524FAD"/>
    <w:rsid w:val="00526C08"/>
    <w:rsid w:val="00527421"/>
    <w:rsid w:val="0052768B"/>
    <w:rsid w:val="005277D1"/>
    <w:rsid w:val="00527D51"/>
    <w:rsid w:val="00527DE5"/>
    <w:rsid w:val="00530F17"/>
    <w:rsid w:val="0053117D"/>
    <w:rsid w:val="005312DA"/>
    <w:rsid w:val="00531373"/>
    <w:rsid w:val="00531652"/>
    <w:rsid w:val="00532A6D"/>
    <w:rsid w:val="00532D8C"/>
    <w:rsid w:val="00532DDC"/>
    <w:rsid w:val="00532F4C"/>
    <w:rsid w:val="0053312D"/>
    <w:rsid w:val="00533389"/>
    <w:rsid w:val="005340BF"/>
    <w:rsid w:val="0053506E"/>
    <w:rsid w:val="0053574B"/>
    <w:rsid w:val="005359E3"/>
    <w:rsid w:val="00535B6D"/>
    <w:rsid w:val="00535FE2"/>
    <w:rsid w:val="0053759A"/>
    <w:rsid w:val="005376DD"/>
    <w:rsid w:val="0053794B"/>
    <w:rsid w:val="005405DC"/>
    <w:rsid w:val="00540A3F"/>
    <w:rsid w:val="00540B28"/>
    <w:rsid w:val="00541281"/>
    <w:rsid w:val="005412BC"/>
    <w:rsid w:val="00541492"/>
    <w:rsid w:val="00541D7B"/>
    <w:rsid w:val="00541DC9"/>
    <w:rsid w:val="0054210C"/>
    <w:rsid w:val="00542127"/>
    <w:rsid w:val="0054232A"/>
    <w:rsid w:val="00542938"/>
    <w:rsid w:val="00542BB6"/>
    <w:rsid w:val="00542D0E"/>
    <w:rsid w:val="00543470"/>
    <w:rsid w:val="0054349F"/>
    <w:rsid w:val="00544BCE"/>
    <w:rsid w:val="00545054"/>
    <w:rsid w:val="005453FA"/>
    <w:rsid w:val="0054549B"/>
    <w:rsid w:val="00545597"/>
    <w:rsid w:val="00545713"/>
    <w:rsid w:val="0054585E"/>
    <w:rsid w:val="00545BD9"/>
    <w:rsid w:val="00545E6E"/>
    <w:rsid w:val="00546039"/>
    <w:rsid w:val="00547483"/>
    <w:rsid w:val="005474F1"/>
    <w:rsid w:val="005475A8"/>
    <w:rsid w:val="00547B72"/>
    <w:rsid w:val="00550060"/>
    <w:rsid w:val="0055173E"/>
    <w:rsid w:val="0055209D"/>
    <w:rsid w:val="005528E8"/>
    <w:rsid w:val="00552DD3"/>
    <w:rsid w:val="00552FB0"/>
    <w:rsid w:val="00553123"/>
    <w:rsid w:val="00553A43"/>
    <w:rsid w:val="00553A54"/>
    <w:rsid w:val="00553ABB"/>
    <w:rsid w:val="00553ED1"/>
    <w:rsid w:val="00554EC4"/>
    <w:rsid w:val="0055527B"/>
    <w:rsid w:val="00555F02"/>
    <w:rsid w:val="00556133"/>
    <w:rsid w:val="00556FF7"/>
    <w:rsid w:val="00557003"/>
    <w:rsid w:val="0055730E"/>
    <w:rsid w:val="005579F5"/>
    <w:rsid w:val="00557EE3"/>
    <w:rsid w:val="00560971"/>
    <w:rsid w:val="00560AAA"/>
    <w:rsid w:val="00560D0A"/>
    <w:rsid w:val="005613E0"/>
    <w:rsid w:val="00561632"/>
    <w:rsid w:val="00561946"/>
    <w:rsid w:val="005620F1"/>
    <w:rsid w:val="0056286F"/>
    <w:rsid w:val="00562F35"/>
    <w:rsid w:val="005631EB"/>
    <w:rsid w:val="00563600"/>
    <w:rsid w:val="005648AE"/>
    <w:rsid w:val="00564CB2"/>
    <w:rsid w:val="00564FA7"/>
    <w:rsid w:val="0056529B"/>
    <w:rsid w:val="005661D5"/>
    <w:rsid w:val="005664F1"/>
    <w:rsid w:val="00566600"/>
    <w:rsid w:val="00566C7A"/>
    <w:rsid w:val="00566D51"/>
    <w:rsid w:val="00566DF9"/>
    <w:rsid w:val="00566E1C"/>
    <w:rsid w:val="00566FF3"/>
    <w:rsid w:val="005670B5"/>
    <w:rsid w:val="0056775D"/>
    <w:rsid w:val="0057024D"/>
    <w:rsid w:val="0057050A"/>
    <w:rsid w:val="005709D8"/>
    <w:rsid w:val="00570C81"/>
    <w:rsid w:val="00571DDA"/>
    <w:rsid w:val="00571EAC"/>
    <w:rsid w:val="00571F46"/>
    <w:rsid w:val="00573298"/>
    <w:rsid w:val="0057335C"/>
    <w:rsid w:val="00573C25"/>
    <w:rsid w:val="00575652"/>
    <w:rsid w:val="005760E2"/>
    <w:rsid w:val="005764BE"/>
    <w:rsid w:val="00576515"/>
    <w:rsid w:val="00576717"/>
    <w:rsid w:val="00576959"/>
    <w:rsid w:val="00576B5F"/>
    <w:rsid w:val="00577E4D"/>
    <w:rsid w:val="00580529"/>
    <w:rsid w:val="00580FE5"/>
    <w:rsid w:val="00581583"/>
    <w:rsid w:val="00581B93"/>
    <w:rsid w:val="00582231"/>
    <w:rsid w:val="0058279C"/>
    <w:rsid w:val="00582A59"/>
    <w:rsid w:val="00583952"/>
    <w:rsid w:val="00584684"/>
    <w:rsid w:val="005849DD"/>
    <w:rsid w:val="00585987"/>
    <w:rsid w:val="0058621D"/>
    <w:rsid w:val="00586312"/>
    <w:rsid w:val="005863A2"/>
    <w:rsid w:val="0058653D"/>
    <w:rsid w:val="00586585"/>
    <w:rsid w:val="005869DF"/>
    <w:rsid w:val="00586D6B"/>
    <w:rsid w:val="00587C19"/>
    <w:rsid w:val="00590257"/>
    <w:rsid w:val="0059026C"/>
    <w:rsid w:val="00590B0A"/>
    <w:rsid w:val="00590C18"/>
    <w:rsid w:val="00590E82"/>
    <w:rsid w:val="00591A7B"/>
    <w:rsid w:val="00591BAC"/>
    <w:rsid w:val="00591FC7"/>
    <w:rsid w:val="0059271E"/>
    <w:rsid w:val="00592729"/>
    <w:rsid w:val="00592F79"/>
    <w:rsid w:val="005930C3"/>
    <w:rsid w:val="00593618"/>
    <w:rsid w:val="00593DBA"/>
    <w:rsid w:val="005947B4"/>
    <w:rsid w:val="005948BD"/>
    <w:rsid w:val="00594F32"/>
    <w:rsid w:val="00595BB4"/>
    <w:rsid w:val="0059619F"/>
    <w:rsid w:val="00596961"/>
    <w:rsid w:val="005A0886"/>
    <w:rsid w:val="005A0C4F"/>
    <w:rsid w:val="005A11FC"/>
    <w:rsid w:val="005A1343"/>
    <w:rsid w:val="005A14EC"/>
    <w:rsid w:val="005A15F0"/>
    <w:rsid w:val="005A1843"/>
    <w:rsid w:val="005A1E67"/>
    <w:rsid w:val="005A22E2"/>
    <w:rsid w:val="005A26EA"/>
    <w:rsid w:val="005A3817"/>
    <w:rsid w:val="005A4062"/>
    <w:rsid w:val="005A54B0"/>
    <w:rsid w:val="005A54B8"/>
    <w:rsid w:val="005A573A"/>
    <w:rsid w:val="005A652C"/>
    <w:rsid w:val="005A67E5"/>
    <w:rsid w:val="005A6B92"/>
    <w:rsid w:val="005A6BF4"/>
    <w:rsid w:val="005A75C6"/>
    <w:rsid w:val="005A7FDD"/>
    <w:rsid w:val="005B0097"/>
    <w:rsid w:val="005B0726"/>
    <w:rsid w:val="005B13A9"/>
    <w:rsid w:val="005B1653"/>
    <w:rsid w:val="005B1978"/>
    <w:rsid w:val="005B2966"/>
    <w:rsid w:val="005B2B16"/>
    <w:rsid w:val="005B327D"/>
    <w:rsid w:val="005B3C04"/>
    <w:rsid w:val="005B4241"/>
    <w:rsid w:val="005B4C0D"/>
    <w:rsid w:val="005B597C"/>
    <w:rsid w:val="005B61BB"/>
    <w:rsid w:val="005B635C"/>
    <w:rsid w:val="005B6BBE"/>
    <w:rsid w:val="005B75D7"/>
    <w:rsid w:val="005B7A96"/>
    <w:rsid w:val="005C0367"/>
    <w:rsid w:val="005C041F"/>
    <w:rsid w:val="005C0AB0"/>
    <w:rsid w:val="005C0BCE"/>
    <w:rsid w:val="005C0CF5"/>
    <w:rsid w:val="005C0D17"/>
    <w:rsid w:val="005C0DE1"/>
    <w:rsid w:val="005C10A6"/>
    <w:rsid w:val="005C1230"/>
    <w:rsid w:val="005C2070"/>
    <w:rsid w:val="005C247C"/>
    <w:rsid w:val="005C2B1C"/>
    <w:rsid w:val="005C39F7"/>
    <w:rsid w:val="005C4341"/>
    <w:rsid w:val="005C49CC"/>
    <w:rsid w:val="005C4FF7"/>
    <w:rsid w:val="005C54E4"/>
    <w:rsid w:val="005C5E85"/>
    <w:rsid w:val="005C64B0"/>
    <w:rsid w:val="005C6A5F"/>
    <w:rsid w:val="005C70C7"/>
    <w:rsid w:val="005C78AF"/>
    <w:rsid w:val="005D0A12"/>
    <w:rsid w:val="005D20C0"/>
    <w:rsid w:val="005D2154"/>
    <w:rsid w:val="005D22CE"/>
    <w:rsid w:val="005D2932"/>
    <w:rsid w:val="005D2AFD"/>
    <w:rsid w:val="005D3E76"/>
    <w:rsid w:val="005D405E"/>
    <w:rsid w:val="005D4459"/>
    <w:rsid w:val="005D486D"/>
    <w:rsid w:val="005D4C05"/>
    <w:rsid w:val="005D4E94"/>
    <w:rsid w:val="005D4FDB"/>
    <w:rsid w:val="005D57C4"/>
    <w:rsid w:val="005D59A0"/>
    <w:rsid w:val="005D6655"/>
    <w:rsid w:val="005D692E"/>
    <w:rsid w:val="005D6B25"/>
    <w:rsid w:val="005D6D88"/>
    <w:rsid w:val="005D7043"/>
    <w:rsid w:val="005D745F"/>
    <w:rsid w:val="005D7501"/>
    <w:rsid w:val="005D7C0E"/>
    <w:rsid w:val="005E06C1"/>
    <w:rsid w:val="005E2E8E"/>
    <w:rsid w:val="005E395D"/>
    <w:rsid w:val="005E3CA0"/>
    <w:rsid w:val="005E3E31"/>
    <w:rsid w:val="005E41D8"/>
    <w:rsid w:val="005E4901"/>
    <w:rsid w:val="005E499E"/>
    <w:rsid w:val="005E5516"/>
    <w:rsid w:val="005E6286"/>
    <w:rsid w:val="005E6393"/>
    <w:rsid w:val="005E6CC5"/>
    <w:rsid w:val="005E6FD0"/>
    <w:rsid w:val="005E734E"/>
    <w:rsid w:val="005E7419"/>
    <w:rsid w:val="005E7C9B"/>
    <w:rsid w:val="005F16BD"/>
    <w:rsid w:val="005F1BE5"/>
    <w:rsid w:val="005F1D38"/>
    <w:rsid w:val="005F20F4"/>
    <w:rsid w:val="005F227A"/>
    <w:rsid w:val="005F2426"/>
    <w:rsid w:val="005F246E"/>
    <w:rsid w:val="005F26DB"/>
    <w:rsid w:val="005F2948"/>
    <w:rsid w:val="005F2B33"/>
    <w:rsid w:val="005F2F88"/>
    <w:rsid w:val="005F34B4"/>
    <w:rsid w:val="005F38EF"/>
    <w:rsid w:val="005F3AB6"/>
    <w:rsid w:val="005F4B64"/>
    <w:rsid w:val="005F4BC6"/>
    <w:rsid w:val="005F4EC2"/>
    <w:rsid w:val="005F561D"/>
    <w:rsid w:val="005F57EB"/>
    <w:rsid w:val="005F5BBA"/>
    <w:rsid w:val="005F6348"/>
    <w:rsid w:val="005F6AEC"/>
    <w:rsid w:val="005F6C32"/>
    <w:rsid w:val="005F6FDF"/>
    <w:rsid w:val="005F7A63"/>
    <w:rsid w:val="005F7C4F"/>
    <w:rsid w:val="00600546"/>
    <w:rsid w:val="00600BD8"/>
    <w:rsid w:val="00600EB4"/>
    <w:rsid w:val="00600FC4"/>
    <w:rsid w:val="006016E6"/>
    <w:rsid w:val="00601A13"/>
    <w:rsid w:val="00601B47"/>
    <w:rsid w:val="00601D3B"/>
    <w:rsid w:val="00602AB1"/>
    <w:rsid w:val="00602EB3"/>
    <w:rsid w:val="00603EF1"/>
    <w:rsid w:val="0060424E"/>
    <w:rsid w:val="0060437F"/>
    <w:rsid w:val="00604618"/>
    <w:rsid w:val="0060496F"/>
    <w:rsid w:val="006051C3"/>
    <w:rsid w:val="00605E0D"/>
    <w:rsid w:val="00605EF4"/>
    <w:rsid w:val="006060AB"/>
    <w:rsid w:val="006068A8"/>
    <w:rsid w:val="00606C77"/>
    <w:rsid w:val="00607D9E"/>
    <w:rsid w:val="00607DED"/>
    <w:rsid w:val="00607E5F"/>
    <w:rsid w:val="00610058"/>
    <w:rsid w:val="00610896"/>
    <w:rsid w:val="00611136"/>
    <w:rsid w:val="00611CE8"/>
    <w:rsid w:val="00612579"/>
    <w:rsid w:val="00612633"/>
    <w:rsid w:val="006127B1"/>
    <w:rsid w:val="00612D0C"/>
    <w:rsid w:val="00613906"/>
    <w:rsid w:val="0061473F"/>
    <w:rsid w:val="006149BF"/>
    <w:rsid w:val="00614C03"/>
    <w:rsid w:val="00614D11"/>
    <w:rsid w:val="00614E8C"/>
    <w:rsid w:val="00614FE9"/>
    <w:rsid w:val="0061531E"/>
    <w:rsid w:val="00615AE2"/>
    <w:rsid w:val="00617D8D"/>
    <w:rsid w:val="0062076A"/>
    <w:rsid w:val="00620DB8"/>
    <w:rsid w:val="00621196"/>
    <w:rsid w:val="0062133B"/>
    <w:rsid w:val="0062143B"/>
    <w:rsid w:val="00622167"/>
    <w:rsid w:val="006222DA"/>
    <w:rsid w:val="00622395"/>
    <w:rsid w:val="00622910"/>
    <w:rsid w:val="00623395"/>
    <w:rsid w:val="00623B44"/>
    <w:rsid w:val="0062455E"/>
    <w:rsid w:val="006245C3"/>
    <w:rsid w:val="00624630"/>
    <w:rsid w:val="006247C9"/>
    <w:rsid w:val="00624AF5"/>
    <w:rsid w:val="00624C67"/>
    <w:rsid w:val="00624DF5"/>
    <w:rsid w:val="0062503E"/>
    <w:rsid w:val="00625AC8"/>
    <w:rsid w:val="00625F50"/>
    <w:rsid w:val="006275DA"/>
    <w:rsid w:val="00627A76"/>
    <w:rsid w:val="00627E06"/>
    <w:rsid w:val="00630561"/>
    <w:rsid w:val="00630AAB"/>
    <w:rsid w:val="00630DF5"/>
    <w:rsid w:val="00630FE9"/>
    <w:rsid w:val="006313E7"/>
    <w:rsid w:val="006318F8"/>
    <w:rsid w:val="0063256C"/>
    <w:rsid w:val="00632D0C"/>
    <w:rsid w:val="006346B5"/>
    <w:rsid w:val="006348C8"/>
    <w:rsid w:val="00634AD9"/>
    <w:rsid w:val="00634F80"/>
    <w:rsid w:val="00635258"/>
    <w:rsid w:val="0063659C"/>
    <w:rsid w:val="00636A1C"/>
    <w:rsid w:val="00636ACE"/>
    <w:rsid w:val="00636CF3"/>
    <w:rsid w:val="00636DAC"/>
    <w:rsid w:val="0064058F"/>
    <w:rsid w:val="006410B8"/>
    <w:rsid w:val="0064125A"/>
    <w:rsid w:val="00641CEE"/>
    <w:rsid w:val="00641D6F"/>
    <w:rsid w:val="00641EC1"/>
    <w:rsid w:val="006427A9"/>
    <w:rsid w:val="006427B3"/>
    <w:rsid w:val="00644161"/>
    <w:rsid w:val="00644643"/>
    <w:rsid w:val="00644E4D"/>
    <w:rsid w:val="006452D1"/>
    <w:rsid w:val="00645504"/>
    <w:rsid w:val="00647C00"/>
    <w:rsid w:val="00650E2D"/>
    <w:rsid w:val="006515BD"/>
    <w:rsid w:val="00651DE7"/>
    <w:rsid w:val="00651E88"/>
    <w:rsid w:val="00652524"/>
    <w:rsid w:val="00652675"/>
    <w:rsid w:val="006538E1"/>
    <w:rsid w:val="00653A33"/>
    <w:rsid w:val="00653D5F"/>
    <w:rsid w:val="00653FFB"/>
    <w:rsid w:val="00654136"/>
    <w:rsid w:val="00655192"/>
    <w:rsid w:val="006552EC"/>
    <w:rsid w:val="00656DAB"/>
    <w:rsid w:val="0065780A"/>
    <w:rsid w:val="00657D72"/>
    <w:rsid w:val="00657EF7"/>
    <w:rsid w:val="006608C3"/>
    <w:rsid w:val="00660922"/>
    <w:rsid w:val="00661575"/>
    <w:rsid w:val="00661DAB"/>
    <w:rsid w:val="00662C95"/>
    <w:rsid w:val="00662D44"/>
    <w:rsid w:val="00662D92"/>
    <w:rsid w:val="00663888"/>
    <w:rsid w:val="00663A16"/>
    <w:rsid w:val="00663ADE"/>
    <w:rsid w:val="006649D3"/>
    <w:rsid w:val="00664EBA"/>
    <w:rsid w:val="00665FBE"/>
    <w:rsid w:val="0066647E"/>
    <w:rsid w:val="00666AE4"/>
    <w:rsid w:val="00667EAF"/>
    <w:rsid w:val="0067053F"/>
    <w:rsid w:val="00671252"/>
    <w:rsid w:val="00671676"/>
    <w:rsid w:val="006719A0"/>
    <w:rsid w:val="00672247"/>
    <w:rsid w:val="0067280F"/>
    <w:rsid w:val="00672AEF"/>
    <w:rsid w:val="00672F55"/>
    <w:rsid w:val="0067393B"/>
    <w:rsid w:val="00673FD8"/>
    <w:rsid w:val="0067422C"/>
    <w:rsid w:val="00674255"/>
    <w:rsid w:val="00674DCF"/>
    <w:rsid w:val="00675088"/>
    <w:rsid w:val="006760FF"/>
    <w:rsid w:val="00676252"/>
    <w:rsid w:val="006768FC"/>
    <w:rsid w:val="00677ECF"/>
    <w:rsid w:val="006802FB"/>
    <w:rsid w:val="00680716"/>
    <w:rsid w:val="006808F6"/>
    <w:rsid w:val="00680C0D"/>
    <w:rsid w:val="00680CA1"/>
    <w:rsid w:val="00680D2B"/>
    <w:rsid w:val="00680EE8"/>
    <w:rsid w:val="006813AF"/>
    <w:rsid w:val="006815E2"/>
    <w:rsid w:val="0068183F"/>
    <w:rsid w:val="0068194D"/>
    <w:rsid w:val="0068240B"/>
    <w:rsid w:val="00682B71"/>
    <w:rsid w:val="006830B9"/>
    <w:rsid w:val="00683126"/>
    <w:rsid w:val="00683217"/>
    <w:rsid w:val="00683C36"/>
    <w:rsid w:val="00684958"/>
    <w:rsid w:val="00684ECE"/>
    <w:rsid w:val="00685303"/>
    <w:rsid w:val="006855BD"/>
    <w:rsid w:val="00685BD2"/>
    <w:rsid w:val="00685D01"/>
    <w:rsid w:val="0068646B"/>
    <w:rsid w:val="00686B58"/>
    <w:rsid w:val="00686C5B"/>
    <w:rsid w:val="006870F6"/>
    <w:rsid w:val="006900B1"/>
    <w:rsid w:val="006906C9"/>
    <w:rsid w:val="00691735"/>
    <w:rsid w:val="00692379"/>
    <w:rsid w:val="0069247F"/>
    <w:rsid w:val="006924BC"/>
    <w:rsid w:val="00692632"/>
    <w:rsid w:val="006933C1"/>
    <w:rsid w:val="0069341A"/>
    <w:rsid w:val="006939B1"/>
    <w:rsid w:val="00694349"/>
    <w:rsid w:val="006946B0"/>
    <w:rsid w:val="006953E2"/>
    <w:rsid w:val="00695481"/>
    <w:rsid w:val="00695541"/>
    <w:rsid w:val="006966AF"/>
    <w:rsid w:val="006966EA"/>
    <w:rsid w:val="00697D54"/>
    <w:rsid w:val="006A06ED"/>
    <w:rsid w:val="006A07F0"/>
    <w:rsid w:val="006A09D8"/>
    <w:rsid w:val="006A14F5"/>
    <w:rsid w:val="006A251D"/>
    <w:rsid w:val="006A27D8"/>
    <w:rsid w:val="006A3552"/>
    <w:rsid w:val="006A3BD5"/>
    <w:rsid w:val="006A468F"/>
    <w:rsid w:val="006A4A92"/>
    <w:rsid w:val="006A4B9F"/>
    <w:rsid w:val="006A4BA9"/>
    <w:rsid w:val="006A4BF4"/>
    <w:rsid w:val="006A5175"/>
    <w:rsid w:val="006A543C"/>
    <w:rsid w:val="006A59F4"/>
    <w:rsid w:val="006A5ABE"/>
    <w:rsid w:val="006A5B8A"/>
    <w:rsid w:val="006A5C53"/>
    <w:rsid w:val="006A61B2"/>
    <w:rsid w:val="006A6A34"/>
    <w:rsid w:val="006A6D88"/>
    <w:rsid w:val="006A6E41"/>
    <w:rsid w:val="006A7A42"/>
    <w:rsid w:val="006A7B1F"/>
    <w:rsid w:val="006B0159"/>
    <w:rsid w:val="006B0202"/>
    <w:rsid w:val="006B044A"/>
    <w:rsid w:val="006B062F"/>
    <w:rsid w:val="006B0F6E"/>
    <w:rsid w:val="006B1DC4"/>
    <w:rsid w:val="006B200B"/>
    <w:rsid w:val="006B235D"/>
    <w:rsid w:val="006B320E"/>
    <w:rsid w:val="006B4284"/>
    <w:rsid w:val="006B4487"/>
    <w:rsid w:val="006B5376"/>
    <w:rsid w:val="006B5C6E"/>
    <w:rsid w:val="006B5F20"/>
    <w:rsid w:val="006B60FB"/>
    <w:rsid w:val="006B6EFD"/>
    <w:rsid w:val="006B74A9"/>
    <w:rsid w:val="006B76F8"/>
    <w:rsid w:val="006B7E28"/>
    <w:rsid w:val="006C02FD"/>
    <w:rsid w:val="006C0DA4"/>
    <w:rsid w:val="006C0F4B"/>
    <w:rsid w:val="006C1B34"/>
    <w:rsid w:val="006C25E4"/>
    <w:rsid w:val="006C2844"/>
    <w:rsid w:val="006C2E2F"/>
    <w:rsid w:val="006C2E9A"/>
    <w:rsid w:val="006C30A7"/>
    <w:rsid w:val="006C36C7"/>
    <w:rsid w:val="006C3B03"/>
    <w:rsid w:val="006C40CE"/>
    <w:rsid w:val="006C4521"/>
    <w:rsid w:val="006C46F1"/>
    <w:rsid w:val="006C4EAC"/>
    <w:rsid w:val="006C5484"/>
    <w:rsid w:val="006C5675"/>
    <w:rsid w:val="006C571D"/>
    <w:rsid w:val="006C584A"/>
    <w:rsid w:val="006C60E1"/>
    <w:rsid w:val="006C6AA9"/>
    <w:rsid w:val="006C71E7"/>
    <w:rsid w:val="006D0233"/>
    <w:rsid w:val="006D03AA"/>
    <w:rsid w:val="006D0892"/>
    <w:rsid w:val="006D0B03"/>
    <w:rsid w:val="006D0B2E"/>
    <w:rsid w:val="006D14BF"/>
    <w:rsid w:val="006D192A"/>
    <w:rsid w:val="006D19EE"/>
    <w:rsid w:val="006D2315"/>
    <w:rsid w:val="006D32EB"/>
    <w:rsid w:val="006D39FB"/>
    <w:rsid w:val="006D4726"/>
    <w:rsid w:val="006D4824"/>
    <w:rsid w:val="006D4EAE"/>
    <w:rsid w:val="006D4EEF"/>
    <w:rsid w:val="006D4EFB"/>
    <w:rsid w:val="006D5674"/>
    <w:rsid w:val="006D599B"/>
    <w:rsid w:val="006D6308"/>
    <w:rsid w:val="006D6B73"/>
    <w:rsid w:val="006D6C26"/>
    <w:rsid w:val="006D70A8"/>
    <w:rsid w:val="006D7458"/>
    <w:rsid w:val="006D75FC"/>
    <w:rsid w:val="006D773B"/>
    <w:rsid w:val="006D7FD5"/>
    <w:rsid w:val="006E047D"/>
    <w:rsid w:val="006E0C02"/>
    <w:rsid w:val="006E1009"/>
    <w:rsid w:val="006E11C5"/>
    <w:rsid w:val="006E1876"/>
    <w:rsid w:val="006E1FA8"/>
    <w:rsid w:val="006E21EB"/>
    <w:rsid w:val="006E25BA"/>
    <w:rsid w:val="006E292E"/>
    <w:rsid w:val="006E2997"/>
    <w:rsid w:val="006E29DC"/>
    <w:rsid w:val="006E38D8"/>
    <w:rsid w:val="006E3974"/>
    <w:rsid w:val="006E3B8D"/>
    <w:rsid w:val="006E422C"/>
    <w:rsid w:val="006E4286"/>
    <w:rsid w:val="006E4C33"/>
    <w:rsid w:val="006E4E59"/>
    <w:rsid w:val="006E534A"/>
    <w:rsid w:val="006E5365"/>
    <w:rsid w:val="006E5A3E"/>
    <w:rsid w:val="006E637C"/>
    <w:rsid w:val="006E6B43"/>
    <w:rsid w:val="006E6E4A"/>
    <w:rsid w:val="006E78A2"/>
    <w:rsid w:val="006E7EAB"/>
    <w:rsid w:val="006F01A1"/>
    <w:rsid w:val="006F05B2"/>
    <w:rsid w:val="006F2920"/>
    <w:rsid w:val="006F3297"/>
    <w:rsid w:val="006F33DF"/>
    <w:rsid w:val="006F3544"/>
    <w:rsid w:val="006F3BAF"/>
    <w:rsid w:val="006F3BDC"/>
    <w:rsid w:val="006F4024"/>
    <w:rsid w:val="006F49D7"/>
    <w:rsid w:val="006F4C75"/>
    <w:rsid w:val="006F51F8"/>
    <w:rsid w:val="006F5A17"/>
    <w:rsid w:val="006F5B08"/>
    <w:rsid w:val="006F602C"/>
    <w:rsid w:val="006F70C6"/>
    <w:rsid w:val="006F7112"/>
    <w:rsid w:val="006F740E"/>
    <w:rsid w:val="006F74FD"/>
    <w:rsid w:val="006F777E"/>
    <w:rsid w:val="007005E9"/>
    <w:rsid w:val="00700DFA"/>
    <w:rsid w:val="00700E79"/>
    <w:rsid w:val="0070259D"/>
    <w:rsid w:val="00704041"/>
    <w:rsid w:val="00704BBD"/>
    <w:rsid w:val="00704C84"/>
    <w:rsid w:val="00704DB6"/>
    <w:rsid w:val="007051CA"/>
    <w:rsid w:val="00705662"/>
    <w:rsid w:val="00705D52"/>
    <w:rsid w:val="007061C8"/>
    <w:rsid w:val="007064AC"/>
    <w:rsid w:val="0070654C"/>
    <w:rsid w:val="007078F5"/>
    <w:rsid w:val="00707DF4"/>
    <w:rsid w:val="00710117"/>
    <w:rsid w:val="00710BE2"/>
    <w:rsid w:val="007115AB"/>
    <w:rsid w:val="007115D4"/>
    <w:rsid w:val="00711911"/>
    <w:rsid w:val="00711B2E"/>
    <w:rsid w:val="00711CA9"/>
    <w:rsid w:val="00711E17"/>
    <w:rsid w:val="00712358"/>
    <w:rsid w:val="00712594"/>
    <w:rsid w:val="00712668"/>
    <w:rsid w:val="007131B0"/>
    <w:rsid w:val="007131FF"/>
    <w:rsid w:val="0071344F"/>
    <w:rsid w:val="00713F25"/>
    <w:rsid w:val="00714121"/>
    <w:rsid w:val="00715807"/>
    <w:rsid w:val="00715F41"/>
    <w:rsid w:val="00716041"/>
    <w:rsid w:val="007160D8"/>
    <w:rsid w:val="00716927"/>
    <w:rsid w:val="007169E2"/>
    <w:rsid w:val="00716AAD"/>
    <w:rsid w:val="00716DEA"/>
    <w:rsid w:val="0071701D"/>
    <w:rsid w:val="0071760B"/>
    <w:rsid w:val="00717A60"/>
    <w:rsid w:val="00717A7D"/>
    <w:rsid w:val="00720014"/>
    <w:rsid w:val="00720216"/>
    <w:rsid w:val="007206E3"/>
    <w:rsid w:val="007207B2"/>
    <w:rsid w:val="00720E8E"/>
    <w:rsid w:val="00720F5D"/>
    <w:rsid w:val="0072125C"/>
    <w:rsid w:val="00721336"/>
    <w:rsid w:val="007215D3"/>
    <w:rsid w:val="007216B5"/>
    <w:rsid w:val="00721FA5"/>
    <w:rsid w:val="00722020"/>
    <w:rsid w:val="00722543"/>
    <w:rsid w:val="00722575"/>
    <w:rsid w:val="0072281E"/>
    <w:rsid w:val="00722BA4"/>
    <w:rsid w:val="0072338A"/>
    <w:rsid w:val="00723EEF"/>
    <w:rsid w:val="00724731"/>
    <w:rsid w:val="007247B9"/>
    <w:rsid w:val="00724F75"/>
    <w:rsid w:val="0072532B"/>
    <w:rsid w:val="007253BF"/>
    <w:rsid w:val="00725E70"/>
    <w:rsid w:val="00726171"/>
    <w:rsid w:val="00726F77"/>
    <w:rsid w:val="00727AAE"/>
    <w:rsid w:val="0073019D"/>
    <w:rsid w:val="00730632"/>
    <w:rsid w:val="00730EDC"/>
    <w:rsid w:val="00731087"/>
    <w:rsid w:val="007310B8"/>
    <w:rsid w:val="00731193"/>
    <w:rsid w:val="007311E5"/>
    <w:rsid w:val="00731252"/>
    <w:rsid w:val="00732165"/>
    <w:rsid w:val="0073224E"/>
    <w:rsid w:val="00732558"/>
    <w:rsid w:val="00732B8D"/>
    <w:rsid w:val="00732DD6"/>
    <w:rsid w:val="00733019"/>
    <w:rsid w:val="00733079"/>
    <w:rsid w:val="0073375D"/>
    <w:rsid w:val="00733795"/>
    <w:rsid w:val="00733906"/>
    <w:rsid w:val="00733956"/>
    <w:rsid w:val="00733B0F"/>
    <w:rsid w:val="0073434A"/>
    <w:rsid w:val="00734DBE"/>
    <w:rsid w:val="007351FC"/>
    <w:rsid w:val="0073569D"/>
    <w:rsid w:val="00735F07"/>
    <w:rsid w:val="00736403"/>
    <w:rsid w:val="007403AE"/>
    <w:rsid w:val="007407F1"/>
    <w:rsid w:val="00740858"/>
    <w:rsid w:val="00741411"/>
    <w:rsid w:val="00741901"/>
    <w:rsid w:val="0074203B"/>
    <w:rsid w:val="0074213E"/>
    <w:rsid w:val="007421DD"/>
    <w:rsid w:val="00742847"/>
    <w:rsid w:val="007429E7"/>
    <w:rsid w:val="00742E64"/>
    <w:rsid w:val="0074305A"/>
    <w:rsid w:val="007431B6"/>
    <w:rsid w:val="00743F44"/>
    <w:rsid w:val="00744088"/>
    <w:rsid w:val="007449A4"/>
    <w:rsid w:val="007450D0"/>
    <w:rsid w:val="00745313"/>
    <w:rsid w:val="00745CEC"/>
    <w:rsid w:val="00747319"/>
    <w:rsid w:val="007475F1"/>
    <w:rsid w:val="007477BF"/>
    <w:rsid w:val="00747A1C"/>
    <w:rsid w:val="007503B2"/>
    <w:rsid w:val="007504A2"/>
    <w:rsid w:val="00750542"/>
    <w:rsid w:val="007508E7"/>
    <w:rsid w:val="00750B0F"/>
    <w:rsid w:val="00750FB6"/>
    <w:rsid w:val="007512D0"/>
    <w:rsid w:val="0075144C"/>
    <w:rsid w:val="00751930"/>
    <w:rsid w:val="00751E90"/>
    <w:rsid w:val="00752B1D"/>
    <w:rsid w:val="00752DF5"/>
    <w:rsid w:val="00752FED"/>
    <w:rsid w:val="00753B81"/>
    <w:rsid w:val="00753D00"/>
    <w:rsid w:val="00753E0E"/>
    <w:rsid w:val="0075438F"/>
    <w:rsid w:val="007548F8"/>
    <w:rsid w:val="00754B55"/>
    <w:rsid w:val="007555AE"/>
    <w:rsid w:val="00756058"/>
    <w:rsid w:val="00756BB2"/>
    <w:rsid w:val="00756F53"/>
    <w:rsid w:val="007576D6"/>
    <w:rsid w:val="00757A8A"/>
    <w:rsid w:val="00760753"/>
    <w:rsid w:val="00760941"/>
    <w:rsid w:val="00760D02"/>
    <w:rsid w:val="00760E1B"/>
    <w:rsid w:val="00761AAC"/>
    <w:rsid w:val="007636FA"/>
    <w:rsid w:val="00763B65"/>
    <w:rsid w:val="007641B4"/>
    <w:rsid w:val="007641B8"/>
    <w:rsid w:val="00764293"/>
    <w:rsid w:val="0076432C"/>
    <w:rsid w:val="00764457"/>
    <w:rsid w:val="007645F8"/>
    <w:rsid w:val="007652FC"/>
    <w:rsid w:val="00765359"/>
    <w:rsid w:val="007675C7"/>
    <w:rsid w:val="00767D11"/>
    <w:rsid w:val="0077036A"/>
    <w:rsid w:val="00770EAA"/>
    <w:rsid w:val="0077103B"/>
    <w:rsid w:val="00771178"/>
    <w:rsid w:val="00771CA5"/>
    <w:rsid w:val="007726F6"/>
    <w:rsid w:val="007728D5"/>
    <w:rsid w:val="00772AFC"/>
    <w:rsid w:val="00772C2A"/>
    <w:rsid w:val="00772E9A"/>
    <w:rsid w:val="00773371"/>
    <w:rsid w:val="007734EE"/>
    <w:rsid w:val="00773A7F"/>
    <w:rsid w:val="00773D25"/>
    <w:rsid w:val="00773EEF"/>
    <w:rsid w:val="0077417C"/>
    <w:rsid w:val="007744DF"/>
    <w:rsid w:val="00775418"/>
    <w:rsid w:val="0077582A"/>
    <w:rsid w:val="00776A12"/>
    <w:rsid w:val="00776A78"/>
    <w:rsid w:val="00777313"/>
    <w:rsid w:val="00777B1F"/>
    <w:rsid w:val="00777E3A"/>
    <w:rsid w:val="0078150D"/>
    <w:rsid w:val="00781808"/>
    <w:rsid w:val="00781919"/>
    <w:rsid w:val="00781947"/>
    <w:rsid w:val="00782047"/>
    <w:rsid w:val="00783641"/>
    <w:rsid w:val="00783F32"/>
    <w:rsid w:val="007847E7"/>
    <w:rsid w:val="00784C01"/>
    <w:rsid w:val="007851E0"/>
    <w:rsid w:val="00786EF3"/>
    <w:rsid w:val="00787242"/>
    <w:rsid w:val="00787407"/>
    <w:rsid w:val="00787A54"/>
    <w:rsid w:val="00787B37"/>
    <w:rsid w:val="00790507"/>
    <w:rsid w:val="00790DA5"/>
    <w:rsid w:val="00790DE4"/>
    <w:rsid w:val="00791031"/>
    <w:rsid w:val="00791C1D"/>
    <w:rsid w:val="00792ACD"/>
    <w:rsid w:val="00793ACD"/>
    <w:rsid w:val="00793CFE"/>
    <w:rsid w:val="007945CE"/>
    <w:rsid w:val="007955AA"/>
    <w:rsid w:val="00795BC1"/>
    <w:rsid w:val="00795BC7"/>
    <w:rsid w:val="007963EA"/>
    <w:rsid w:val="00796510"/>
    <w:rsid w:val="00796551"/>
    <w:rsid w:val="00797132"/>
    <w:rsid w:val="0079720B"/>
    <w:rsid w:val="007972A9"/>
    <w:rsid w:val="0079740D"/>
    <w:rsid w:val="00797CA8"/>
    <w:rsid w:val="00797D31"/>
    <w:rsid w:val="007A03BC"/>
    <w:rsid w:val="007A06F2"/>
    <w:rsid w:val="007A0B59"/>
    <w:rsid w:val="007A0DE2"/>
    <w:rsid w:val="007A15D1"/>
    <w:rsid w:val="007A15EE"/>
    <w:rsid w:val="007A1A86"/>
    <w:rsid w:val="007A1EA2"/>
    <w:rsid w:val="007A3030"/>
    <w:rsid w:val="007A345E"/>
    <w:rsid w:val="007A34F7"/>
    <w:rsid w:val="007A3B6C"/>
    <w:rsid w:val="007A3D83"/>
    <w:rsid w:val="007A4121"/>
    <w:rsid w:val="007A4158"/>
    <w:rsid w:val="007A4465"/>
    <w:rsid w:val="007A505D"/>
    <w:rsid w:val="007A57BE"/>
    <w:rsid w:val="007A61DC"/>
    <w:rsid w:val="007A62C9"/>
    <w:rsid w:val="007A63B7"/>
    <w:rsid w:val="007A6CAD"/>
    <w:rsid w:val="007A7309"/>
    <w:rsid w:val="007A733F"/>
    <w:rsid w:val="007A74B1"/>
    <w:rsid w:val="007A74B2"/>
    <w:rsid w:val="007A7EB7"/>
    <w:rsid w:val="007B0989"/>
    <w:rsid w:val="007B1390"/>
    <w:rsid w:val="007B3A3B"/>
    <w:rsid w:val="007B3D62"/>
    <w:rsid w:val="007B589C"/>
    <w:rsid w:val="007B5F12"/>
    <w:rsid w:val="007B6861"/>
    <w:rsid w:val="007B6923"/>
    <w:rsid w:val="007B6B32"/>
    <w:rsid w:val="007B6CC3"/>
    <w:rsid w:val="007B7265"/>
    <w:rsid w:val="007C02F0"/>
    <w:rsid w:val="007C0F30"/>
    <w:rsid w:val="007C10A8"/>
    <w:rsid w:val="007C116D"/>
    <w:rsid w:val="007C1818"/>
    <w:rsid w:val="007C1D85"/>
    <w:rsid w:val="007C1EF3"/>
    <w:rsid w:val="007C2AEF"/>
    <w:rsid w:val="007C2E88"/>
    <w:rsid w:val="007C2EE7"/>
    <w:rsid w:val="007C421C"/>
    <w:rsid w:val="007C517A"/>
    <w:rsid w:val="007C570C"/>
    <w:rsid w:val="007C614E"/>
    <w:rsid w:val="007C6F34"/>
    <w:rsid w:val="007C774C"/>
    <w:rsid w:val="007C7EF3"/>
    <w:rsid w:val="007D0705"/>
    <w:rsid w:val="007D0870"/>
    <w:rsid w:val="007D0877"/>
    <w:rsid w:val="007D0970"/>
    <w:rsid w:val="007D09B3"/>
    <w:rsid w:val="007D0F87"/>
    <w:rsid w:val="007D11BB"/>
    <w:rsid w:val="007D1627"/>
    <w:rsid w:val="007D2B7C"/>
    <w:rsid w:val="007D2C72"/>
    <w:rsid w:val="007D30B5"/>
    <w:rsid w:val="007D430E"/>
    <w:rsid w:val="007D435B"/>
    <w:rsid w:val="007D466E"/>
    <w:rsid w:val="007D46EB"/>
    <w:rsid w:val="007D49D3"/>
    <w:rsid w:val="007D4A16"/>
    <w:rsid w:val="007D5120"/>
    <w:rsid w:val="007D5DBA"/>
    <w:rsid w:val="007D6C4B"/>
    <w:rsid w:val="007D6DB9"/>
    <w:rsid w:val="007D6DDB"/>
    <w:rsid w:val="007D73BB"/>
    <w:rsid w:val="007E1730"/>
    <w:rsid w:val="007E1759"/>
    <w:rsid w:val="007E1C28"/>
    <w:rsid w:val="007E21D2"/>
    <w:rsid w:val="007E22A0"/>
    <w:rsid w:val="007E2742"/>
    <w:rsid w:val="007E3536"/>
    <w:rsid w:val="007E36FE"/>
    <w:rsid w:val="007E38EE"/>
    <w:rsid w:val="007E41AC"/>
    <w:rsid w:val="007E51DF"/>
    <w:rsid w:val="007E69A9"/>
    <w:rsid w:val="007E6C40"/>
    <w:rsid w:val="007E7402"/>
    <w:rsid w:val="007E75A8"/>
    <w:rsid w:val="007E7BC2"/>
    <w:rsid w:val="007F0CA2"/>
    <w:rsid w:val="007F0FEB"/>
    <w:rsid w:val="007F134C"/>
    <w:rsid w:val="007F168D"/>
    <w:rsid w:val="007F1785"/>
    <w:rsid w:val="007F238A"/>
    <w:rsid w:val="007F245A"/>
    <w:rsid w:val="007F292C"/>
    <w:rsid w:val="007F3566"/>
    <w:rsid w:val="007F35CA"/>
    <w:rsid w:val="007F3B99"/>
    <w:rsid w:val="007F3E9F"/>
    <w:rsid w:val="007F3F97"/>
    <w:rsid w:val="007F442F"/>
    <w:rsid w:val="007F4DA5"/>
    <w:rsid w:val="007F508D"/>
    <w:rsid w:val="007F57CA"/>
    <w:rsid w:val="00801058"/>
    <w:rsid w:val="008011EC"/>
    <w:rsid w:val="00801A29"/>
    <w:rsid w:val="00801A2C"/>
    <w:rsid w:val="00801F7F"/>
    <w:rsid w:val="008025C8"/>
    <w:rsid w:val="00803324"/>
    <w:rsid w:val="008033C2"/>
    <w:rsid w:val="0080373F"/>
    <w:rsid w:val="00804C5D"/>
    <w:rsid w:val="00804F73"/>
    <w:rsid w:val="008051C2"/>
    <w:rsid w:val="00805BBA"/>
    <w:rsid w:val="008062C6"/>
    <w:rsid w:val="00806520"/>
    <w:rsid w:val="00806BA8"/>
    <w:rsid w:val="00810755"/>
    <w:rsid w:val="00810C97"/>
    <w:rsid w:val="00811120"/>
    <w:rsid w:val="0081136F"/>
    <w:rsid w:val="008120F3"/>
    <w:rsid w:val="008125A2"/>
    <w:rsid w:val="008126D1"/>
    <w:rsid w:val="00812E41"/>
    <w:rsid w:val="00813500"/>
    <w:rsid w:val="008142B3"/>
    <w:rsid w:val="008146E8"/>
    <w:rsid w:val="008156B7"/>
    <w:rsid w:val="00815858"/>
    <w:rsid w:val="0081647E"/>
    <w:rsid w:val="00816485"/>
    <w:rsid w:val="0081704B"/>
    <w:rsid w:val="00817565"/>
    <w:rsid w:val="0081765B"/>
    <w:rsid w:val="00817B94"/>
    <w:rsid w:val="00820112"/>
    <w:rsid w:val="00820216"/>
    <w:rsid w:val="008203C0"/>
    <w:rsid w:val="00820422"/>
    <w:rsid w:val="008206FB"/>
    <w:rsid w:val="008208E0"/>
    <w:rsid w:val="008209B6"/>
    <w:rsid w:val="008215ED"/>
    <w:rsid w:val="00822624"/>
    <w:rsid w:val="00823000"/>
    <w:rsid w:val="0082310A"/>
    <w:rsid w:val="00823A08"/>
    <w:rsid w:val="00824460"/>
    <w:rsid w:val="00824512"/>
    <w:rsid w:val="008248C3"/>
    <w:rsid w:val="00825324"/>
    <w:rsid w:val="00825BE2"/>
    <w:rsid w:val="00825D87"/>
    <w:rsid w:val="0082620A"/>
    <w:rsid w:val="008263AE"/>
    <w:rsid w:val="00827062"/>
    <w:rsid w:val="0082737B"/>
    <w:rsid w:val="00827CA3"/>
    <w:rsid w:val="00827CDD"/>
    <w:rsid w:val="00827FC4"/>
    <w:rsid w:val="00827FD0"/>
    <w:rsid w:val="00830391"/>
    <w:rsid w:val="00830B33"/>
    <w:rsid w:val="00830E3F"/>
    <w:rsid w:val="00831421"/>
    <w:rsid w:val="00832223"/>
    <w:rsid w:val="008324FC"/>
    <w:rsid w:val="0083253C"/>
    <w:rsid w:val="00832875"/>
    <w:rsid w:val="008331D0"/>
    <w:rsid w:val="00833585"/>
    <w:rsid w:val="00833865"/>
    <w:rsid w:val="00833A46"/>
    <w:rsid w:val="00833C95"/>
    <w:rsid w:val="008343FF"/>
    <w:rsid w:val="00834D4E"/>
    <w:rsid w:val="00834FB5"/>
    <w:rsid w:val="008360AB"/>
    <w:rsid w:val="00836224"/>
    <w:rsid w:val="00837648"/>
    <w:rsid w:val="00837730"/>
    <w:rsid w:val="00837A35"/>
    <w:rsid w:val="00837EAF"/>
    <w:rsid w:val="00840BBD"/>
    <w:rsid w:val="00840DF7"/>
    <w:rsid w:val="00840E3E"/>
    <w:rsid w:val="00841180"/>
    <w:rsid w:val="00842449"/>
    <w:rsid w:val="00842545"/>
    <w:rsid w:val="00842E97"/>
    <w:rsid w:val="00844210"/>
    <w:rsid w:val="00844C92"/>
    <w:rsid w:val="0084589A"/>
    <w:rsid w:val="00845B13"/>
    <w:rsid w:val="00845BA6"/>
    <w:rsid w:val="00845BB9"/>
    <w:rsid w:val="0084635A"/>
    <w:rsid w:val="008467F6"/>
    <w:rsid w:val="008469CC"/>
    <w:rsid w:val="00846AC7"/>
    <w:rsid w:val="008471CC"/>
    <w:rsid w:val="008472F2"/>
    <w:rsid w:val="00847CBA"/>
    <w:rsid w:val="00847D1A"/>
    <w:rsid w:val="00847D5C"/>
    <w:rsid w:val="00847E8C"/>
    <w:rsid w:val="00850B89"/>
    <w:rsid w:val="008512DA"/>
    <w:rsid w:val="008516B2"/>
    <w:rsid w:val="008518C1"/>
    <w:rsid w:val="008522F2"/>
    <w:rsid w:val="008528C2"/>
    <w:rsid w:val="00852E36"/>
    <w:rsid w:val="00853254"/>
    <w:rsid w:val="00853704"/>
    <w:rsid w:val="008538BD"/>
    <w:rsid w:val="00854B65"/>
    <w:rsid w:val="00854CD3"/>
    <w:rsid w:val="0085522A"/>
    <w:rsid w:val="008553B4"/>
    <w:rsid w:val="00856594"/>
    <w:rsid w:val="008566C5"/>
    <w:rsid w:val="00856D72"/>
    <w:rsid w:val="008579A6"/>
    <w:rsid w:val="00857ACC"/>
    <w:rsid w:val="00857C14"/>
    <w:rsid w:val="0086060C"/>
    <w:rsid w:val="00860DF4"/>
    <w:rsid w:val="008613EE"/>
    <w:rsid w:val="00862392"/>
    <w:rsid w:val="0086274A"/>
    <w:rsid w:val="00862A03"/>
    <w:rsid w:val="00863998"/>
    <w:rsid w:val="008639AE"/>
    <w:rsid w:val="00863CBC"/>
    <w:rsid w:val="00863FD8"/>
    <w:rsid w:val="0086427E"/>
    <w:rsid w:val="008644C4"/>
    <w:rsid w:val="00865075"/>
    <w:rsid w:val="00865668"/>
    <w:rsid w:val="00865BC4"/>
    <w:rsid w:val="008660A2"/>
    <w:rsid w:val="00866FB6"/>
    <w:rsid w:val="00867C1F"/>
    <w:rsid w:val="00870351"/>
    <w:rsid w:val="008704E2"/>
    <w:rsid w:val="0087074E"/>
    <w:rsid w:val="00870B04"/>
    <w:rsid w:val="00870DA0"/>
    <w:rsid w:val="008716AC"/>
    <w:rsid w:val="00871885"/>
    <w:rsid w:val="0087223D"/>
    <w:rsid w:val="00874D4B"/>
    <w:rsid w:val="00874DB6"/>
    <w:rsid w:val="00875012"/>
    <w:rsid w:val="008759BC"/>
    <w:rsid w:val="00876221"/>
    <w:rsid w:val="008764D1"/>
    <w:rsid w:val="00876854"/>
    <w:rsid w:val="00876D6A"/>
    <w:rsid w:val="0087739C"/>
    <w:rsid w:val="00877E9B"/>
    <w:rsid w:val="00880574"/>
    <w:rsid w:val="008805A9"/>
    <w:rsid w:val="0088068C"/>
    <w:rsid w:val="00880891"/>
    <w:rsid w:val="00881CD1"/>
    <w:rsid w:val="00881EBC"/>
    <w:rsid w:val="008820B1"/>
    <w:rsid w:val="008822E2"/>
    <w:rsid w:val="00882425"/>
    <w:rsid w:val="00882FC0"/>
    <w:rsid w:val="008843C4"/>
    <w:rsid w:val="00884423"/>
    <w:rsid w:val="00884440"/>
    <w:rsid w:val="00884DF9"/>
    <w:rsid w:val="0088674B"/>
    <w:rsid w:val="008869A9"/>
    <w:rsid w:val="00886BE6"/>
    <w:rsid w:val="0088798D"/>
    <w:rsid w:val="00887F0D"/>
    <w:rsid w:val="008900E7"/>
    <w:rsid w:val="00891B10"/>
    <w:rsid w:val="0089211B"/>
    <w:rsid w:val="00892253"/>
    <w:rsid w:val="00892A84"/>
    <w:rsid w:val="00892F5F"/>
    <w:rsid w:val="00893A45"/>
    <w:rsid w:val="0089432C"/>
    <w:rsid w:val="008949FC"/>
    <w:rsid w:val="00894D10"/>
    <w:rsid w:val="008950F5"/>
    <w:rsid w:val="00895554"/>
    <w:rsid w:val="00897612"/>
    <w:rsid w:val="00897C3E"/>
    <w:rsid w:val="00897EED"/>
    <w:rsid w:val="008A0473"/>
    <w:rsid w:val="008A059D"/>
    <w:rsid w:val="008A078B"/>
    <w:rsid w:val="008A092E"/>
    <w:rsid w:val="008A0F7F"/>
    <w:rsid w:val="008A1ADC"/>
    <w:rsid w:val="008A1C09"/>
    <w:rsid w:val="008A1D48"/>
    <w:rsid w:val="008A1ECB"/>
    <w:rsid w:val="008A208F"/>
    <w:rsid w:val="008A2770"/>
    <w:rsid w:val="008A2A13"/>
    <w:rsid w:val="008A35DD"/>
    <w:rsid w:val="008A3978"/>
    <w:rsid w:val="008A4491"/>
    <w:rsid w:val="008A4577"/>
    <w:rsid w:val="008A4CDF"/>
    <w:rsid w:val="008A608D"/>
    <w:rsid w:val="008A62AC"/>
    <w:rsid w:val="008A66AB"/>
    <w:rsid w:val="008A6B71"/>
    <w:rsid w:val="008A6D3A"/>
    <w:rsid w:val="008A6F94"/>
    <w:rsid w:val="008A7115"/>
    <w:rsid w:val="008B10A1"/>
    <w:rsid w:val="008B1156"/>
    <w:rsid w:val="008B1D65"/>
    <w:rsid w:val="008B29AA"/>
    <w:rsid w:val="008B29AF"/>
    <w:rsid w:val="008B4A5B"/>
    <w:rsid w:val="008B4BD9"/>
    <w:rsid w:val="008B59FD"/>
    <w:rsid w:val="008B5C70"/>
    <w:rsid w:val="008B5E37"/>
    <w:rsid w:val="008B5F40"/>
    <w:rsid w:val="008B616A"/>
    <w:rsid w:val="008B64A6"/>
    <w:rsid w:val="008B683C"/>
    <w:rsid w:val="008B68CC"/>
    <w:rsid w:val="008B796D"/>
    <w:rsid w:val="008B7A1D"/>
    <w:rsid w:val="008C0731"/>
    <w:rsid w:val="008C0BBC"/>
    <w:rsid w:val="008C0DBC"/>
    <w:rsid w:val="008C1161"/>
    <w:rsid w:val="008C1717"/>
    <w:rsid w:val="008C19B7"/>
    <w:rsid w:val="008C1AF5"/>
    <w:rsid w:val="008C1CD3"/>
    <w:rsid w:val="008C2734"/>
    <w:rsid w:val="008C29D1"/>
    <w:rsid w:val="008C3A6A"/>
    <w:rsid w:val="008C4681"/>
    <w:rsid w:val="008C4A25"/>
    <w:rsid w:val="008C51F6"/>
    <w:rsid w:val="008C545C"/>
    <w:rsid w:val="008C55FD"/>
    <w:rsid w:val="008C574D"/>
    <w:rsid w:val="008C5B22"/>
    <w:rsid w:val="008C5D39"/>
    <w:rsid w:val="008C5D9A"/>
    <w:rsid w:val="008C667C"/>
    <w:rsid w:val="008C67F9"/>
    <w:rsid w:val="008C68D4"/>
    <w:rsid w:val="008C6C43"/>
    <w:rsid w:val="008C6E5F"/>
    <w:rsid w:val="008C6E77"/>
    <w:rsid w:val="008C75A9"/>
    <w:rsid w:val="008C7B2F"/>
    <w:rsid w:val="008D077F"/>
    <w:rsid w:val="008D0BCC"/>
    <w:rsid w:val="008D14D0"/>
    <w:rsid w:val="008D1A26"/>
    <w:rsid w:val="008D1ACD"/>
    <w:rsid w:val="008D2364"/>
    <w:rsid w:val="008D2573"/>
    <w:rsid w:val="008D27CC"/>
    <w:rsid w:val="008D31C2"/>
    <w:rsid w:val="008D34E5"/>
    <w:rsid w:val="008D45F7"/>
    <w:rsid w:val="008D4738"/>
    <w:rsid w:val="008D4B24"/>
    <w:rsid w:val="008D4C64"/>
    <w:rsid w:val="008D53E1"/>
    <w:rsid w:val="008D53FA"/>
    <w:rsid w:val="008D592D"/>
    <w:rsid w:val="008D62D0"/>
    <w:rsid w:val="008D633B"/>
    <w:rsid w:val="008D6CE0"/>
    <w:rsid w:val="008D6DBF"/>
    <w:rsid w:val="008D7F02"/>
    <w:rsid w:val="008E057C"/>
    <w:rsid w:val="008E0F49"/>
    <w:rsid w:val="008E14F4"/>
    <w:rsid w:val="008E1B4D"/>
    <w:rsid w:val="008E21C7"/>
    <w:rsid w:val="008E3FFA"/>
    <w:rsid w:val="008E47EE"/>
    <w:rsid w:val="008E50C8"/>
    <w:rsid w:val="008E56B5"/>
    <w:rsid w:val="008E5FAC"/>
    <w:rsid w:val="008E6451"/>
    <w:rsid w:val="008E68E0"/>
    <w:rsid w:val="008E6C76"/>
    <w:rsid w:val="008E7505"/>
    <w:rsid w:val="008E7732"/>
    <w:rsid w:val="008E7EFE"/>
    <w:rsid w:val="008E7F6E"/>
    <w:rsid w:val="008E7FD7"/>
    <w:rsid w:val="008F10B3"/>
    <w:rsid w:val="008F163B"/>
    <w:rsid w:val="008F305B"/>
    <w:rsid w:val="008F3083"/>
    <w:rsid w:val="008F3097"/>
    <w:rsid w:val="008F316E"/>
    <w:rsid w:val="008F32A8"/>
    <w:rsid w:val="008F33C2"/>
    <w:rsid w:val="008F3857"/>
    <w:rsid w:val="008F4205"/>
    <w:rsid w:val="008F4A28"/>
    <w:rsid w:val="008F5776"/>
    <w:rsid w:val="008F6150"/>
    <w:rsid w:val="008F6D06"/>
    <w:rsid w:val="008F7555"/>
    <w:rsid w:val="009002D5"/>
    <w:rsid w:val="009006BD"/>
    <w:rsid w:val="00900996"/>
    <w:rsid w:val="00900B92"/>
    <w:rsid w:val="009010FA"/>
    <w:rsid w:val="009020EF"/>
    <w:rsid w:val="00902693"/>
    <w:rsid w:val="00902AC6"/>
    <w:rsid w:val="00902CE3"/>
    <w:rsid w:val="009037E7"/>
    <w:rsid w:val="00903A16"/>
    <w:rsid w:val="009045AF"/>
    <w:rsid w:val="009045E0"/>
    <w:rsid w:val="00904C39"/>
    <w:rsid w:val="00904CA1"/>
    <w:rsid w:val="00904E7A"/>
    <w:rsid w:val="0090582C"/>
    <w:rsid w:val="00905FAA"/>
    <w:rsid w:val="0090653B"/>
    <w:rsid w:val="009067F8"/>
    <w:rsid w:val="00906866"/>
    <w:rsid w:val="009068A8"/>
    <w:rsid w:val="009068B3"/>
    <w:rsid w:val="00906D0A"/>
    <w:rsid w:val="009079DF"/>
    <w:rsid w:val="00907A86"/>
    <w:rsid w:val="00907DA7"/>
    <w:rsid w:val="009104A7"/>
    <w:rsid w:val="009104D6"/>
    <w:rsid w:val="0091069A"/>
    <w:rsid w:val="00910813"/>
    <w:rsid w:val="009108DE"/>
    <w:rsid w:val="00910A5E"/>
    <w:rsid w:val="00910C68"/>
    <w:rsid w:val="00911910"/>
    <w:rsid w:val="00911E95"/>
    <w:rsid w:val="00911EA5"/>
    <w:rsid w:val="009125E7"/>
    <w:rsid w:val="009136D4"/>
    <w:rsid w:val="00913B29"/>
    <w:rsid w:val="009149E5"/>
    <w:rsid w:val="009149FD"/>
    <w:rsid w:val="009150D4"/>
    <w:rsid w:val="00915163"/>
    <w:rsid w:val="0091561F"/>
    <w:rsid w:val="0091677F"/>
    <w:rsid w:val="009168BF"/>
    <w:rsid w:val="00916E32"/>
    <w:rsid w:val="00916F17"/>
    <w:rsid w:val="00916FA9"/>
    <w:rsid w:val="009174B7"/>
    <w:rsid w:val="00917B2A"/>
    <w:rsid w:val="00917CB6"/>
    <w:rsid w:val="00917D62"/>
    <w:rsid w:val="00917E5D"/>
    <w:rsid w:val="009206BE"/>
    <w:rsid w:val="00920C86"/>
    <w:rsid w:val="00920F87"/>
    <w:rsid w:val="009210F2"/>
    <w:rsid w:val="0092185C"/>
    <w:rsid w:val="00922432"/>
    <w:rsid w:val="009225B4"/>
    <w:rsid w:val="009229E0"/>
    <w:rsid w:val="00923B89"/>
    <w:rsid w:val="00923F9C"/>
    <w:rsid w:val="00924C05"/>
    <w:rsid w:val="00924D6B"/>
    <w:rsid w:val="00926325"/>
    <w:rsid w:val="009265B4"/>
    <w:rsid w:val="009266CF"/>
    <w:rsid w:val="0092673A"/>
    <w:rsid w:val="00926976"/>
    <w:rsid w:val="00926D04"/>
    <w:rsid w:val="00926F71"/>
    <w:rsid w:val="009276D0"/>
    <w:rsid w:val="009306FB"/>
    <w:rsid w:val="00930733"/>
    <w:rsid w:val="009309D8"/>
    <w:rsid w:val="0093207C"/>
    <w:rsid w:val="00932100"/>
    <w:rsid w:val="00932397"/>
    <w:rsid w:val="00932AC4"/>
    <w:rsid w:val="00932C3A"/>
    <w:rsid w:val="00933B0D"/>
    <w:rsid w:val="009344B6"/>
    <w:rsid w:val="00935153"/>
    <w:rsid w:val="00935352"/>
    <w:rsid w:val="009364F7"/>
    <w:rsid w:val="009365BE"/>
    <w:rsid w:val="00936B42"/>
    <w:rsid w:val="00936CBF"/>
    <w:rsid w:val="00937852"/>
    <w:rsid w:val="009402CA"/>
    <w:rsid w:val="00940F12"/>
    <w:rsid w:val="00941610"/>
    <w:rsid w:val="00942FCA"/>
    <w:rsid w:val="0094315A"/>
    <w:rsid w:val="009434F9"/>
    <w:rsid w:val="009454B4"/>
    <w:rsid w:val="00945B2E"/>
    <w:rsid w:val="00946E2F"/>
    <w:rsid w:val="009471E2"/>
    <w:rsid w:val="0094739C"/>
    <w:rsid w:val="00947458"/>
    <w:rsid w:val="00947822"/>
    <w:rsid w:val="00947AF3"/>
    <w:rsid w:val="009500C6"/>
    <w:rsid w:val="00950504"/>
    <w:rsid w:val="00950D84"/>
    <w:rsid w:val="009510D2"/>
    <w:rsid w:val="009541ED"/>
    <w:rsid w:val="009544BA"/>
    <w:rsid w:val="0095489B"/>
    <w:rsid w:val="00954C38"/>
    <w:rsid w:val="00954C93"/>
    <w:rsid w:val="009552ED"/>
    <w:rsid w:val="00955B70"/>
    <w:rsid w:val="00955E11"/>
    <w:rsid w:val="00956717"/>
    <w:rsid w:val="009576E0"/>
    <w:rsid w:val="00957743"/>
    <w:rsid w:val="00960775"/>
    <w:rsid w:val="00960CDA"/>
    <w:rsid w:val="00960EC8"/>
    <w:rsid w:val="00961433"/>
    <w:rsid w:val="00961950"/>
    <w:rsid w:val="00961D65"/>
    <w:rsid w:val="00962B8E"/>
    <w:rsid w:val="009632F7"/>
    <w:rsid w:val="00963C60"/>
    <w:rsid w:val="00963D62"/>
    <w:rsid w:val="00965764"/>
    <w:rsid w:val="009657B7"/>
    <w:rsid w:val="00965944"/>
    <w:rsid w:val="00965E2F"/>
    <w:rsid w:val="00966482"/>
    <w:rsid w:val="0096671F"/>
    <w:rsid w:val="0096696C"/>
    <w:rsid w:val="00970FCB"/>
    <w:rsid w:val="009711A1"/>
    <w:rsid w:val="00971590"/>
    <w:rsid w:val="009716A4"/>
    <w:rsid w:val="00973502"/>
    <w:rsid w:val="00973BDC"/>
    <w:rsid w:val="00973DA1"/>
    <w:rsid w:val="00974DB6"/>
    <w:rsid w:val="00975BBC"/>
    <w:rsid w:val="00975C7D"/>
    <w:rsid w:val="0097653D"/>
    <w:rsid w:val="00976BF1"/>
    <w:rsid w:val="00976D83"/>
    <w:rsid w:val="0097790C"/>
    <w:rsid w:val="0098031F"/>
    <w:rsid w:val="00980420"/>
    <w:rsid w:val="0098216C"/>
    <w:rsid w:val="00982570"/>
    <w:rsid w:val="009828B5"/>
    <w:rsid w:val="00982FDB"/>
    <w:rsid w:val="00983247"/>
    <w:rsid w:val="00983C6B"/>
    <w:rsid w:val="00983E8B"/>
    <w:rsid w:val="00984D9F"/>
    <w:rsid w:val="00984F3A"/>
    <w:rsid w:val="009857B0"/>
    <w:rsid w:val="00985FB4"/>
    <w:rsid w:val="00986B33"/>
    <w:rsid w:val="009873EE"/>
    <w:rsid w:val="009876CC"/>
    <w:rsid w:val="00990157"/>
    <w:rsid w:val="00990279"/>
    <w:rsid w:val="0099031A"/>
    <w:rsid w:val="00990360"/>
    <w:rsid w:val="00990EFF"/>
    <w:rsid w:val="0099174B"/>
    <w:rsid w:val="009917EF"/>
    <w:rsid w:val="00991D80"/>
    <w:rsid w:val="0099241B"/>
    <w:rsid w:val="00992421"/>
    <w:rsid w:val="0099283F"/>
    <w:rsid w:val="00992FB3"/>
    <w:rsid w:val="009935FC"/>
    <w:rsid w:val="009937E0"/>
    <w:rsid w:val="00993B35"/>
    <w:rsid w:val="00993DE2"/>
    <w:rsid w:val="00994EA3"/>
    <w:rsid w:val="009953E9"/>
    <w:rsid w:val="0099550E"/>
    <w:rsid w:val="0099570F"/>
    <w:rsid w:val="00996196"/>
    <w:rsid w:val="0099638F"/>
    <w:rsid w:val="00996D48"/>
    <w:rsid w:val="009A00D8"/>
    <w:rsid w:val="009A037C"/>
    <w:rsid w:val="009A0850"/>
    <w:rsid w:val="009A09E8"/>
    <w:rsid w:val="009A0D8F"/>
    <w:rsid w:val="009A0F84"/>
    <w:rsid w:val="009A134E"/>
    <w:rsid w:val="009A14A3"/>
    <w:rsid w:val="009A1855"/>
    <w:rsid w:val="009A26E9"/>
    <w:rsid w:val="009A2AD2"/>
    <w:rsid w:val="009A33AE"/>
    <w:rsid w:val="009A3453"/>
    <w:rsid w:val="009A3749"/>
    <w:rsid w:val="009A460C"/>
    <w:rsid w:val="009A4635"/>
    <w:rsid w:val="009A4E5E"/>
    <w:rsid w:val="009A5080"/>
    <w:rsid w:val="009A51DF"/>
    <w:rsid w:val="009A53D0"/>
    <w:rsid w:val="009A58C2"/>
    <w:rsid w:val="009A5E0B"/>
    <w:rsid w:val="009A6103"/>
    <w:rsid w:val="009A645A"/>
    <w:rsid w:val="009A651A"/>
    <w:rsid w:val="009A735C"/>
    <w:rsid w:val="009B2526"/>
    <w:rsid w:val="009B3449"/>
    <w:rsid w:val="009B3DB2"/>
    <w:rsid w:val="009B481B"/>
    <w:rsid w:val="009B4F26"/>
    <w:rsid w:val="009B51FB"/>
    <w:rsid w:val="009B5A90"/>
    <w:rsid w:val="009B5F9F"/>
    <w:rsid w:val="009B6827"/>
    <w:rsid w:val="009B71BD"/>
    <w:rsid w:val="009B7AD4"/>
    <w:rsid w:val="009B7F7B"/>
    <w:rsid w:val="009B7F81"/>
    <w:rsid w:val="009C02EA"/>
    <w:rsid w:val="009C03C6"/>
    <w:rsid w:val="009C111F"/>
    <w:rsid w:val="009C196D"/>
    <w:rsid w:val="009C1E4B"/>
    <w:rsid w:val="009C205A"/>
    <w:rsid w:val="009C298A"/>
    <w:rsid w:val="009C364E"/>
    <w:rsid w:val="009C3ECA"/>
    <w:rsid w:val="009C4E7F"/>
    <w:rsid w:val="009C5D23"/>
    <w:rsid w:val="009C6109"/>
    <w:rsid w:val="009C63B7"/>
    <w:rsid w:val="009C769C"/>
    <w:rsid w:val="009D054E"/>
    <w:rsid w:val="009D0EEC"/>
    <w:rsid w:val="009D0FB4"/>
    <w:rsid w:val="009D202E"/>
    <w:rsid w:val="009D29EB"/>
    <w:rsid w:val="009D2A00"/>
    <w:rsid w:val="009D2D6E"/>
    <w:rsid w:val="009D2DAC"/>
    <w:rsid w:val="009D3789"/>
    <w:rsid w:val="009D4097"/>
    <w:rsid w:val="009D4815"/>
    <w:rsid w:val="009D4E63"/>
    <w:rsid w:val="009D547C"/>
    <w:rsid w:val="009D56F8"/>
    <w:rsid w:val="009D5770"/>
    <w:rsid w:val="009D58F6"/>
    <w:rsid w:val="009D5BFA"/>
    <w:rsid w:val="009D5CB2"/>
    <w:rsid w:val="009D6005"/>
    <w:rsid w:val="009D61CE"/>
    <w:rsid w:val="009D6DC2"/>
    <w:rsid w:val="009D7E41"/>
    <w:rsid w:val="009E0658"/>
    <w:rsid w:val="009E0926"/>
    <w:rsid w:val="009E10CB"/>
    <w:rsid w:val="009E139D"/>
    <w:rsid w:val="009E186B"/>
    <w:rsid w:val="009E2535"/>
    <w:rsid w:val="009E2A2D"/>
    <w:rsid w:val="009E2AEB"/>
    <w:rsid w:val="009E2B18"/>
    <w:rsid w:val="009E334B"/>
    <w:rsid w:val="009E52B4"/>
    <w:rsid w:val="009E580E"/>
    <w:rsid w:val="009E5914"/>
    <w:rsid w:val="009E61C8"/>
    <w:rsid w:val="009E61F3"/>
    <w:rsid w:val="009E7D57"/>
    <w:rsid w:val="009E7DF0"/>
    <w:rsid w:val="009E7EE9"/>
    <w:rsid w:val="009E7F33"/>
    <w:rsid w:val="009F003C"/>
    <w:rsid w:val="009F00D0"/>
    <w:rsid w:val="009F043A"/>
    <w:rsid w:val="009F06DD"/>
    <w:rsid w:val="009F072D"/>
    <w:rsid w:val="009F1017"/>
    <w:rsid w:val="009F1110"/>
    <w:rsid w:val="009F12A1"/>
    <w:rsid w:val="009F1586"/>
    <w:rsid w:val="009F18A1"/>
    <w:rsid w:val="009F25BF"/>
    <w:rsid w:val="009F27D1"/>
    <w:rsid w:val="009F334E"/>
    <w:rsid w:val="009F3E94"/>
    <w:rsid w:val="009F3F5C"/>
    <w:rsid w:val="009F41F8"/>
    <w:rsid w:val="009F49C4"/>
    <w:rsid w:val="009F4A71"/>
    <w:rsid w:val="009F4C45"/>
    <w:rsid w:val="009F5659"/>
    <w:rsid w:val="009F5F16"/>
    <w:rsid w:val="009F6AD7"/>
    <w:rsid w:val="009F6F01"/>
    <w:rsid w:val="009F7010"/>
    <w:rsid w:val="009F705C"/>
    <w:rsid w:val="009F79D8"/>
    <w:rsid w:val="009F7C68"/>
    <w:rsid w:val="00A00305"/>
    <w:rsid w:val="00A0038F"/>
    <w:rsid w:val="00A0053F"/>
    <w:rsid w:val="00A0092F"/>
    <w:rsid w:val="00A00986"/>
    <w:rsid w:val="00A009A0"/>
    <w:rsid w:val="00A00EEA"/>
    <w:rsid w:val="00A01688"/>
    <w:rsid w:val="00A01DF2"/>
    <w:rsid w:val="00A029CC"/>
    <w:rsid w:val="00A031D3"/>
    <w:rsid w:val="00A03642"/>
    <w:rsid w:val="00A03F80"/>
    <w:rsid w:val="00A0504D"/>
    <w:rsid w:val="00A0590C"/>
    <w:rsid w:val="00A05ACB"/>
    <w:rsid w:val="00A05E82"/>
    <w:rsid w:val="00A061A3"/>
    <w:rsid w:val="00A06723"/>
    <w:rsid w:val="00A07F1C"/>
    <w:rsid w:val="00A102EC"/>
    <w:rsid w:val="00A10C49"/>
    <w:rsid w:val="00A1130D"/>
    <w:rsid w:val="00A11741"/>
    <w:rsid w:val="00A11EEB"/>
    <w:rsid w:val="00A12027"/>
    <w:rsid w:val="00A1317D"/>
    <w:rsid w:val="00A13E2C"/>
    <w:rsid w:val="00A14164"/>
    <w:rsid w:val="00A146AA"/>
    <w:rsid w:val="00A14AC2"/>
    <w:rsid w:val="00A15696"/>
    <w:rsid w:val="00A156CF"/>
    <w:rsid w:val="00A158B9"/>
    <w:rsid w:val="00A158BA"/>
    <w:rsid w:val="00A15B9E"/>
    <w:rsid w:val="00A1634D"/>
    <w:rsid w:val="00A1768C"/>
    <w:rsid w:val="00A17B6E"/>
    <w:rsid w:val="00A2038A"/>
    <w:rsid w:val="00A20E17"/>
    <w:rsid w:val="00A21967"/>
    <w:rsid w:val="00A223B1"/>
    <w:rsid w:val="00A226FD"/>
    <w:rsid w:val="00A2273A"/>
    <w:rsid w:val="00A22E02"/>
    <w:rsid w:val="00A22E94"/>
    <w:rsid w:val="00A23422"/>
    <w:rsid w:val="00A236FD"/>
    <w:rsid w:val="00A2414B"/>
    <w:rsid w:val="00A24EAB"/>
    <w:rsid w:val="00A25281"/>
    <w:rsid w:val="00A25C92"/>
    <w:rsid w:val="00A25EDD"/>
    <w:rsid w:val="00A26197"/>
    <w:rsid w:val="00A26E6F"/>
    <w:rsid w:val="00A273FB"/>
    <w:rsid w:val="00A27439"/>
    <w:rsid w:val="00A27BF0"/>
    <w:rsid w:val="00A27C69"/>
    <w:rsid w:val="00A27EDE"/>
    <w:rsid w:val="00A3032C"/>
    <w:rsid w:val="00A309C1"/>
    <w:rsid w:val="00A30CEC"/>
    <w:rsid w:val="00A314BF"/>
    <w:rsid w:val="00A31705"/>
    <w:rsid w:val="00A31AFD"/>
    <w:rsid w:val="00A325F1"/>
    <w:rsid w:val="00A326AB"/>
    <w:rsid w:val="00A332A2"/>
    <w:rsid w:val="00A33F2C"/>
    <w:rsid w:val="00A34426"/>
    <w:rsid w:val="00A34BA6"/>
    <w:rsid w:val="00A34FCC"/>
    <w:rsid w:val="00A34FEC"/>
    <w:rsid w:val="00A353D1"/>
    <w:rsid w:val="00A35B9D"/>
    <w:rsid w:val="00A35DF4"/>
    <w:rsid w:val="00A36125"/>
    <w:rsid w:val="00A36139"/>
    <w:rsid w:val="00A36166"/>
    <w:rsid w:val="00A3617D"/>
    <w:rsid w:val="00A36804"/>
    <w:rsid w:val="00A37273"/>
    <w:rsid w:val="00A3780E"/>
    <w:rsid w:val="00A37D6C"/>
    <w:rsid w:val="00A400E3"/>
    <w:rsid w:val="00A404DC"/>
    <w:rsid w:val="00A40A85"/>
    <w:rsid w:val="00A40CAF"/>
    <w:rsid w:val="00A41642"/>
    <w:rsid w:val="00A4282D"/>
    <w:rsid w:val="00A43D95"/>
    <w:rsid w:val="00A43E09"/>
    <w:rsid w:val="00A448C4"/>
    <w:rsid w:val="00A4495B"/>
    <w:rsid w:val="00A44CAE"/>
    <w:rsid w:val="00A4562F"/>
    <w:rsid w:val="00A45867"/>
    <w:rsid w:val="00A45C16"/>
    <w:rsid w:val="00A45E5F"/>
    <w:rsid w:val="00A4681D"/>
    <w:rsid w:val="00A469A0"/>
    <w:rsid w:val="00A47DFC"/>
    <w:rsid w:val="00A502AC"/>
    <w:rsid w:val="00A5073B"/>
    <w:rsid w:val="00A5094F"/>
    <w:rsid w:val="00A50AEB"/>
    <w:rsid w:val="00A50E20"/>
    <w:rsid w:val="00A50F68"/>
    <w:rsid w:val="00A513AE"/>
    <w:rsid w:val="00A53063"/>
    <w:rsid w:val="00A536E7"/>
    <w:rsid w:val="00A538BF"/>
    <w:rsid w:val="00A54914"/>
    <w:rsid w:val="00A54EC5"/>
    <w:rsid w:val="00A5592C"/>
    <w:rsid w:val="00A55F95"/>
    <w:rsid w:val="00A565BF"/>
    <w:rsid w:val="00A5693F"/>
    <w:rsid w:val="00A56A7F"/>
    <w:rsid w:val="00A56B6C"/>
    <w:rsid w:val="00A57551"/>
    <w:rsid w:val="00A5765C"/>
    <w:rsid w:val="00A57974"/>
    <w:rsid w:val="00A60AEE"/>
    <w:rsid w:val="00A61A3D"/>
    <w:rsid w:val="00A62C70"/>
    <w:rsid w:val="00A62F00"/>
    <w:rsid w:val="00A6370E"/>
    <w:rsid w:val="00A63777"/>
    <w:rsid w:val="00A63D65"/>
    <w:rsid w:val="00A64DB1"/>
    <w:rsid w:val="00A64E05"/>
    <w:rsid w:val="00A65A46"/>
    <w:rsid w:val="00A6608F"/>
    <w:rsid w:val="00A66F1F"/>
    <w:rsid w:val="00A674EA"/>
    <w:rsid w:val="00A67594"/>
    <w:rsid w:val="00A67D44"/>
    <w:rsid w:val="00A70448"/>
    <w:rsid w:val="00A70D11"/>
    <w:rsid w:val="00A71BE1"/>
    <w:rsid w:val="00A71D07"/>
    <w:rsid w:val="00A71ED5"/>
    <w:rsid w:val="00A727EA"/>
    <w:rsid w:val="00A727F2"/>
    <w:rsid w:val="00A72965"/>
    <w:rsid w:val="00A72EB1"/>
    <w:rsid w:val="00A73D0E"/>
    <w:rsid w:val="00A74192"/>
    <w:rsid w:val="00A744DE"/>
    <w:rsid w:val="00A74BBF"/>
    <w:rsid w:val="00A750F9"/>
    <w:rsid w:val="00A757D7"/>
    <w:rsid w:val="00A77037"/>
    <w:rsid w:val="00A770F7"/>
    <w:rsid w:val="00A7737B"/>
    <w:rsid w:val="00A77401"/>
    <w:rsid w:val="00A77435"/>
    <w:rsid w:val="00A7752F"/>
    <w:rsid w:val="00A775DA"/>
    <w:rsid w:val="00A778AE"/>
    <w:rsid w:val="00A77CA6"/>
    <w:rsid w:val="00A80126"/>
    <w:rsid w:val="00A80259"/>
    <w:rsid w:val="00A80BC9"/>
    <w:rsid w:val="00A81887"/>
    <w:rsid w:val="00A81AC2"/>
    <w:rsid w:val="00A81EA0"/>
    <w:rsid w:val="00A8297F"/>
    <w:rsid w:val="00A8313F"/>
    <w:rsid w:val="00A84A99"/>
    <w:rsid w:val="00A84C2F"/>
    <w:rsid w:val="00A84C69"/>
    <w:rsid w:val="00A85135"/>
    <w:rsid w:val="00A85EF0"/>
    <w:rsid w:val="00A86746"/>
    <w:rsid w:val="00A86C98"/>
    <w:rsid w:val="00A90379"/>
    <w:rsid w:val="00A906DA"/>
    <w:rsid w:val="00A91658"/>
    <w:rsid w:val="00A91681"/>
    <w:rsid w:val="00A91B51"/>
    <w:rsid w:val="00A91CE3"/>
    <w:rsid w:val="00A920CF"/>
    <w:rsid w:val="00A9215B"/>
    <w:rsid w:val="00A9221F"/>
    <w:rsid w:val="00A9265E"/>
    <w:rsid w:val="00A934CC"/>
    <w:rsid w:val="00A956D4"/>
    <w:rsid w:val="00A95B77"/>
    <w:rsid w:val="00A95CDA"/>
    <w:rsid w:val="00A9600D"/>
    <w:rsid w:val="00A96036"/>
    <w:rsid w:val="00A962DC"/>
    <w:rsid w:val="00A96311"/>
    <w:rsid w:val="00A96F72"/>
    <w:rsid w:val="00A9721C"/>
    <w:rsid w:val="00A97230"/>
    <w:rsid w:val="00A97572"/>
    <w:rsid w:val="00A97DCF"/>
    <w:rsid w:val="00AA0C86"/>
    <w:rsid w:val="00AA1869"/>
    <w:rsid w:val="00AA1C46"/>
    <w:rsid w:val="00AA31C0"/>
    <w:rsid w:val="00AA3936"/>
    <w:rsid w:val="00AA3F2C"/>
    <w:rsid w:val="00AA3F37"/>
    <w:rsid w:val="00AA411B"/>
    <w:rsid w:val="00AA4B33"/>
    <w:rsid w:val="00AA4E8C"/>
    <w:rsid w:val="00AA511E"/>
    <w:rsid w:val="00AA517E"/>
    <w:rsid w:val="00AA518A"/>
    <w:rsid w:val="00AA5261"/>
    <w:rsid w:val="00AA5665"/>
    <w:rsid w:val="00AA5A80"/>
    <w:rsid w:val="00AA62F4"/>
    <w:rsid w:val="00AA7034"/>
    <w:rsid w:val="00AA77B3"/>
    <w:rsid w:val="00AA7E80"/>
    <w:rsid w:val="00AB0477"/>
    <w:rsid w:val="00AB050A"/>
    <w:rsid w:val="00AB102B"/>
    <w:rsid w:val="00AB12EB"/>
    <w:rsid w:val="00AB1643"/>
    <w:rsid w:val="00AB1B93"/>
    <w:rsid w:val="00AB4BFF"/>
    <w:rsid w:val="00AB4CC4"/>
    <w:rsid w:val="00AB4E8C"/>
    <w:rsid w:val="00AB50F9"/>
    <w:rsid w:val="00AB5242"/>
    <w:rsid w:val="00AB551A"/>
    <w:rsid w:val="00AB697F"/>
    <w:rsid w:val="00AB712E"/>
    <w:rsid w:val="00AB7308"/>
    <w:rsid w:val="00AB77B5"/>
    <w:rsid w:val="00AC0775"/>
    <w:rsid w:val="00AC0829"/>
    <w:rsid w:val="00AC1495"/>
    <w:rsid w:val="00AC22DE"/>
    <w:rsid w:val="00AC2AC2"/>
    <w:rsid w:val="00AC33C2"/>
    <w:rsid w:val="00AC4DA0"/>
    <w:rsid w:val="00AC50E2"/>
    <w:rsid w:val="00AC5376"/>
    <w:rsid w:val="00AC5C56"/>
    <w:rsid w:val="00AC5E8F"/>
    <w:rsid w:val="00AC613A"/>
    <w:rsid w:val="00AC6302"/>
    <w:rsid w:val="00AC6F07"/>
    <w:rsid w:val="00AC736A"/>
    <w:rsid w:val="00AC7C14"/>
    <w:rsid w:val="00AD05DB"/>
    <w:rsid w:val="00AD0807"/>
    <w:rsid w:val="00AD08AD"/>
    <w:rsid w:val="00AD1297"/>
    <w:rsid w:val="00AD175C"/>
    <w:rsid w:val="00AD1825"/>
    <w:rsid w:val="00AD1AAF"/>
    <w:rsid w:val="00AD2D63"/>
    <w:rsid w:val="00AD3188"/>
    <w:rsid w:val="00AD389C"/>
    <w:rsid w:val="00AD3FED"/>
    <w:rsid w:val="00AD4198"/>
    <w:rsid w:val="00AD4B48"/>
    <w:rsid w:val="00AD4B87"/>
    <w:rsid w:val="00AD4E1E"/>
    <w:rsid w:val="00AD4FC3"/>
    <w:rsid w:val="00AD56EE"/>
    <w:rsid w:val="00AD6712"/>
    <w:rsid w:val="00AD67E3"/>
    <w:rsid w:val="00AD69DD"/>
    <w:rsid w:val="00AD7522"/>
    <w:rsid w:val="00AD7B22"/>
    <w:rsid w:val="00AE02F0"/>
    <w:rsid w:val="00AE054C"/>
    <w:rsid w:val="00AE1987"/>
    <w:rsid w:val="00AE1AB4"/>
    <w:rsid w:val="00AE1F48"/>
    <w:rsid w:val="00AE2197"/>
    <w:rsid w:val="00AE21A9"/>
    <w:rsid w:val="00AE2528"/>
    <w:rsid w:val="00AE25DF"/>
    <w:rsid w:val="00AE2F68"/>
    <w:rsid w:val="00AE3359"/>
    <w:rsid w:val="00AE39DE"/>
    <w:rsid w:val="00AE4BBD"/>
    <w:rsid w:val="00AE5502"/>
    <w:rsid w:val="00AE5F43"/>
    <w:rsid w:val="00AE6310"/>
    <w:rsid w:val="00AE6696"/>
    <w:rsid w:val="00AE6820"/>
    <w:rsid w:val="00AE68C6"/>
    <w:rsid w:val="00AE6BF2"/>
    <w:rsid w:val="00AE6D0F"/>
    <w:rsid w:val="00AE6DB8"/>
    <w:rsid w:val="00AE734A"/>
    <w:rsid w:val="00AF011A"/>
    <w:rsid w:val="00AF0238"/>
    <w:rsid w:val="00AF0F12"/>
    <w:rsid w:val="00AF0F71"/>
    <w:rsid w:val="00AF118B"/>
    <w:rsid w:val="00AF15F8"/>
    <w:rsid w:val="00AF1C58"/>
    <w:rsid w:val="00AF2794"/>
    <w:rsid w:val="00AF27AD"/>
    <w:rsid w:val="00AF2A2D"/>
    <w:rsid w:val="00AF384D"/>
    <w:rsid w:val="00AF392A"/>
    <w:rsid w:val="00AF3D67"/>
    <w:rsid w:val="00AF4A99"/>
    <w:rsid w:val="00AF4F2E"/>
    <w:rsid w:val="00AF52A3"/>
    <w:rsid w:val="00AF53E5"/>
    <w:rsid w:val="00AF5DF1"/>
    <w:rsid w:val="00AF659B"/>
    <w:rsid w:val="00AF65F1"/>
    <w:rsid w:val="00AF663B"/>
    <w:rsid w:val="00AF740E"/>
    <w:rsid w:val="00AF7BEC"/>
    <w:rsid w:val="00AF7CB2"/>
    <w:rsid w:val="00AF7EFE"/>
    <w:rsid w:val="00B00253"/>
    <w:rsid w:val="00B004E4"/>
    <w:rsid w:val="00B00745"/>
    <w:rsid w:val="00B01307"/>
    <w:rsid w:val="00B01BCE"/>
    <w:rsid w:val="00B01C2E"/>
    <w:rsid w:val="00B02709"/>
    <w:rsid w:val="00B027F7"/>
    <w:rsid w:val="00B02A7E"/>
    <w:rsid w:val="00B03542"/>
    <w:rsid w:val="00B03CFC"/>
    <w:rsid w:val="00B03E07"/>
    <w:rsid w:val="00B03F55"/>
    <w:rsid w:val="00B0449C"/>
    <w:rsid w:val="00B0462E"/>
    <w:rsid w:val="00B046C8"/>
    <w:rsid w:val="00B0475D"/>
    <w:rsid w:val="00B049D3"/>
    <w:rsid w:val="00B05005"/>
    <w:rsid w:val="00B053B4"/>
    <w:rsid w:val="00B0541A"/>
    <w:rsid w:val="00B05512"/>
    <w:rsid w:val="00B05C0C"/>
    <w:rsid w:val="00B05CAF"/>
    <w:rsid w:val="00B05EFC"/>
    <w:rsid w:val="00B05F3B"/>
    <w:rsid w:val="00B060D2"/>
    <w:rsid w:val="00B064E9"/>
    <w:rsid w:val="00B06847"/>
    <w:rsid w:val="00B068AC"/>
    <w:rsid w:val="00B07113"/>
    <w:rsid w:val="00B073DE"/>
    <w:rsid w:val="00B075A7"/>
    <w:rsid w:val="00B103EB"/>
    <w:rsid w:val="00B104AA"/>
    <w:rsid w:val="00B1053F"/>
    <w:rsid w:val="00B10603"/>
    <w:rsid w:val="00B10D25"/>
    <w:rsid w:val="00B10EBA"/>
    <w:rsid w:val="00B1141B"/>
    <w:rsid w:val="00B115B4"/>
    <w:rsid w:val="00B1165A"/>
    <w:rsid w:val="00B11FE1"/>
    <w:rsid w:val="00B12C0B"/>
    <w:rsid w:val="00B12C4A"/>
    <w:rsid w:val="00B12F75"/>
    <w:rsid w:val="00B137C1"/>
    <w:rsid w:val="00B14344"/>
    <w:rsid w:val="00B14D97"/>
    <w:rsid w:val="00B14F0F"/>
    <w:rsid w:val="00B16718"/>
    <w:rsid w:val="00B1783D"/>
    <w:rsid w:val="00B17F8B"/>
    <w:rsid w:val="00B20ED8"/>
    <w:rsid w:val="00B20FCA"/>
    <w:rsid w:val="00B2133E"/>
    <w:rsid w:val="00B24634"/>
    <w:rsid w:val="00B25482"/>
    <w:rsid w:val="00B2576F"/>
    <w:rsid w:val="00B26317"/>
    <w:rsid w:val="00B26732"/>
    <w:rsid w:val="00B27036"/>
    <w:rsid w:val="00B27331"/>
    <w:rsid w:val="00B27661"/>
    <w:rsid w:val="00B301C5"/>
    <w:rsid w:val="00B3073F"/>
    <w:rsid w:val="00B30E97"/>
    <w:rsid w:val="00B3122A"/>
    <w:rsid w:val="00B3198A"/>
    <w:rsid w:val="00B31F77"/>
    <w:rsid w:val="00B32215"/>
    <w:rsid w:val="00B32301"/>
    <w:rsid w:val="00B3261A"/>
    <w:rsid w:val="00B3267A"/>
    <w:rsid w:val="00B33F74"/>
    <w:rsid w:val="00B34085"/>
    <w:rsid w:val="00B34C4B"/>
    <w:rsid w:val="00B3566D"/>
    <w:rsid w:val="00B35A31"/>
    <w:rsid w:val="00B35B27"/>
    <w:rsid w:val="00B361C9"/>
    <w:rsid w:val="00B37912"/>
    <w:rsid w:val="00B40795"/>
    <w:rsid w:val="00B4092C"/>
    <w:rsid w:val="00B40D06"/>
    <w:rsid w:val="00B41DC8"/>
    <w:rsid w:val="00B42729"/>
    <w:rsid w:val="00B42A7F"/>
    <w:rsid w:val="00B42D6C"/>
    <w:rsid w:val="00B45E0F"/>
    <w:rsid w:val="00B46380"/>
    <w:rsid w:val="00B46AE6"/>
    <w:rsid w:val="00B47414"/>
    <w:rsid w:val="00B475DF"/>
    <w:rsid w:val="00B50AAF"/>
    <w:rsid w:val="00B50B1A"/>
    <w:rsid w:val="00B522FE"/>
    <w:rsid w:val="00B5264D"/>
    <w:rsid w:val="00B52B64"/>
    <w:rsid w:val="00B53229"/>
    <w:rsid w:val="00B53302"/>
    <w:rsid w:val="00B5330E"/>
    <w:rsid w:val="00B5331A"/>
    <w:rsid w:val="00B548E2"/>
    <w:rsid w:val="00B54FA3"/>
    <w:rsid w:val="00B55079"/>
    <w:rsid w:val="00B55596"/>
    <w:rsid w:val="00B555FD"/>
    <w:rsid w:val="00B559BF"/>
    <w:rsid w:val="00B55A1C"/>
    <w:rsid w:val="00B565F2"/>
    <w:rsid w:val="00B5685C"/>
    <w:rsid w:val="00B56CBF"/>
    <w:rsid w:val="00B574DE"/>
    <w:rsid w:val="00B60B53"/>
    <w:rsid w:val="00B60D4F"/>
    <w:rsid w:val="00B61530"/>
    <w:rsid w:val="00B6199E"/>
    <w:rsid w:val="00B61D93"/>
    <w:rsid w:val="00B62274"/>
    <w:rsid w:val="00B62299"/>
    <w:rsid w:val="00B633F0"/>
    <w:rsid w:val="00B635F6"/>
    <w:rsid w:val="00B63B76"/>
    <w:rsid w:val="00B65AD8"/>
    <w:rsid w:val="00B65B0F"/>
    <w:rsid w:val="00B65DBB"/>
    <w:rsid w:val="00B662B2"/>
    <w:rsid w:val="00B665D7"/>
    <w:rsid w:val="00B66DE5"/>
    <w:rsid w:val="00B67785"/>
    <w:rsid w:val="00B70350"/>
    <w:rsid w:val="00B70A1B"/>
    <w:rsid w:val="00B70D06"/>
    <w:rsid w:val="00B70DD0"/>
    <w:rsid w:val="00B70E10"/>
    <w:rsid w:val="00B70E52"/>
    <w:rsid w:val="00B71A97"/>
    <w:rsid w:val="00B71B25"/>
    <w:rsid w:val="00B71C5D"/>
    <w:rsid w:val="00B7208C"/>
    <w:rsid w:val="00B749DA"/>
    <w:rsid w:val="00B753CE"/>
    <w:rsid w:val="00B75E04"/>
    <w:rsid w:val="00B76540"/>
    <w:rsid w:val="00B765CF"/>
    <w:rsid w:val="00B766DB"/>
    <w:rsid w:val="00B76B8D"/>
    <w:rsid w:val="00B777B2"/>
    <w:rsid w:val="00B80DFA"/>
    <w:rsid w:val="00B81749"/>
    <w:rsid w:val="00B818BF"/>
    <w:rsid w:val="00B81ECB"/>
    <w:rsid w:val="00B826DC"/>
    <w:rsid w:val="00B82EB0"/>
    <w:rsid w:val="00B831E3"/>
    <w:rsid w:val="00B83C70"/>
    <w:rsid w:val="00B84014"/>
    <w:rsid w:val="00B84701"/>
    <w:rsid w:val="00B84998"/>
    <w:rsid w:val="00B849C7"/>
    <w:rsid w:val="00B84FB7"/>
    <w:rsid w:val="00B85074"/>
    <w:rsid w:val="00B85276"/>
    <w:rsid w:val="00B86191"/>
    <w:rsid w:val="00B87174"/>
    <w:rsid w:val="00B8736D"/>
    <w:rsid w:val="00B8780D"/>
    <w:rsid w:val="00B8782C"/>
    <w:rsid w:val="00B87F38"/>
    <w:rsid w:val="00B90C30"/>
    <w:rsid w:val="00B90E68"/>
    <w:rsid w:val="00B921EB"/>
    <w:rsid w:val="00B92393"/>
    <w:rsid w:val="00B92986"/>
    <w:rsid w:val="00B93754"/>
    <w:rsid w:val="00B93E5B"/>
    <w:rsid w:val="00B94009"/>
    <w:rsid w:val="00B94683"/>
    <w:rsid w:val="00B957D4"/>
    <w:rsid w:val="00B95C1D"/>
    <w:rsid w:val="00B95DF6"/>
    <w:rsid w:val="00B95FC7"/>
    <w:rsid w:val="00B964B0"/>
    <w:rsid w:val="00B96837"/>
    <w:rsid w:val="00B970E8"/>
    <w:rsid w:val="00B97982"/>
    <w:rsid w:val="00BA1081"/>
    <w:rsid w:val="00BA1CF5"/>
    <w:rsid w:val="00BA2AA8"/>
    <w:rsid w:val="00BA2CBF"/>
    <w:rsid w:val="00BA33B0"/>
    <w:rsid w:val="00BA38DE"/>
    <w:rsid w:val="00BA42E9"/>
    <w:rsid w:val="00BA4411"/>
    <w:rsid w:val="00BA4A54"/>
    <w:rsid w:val="00BA4D44"/>
    <w:rsid w:val="00BA558B"/>
    <w:rsid w:val="00BA5B23"/>
    <w:rsid w:val="00BA5C6E"/>
    <w:rsid w:val="00BA6913"/>
    <w:rsid w:val="00BA725F"/>
    <w:rsid w:val="00BA72FD"/>
    <w:rsid w:val="00BA75EB"/>
    <w:rsid w:val="00BA7BAA"/>
    <w:rsid w:val="00BA7E81"/>
    <w:rsid w:val="00BB05A3"/>
    <w:rsid w:val="00BB0777"/>
    <w:rsid w:val="00BB07FE"/>
    <w:rsid w:val="00BB11B6"/>
    <w:rsid w:val="00BB1377"/>
    <w:rsid w:val="00BB14CD"/>
    <w:rsid w:val="00BB14EC"/>
    <w:rsid w:val="00BB1FD9"/>
    <w:rsid w:val="00BB31F3"/>
    <w:rsid w:val="00BB4051"/>
    <w:rsid w:val="00BB461D"/>
    <w:rsid w:val="00BB4777"/>
    <w:rsid w:val="00BB487E"/>
    <w:rsid w:val="00BB4B5C"/>
    <w:rsid w:val="00BB5272"/>
    <w:rsid w:val="00BB5623"/>
    <w:rsid w:val="00BB5EA2"/>
    <w:rsid w:val="00BB5F2D"/>
    <w:rsid w:val="00BB6E7B"/>
    <w:rsid w:val="00BB6FDD"/>
    <w:rsid w:val="00BB7024"/>
    <w:rsid w:val="00BB781E"/>
    <w:rsid w:val="00BB7E0E"/>
    <w:rsid w:val="00BC0119"/>
    <w:rsid w:val="00BC07DF"/>
    <w:rsid w:val="00BC1D0D"/>
    <w:rsid w:val="00BC20EC"/>
    <w:rsid w:val="00BC2189"/>
    <w:rsid w:val="00BC2934"/>
    <w:rsid w:val="00BC2B89"/>
    <w:rsid w:val="00BC2E6A"/>
    <w:rsid w:val="00BC34D2"/>
    <w:rsid w:val="00BC355A"/>
    <w:rsid w:val="00BC3A48"/>
    <w:rsid w:val="00BC3E18"/>
    <w:rsid w:val="00BC43F8"/>
    <w:rsid w:val="00BC4648"/>
    <w:rsid w:val="00BC4985"/>
    <w:rsid w:val="00BC59DA"/>
    <w:rsid w:val="00BC6455"/>
    <w:rsid w:val="00BC6742"/>
    <w:rsid w:val="00BC6D78"/>
    <w:rsid w:val="00BC7998"/>
    <w:rsid w:val="00BC7C85"/>
    <w:rsid w:val="00BD0F86"/>
    <w:rsid w:val="00BD1B51"/>
    <w:rsid w:val="00BD1E99"/>
    <w:rsid w:val="00BD225D"/>
    <w:rsid w:val="00BD340B"/>
    <w:rsid w:val="00BD447D"/>
    <w:rsid w:val="00BD4520"/>
    <w:rsid w:val="00BD53C3"/>
    <w:rsid w:val="00BD5867"/>
    <w:rsid w:val="00BD5962"/>
    <w:rsid w:val="00BD774C"/>
    <w:rsid w:val="00BD79A9"/>
    <w:rsid w:val="00BD7C07"/>
    <w:rsid w:val="00BE04B6"/>
    <w:rsid w:val="00BE0A4D"/>
    <w:rsid w:val="00BE0A91"/>
    <w:rsid w:val="00BE1A91"/>
    <w:rsid w:val="00BE242E"/>
    <w:rsid w:val="00BE335F"/>
    <w:rsid w:val="00BE3604"/>
    <w:rsid w:val="00BE5802"/>
    <w:rsid w:val="00BE5928"/>
    <w:rsid w:val="00BE5C84"/>
    <w:rsid w:val="00BE7034"/>
    <w:rsid w:val="00BE70C9"/>
    <w:rsid w:val="00BE73F5"/>
    <w:rsid w:val="00BE74F8"/>
    <w:rsid w:val="00BE7761"/>
    <w:rsid w:val="00BE7BE0"/>
    <w:rsid w:val="00BE7DB5"/>
    <w:rsid w:val="00BF0518"/>
    <w:rsid w:val="00BF07F3"/>
    <w:rsid w:val="00BF1F7C"/>
    <w:rsid w:val="00BF20A5"/>
    <w:rsid w:val="00BF235E"/>
    <w:rsid w:val="00BF2587"/>
    <w:rsid w:val="00BF2A0D"/>
    <w:rsid w:val="00BF393A"/>
    <w:rsid w:val="00BF4439"/>
    <w:rsid w:val="00BF4630"/>
    <w:rsid w:val="00BF4748"/>
    <w:rsid w:val="00BF5109"/>
    <w:rsid w:val="00BF5336"/>
    <w:rsid w:val="00BF5D4F"/>
    <w:rsid w:val="00BF6135"/>
    <w:rsid w:val="00BF66F5"/>
    <w:rsid w:val="00BF6B4B"/>
    <w:rsid w:val="00BF6B52"/>
    <w:rsid w:val="00BF6CBA"/>
    <w:rsid w:val="00BF6E41"/>
    <w:rsid w:val="00BF78CF"/>
    <w:rsid w:val="00BF7D76"/>
    <w:rsid w:val="00BF7FB3"/>
    <w:rsid w:val="00C00493"/>
    <w:rsid w:val="00C015D3"/>
    <w:rsid w:val="00C01A11"/>
    <w:rsid w:val="00C02270"/>
    <w:rsid w:val="00C02A57"/>
    <w:rsid w:val="00C02F1D"/>
    <w:rsid w:val="00C03055"/>
    <w:rsid w:val="00C0341E"/>
    <w:rsid w:val="00C038D4"/>
    <w:rsid w:val="00C04916"/>
    <w:rsid w:val="00C04B7A"/>
    <w:rsid w:val="00C05516"/>
    <w:rsid w:val="00C0580B"/>
    <w:rsid w:val="00C06115"/>
    <w:rsid w:val="00C067AE"/>
    <w:rsid w:val="00C06921"/>
    <w:rsid w:val="00C07E60"/>
    <w:rsid w:val="00C103BA"/>
    <w:rsid w:val="00C1052B"/>
    <w:rsid w:val="00C10667"/>
    <w:rsid w:val="00C111F6"/>
    <w:rsid w:val="00C12466"/>
    <w:rsid w:val="00C12594"/>
    <w:rsid w:val="00C12611"/>
    <w:rsid w:val="00C12ACB"/>
    <w:rsid w:val="00C12F32"/>
    <w:rsid w:val="00C13246"/>
    <w:rsid w:val="00C147F4"/>
    <w:rsid w:val="00C14900"/>
    <w:rsid w:val="00C154A7"/>
    <w:rsid w:val="00C155D8"/>
    <w:rsid w:val="00C156AA"/>
    <w:rsid w:val="00C15B85"/>
    <w:rsid w:val="00C166BA"/>
    <w:rsid w:val="00C16781"/>
    <w:rsid w:val="00C16DE7"/>
    <w:rsid w:val="00C17F52"/>
    <w:rsid w:val="00C17FF2"/>
    <w:rsid w:val="00C20988"/>
    <w:rsid w:val="00C21624"/>
    <w:rsid w:val="00C21FCA"/>
    <w:rsid w:val="00C2298F"/>
    <w:rsid w:val="00C22C2D"/>
    <w:rsid w:val="00C23520"/>
    <w:rsid w:val="00C2381C"/>
    <w:rsid w:val="00C24AD8"/>
    <w:rsid w:val="00C2509B"/>
    <w:rsid w:val="00C25187"/>
    <w:rsid w:val="00C251FC"/>
    <w:rsid w:val="00C252E3"/>
    <w:rsid w:val="00C25E73"/>
    <w:rsid w:val="00C26043"/>
    <w:rsid w:val="00C26EDB"/>
    <w:rsid w:val="00C2749E"/>
    <w:rsid w:val="00C27827"/>
    <w:rsid w:val="00C27E1A"/>
    <w:rsid w:val="00C27E6E"/>
    <w:rsid w:val="00C30283"/>
    <w:rsid w:val="00C3078F"/>
    <w:rsid w:val="00C3096B"/>
    <w:rsid w:val="00C310E4"/>
    <w:rsid w:val="00C31FA7"/>
    <w:rsid w:val="00C320E5"/>
    <w:rsid w:val="00C32114"/>
    <w:rsid w:val="00C3258B"/>
    <w:rsid w:val="00C3273A"/>
    <w:rsid w:val="00C332CC"/>
    <w:rsid w:val="00C334F5"/>
    <w:rsid w:val="00C33811"/>
    <w:rsid w:val="00C33BF9"/>
    <w:rsid w:val="00C3401F"/>
    <w:rsid w:val="00C346CA"/>
    <w:rsid w:val="00C362CA"/>
    <w:rsid w:val="00C36416"/>
    <w:rsid w:val="00C3762D"/>
    <w:rsid w:val="00C4081C"/>
    <w:rsid w:val="00C4388B"/>
    <w:rsid w:val="00C43B14"/>
    <w:rsid w:val="00C44237"/>
    <w:rsid w:val="00C444FC"/>
    <w:rsid w:val="00C446DC"/>
    <w:rsid w:val="00C44782"/>
    <w:rsid w:val="00C44A23"/>
    <w:rsid w:val="00C44A47"/>
    <w:rsid w:val="00C4561E"/>
    <w:rsid w:val="00C45D2D"/>
    <w:rsid w:val="00C4615F"/>
    <w:rsid w:val="00C46169"/>
    <w:rsid w:val="00C46229"/>
    <w:rsid w:val="00C4651B"/>
    <w:rsid w:val="00C466B1"/>
    <w:rsid w:val="00C46BFE"/>
    <w:rsid w:val="00C4754E"/>
    <w:rsid w:val="00C47761"/>
    <w:rsid w:val="00C47A35"/>
    <w:rsid w:val="00C47C43"/>
    <w:rsid w:val="00C5004C"/>
    <w:rsid w:val="00C5044A"/>
    <w:rsid w:val="00C506B4"/>
    <w:rsid w:val="00C5072B"/>
    <w:rsid w:val="00C50748"/>
    <w:rsid w:val="00C50BA0"/>
    <w:rsid w:val="00C50D8A"/>
    <w:rsid w:val="00C51306"/>
    <w:rsid w:val="00C51F0D"/>
    <w:rsid w:val="00C51FF4"/>
    <w:rsid w:val="00C520A2"/>
    <w:rsid w:val="00C5283B"/>
    <w:rsid w:val="00C52875"/>
    <w:rsid w:val="00C5305D"/>
    <w:rsid w:val="00C53951"/>
    <w:rsid w:val="00C53A62"/>
    <w:rsid w:val="00C548FE"/>
    <w:rsid w:val="00C54D67"/>
    <w:rsid w:val="00C553A4"/>
    <w:rsid w:val="00C55B9C"/>
    <w:rsid w:val="00C56F0E"/>
    <w:rsid w:val="00C570B1"/>
    <w:rsid w:val="00C576D2"/>
    <w:rsid w:val="00C57B17"/>
    <w:rsid w:val="00C60576"/>
    <w:rsid w:val="00C61168"/>
    <w:rsid w:val="00C611E5"/>
    <w:rsid w:val="00C61587"/>
    <w:rsid w:val="00C61E77"/>
    <w:rsid w:val="00C62158"/>
    <w:rsid w:val="00C62AF3"/>
    <w:rsid w:val="00C632BC"/>
    <w:rsid w:val="00C63579"/>
    <w:rsid w:val="00C636F3"/>
    <w:rsid w:val="00C63BB9"/>
    <w:rsid w:val="00C63DE6"/>
    <w:rsid w:val="00C6412F"/>
    <w:rsid w:val="00C6484E"/>
    <w:rsid w:val="00C6494B"/>
    <w:rsid w:val="00C64990"/>
    <w:rsid w:val="00C65175"/>
    <w:rsid w:val="00C65836"/>
    <w:rsid w:val="00C65C9E"/>
    <w:rsid w:val="00C6616A"/>
    <w:rsid w:val="00C66423"/>
    <w:rsid w:val="00C6652E"/>
    <w:rsid w:val="00C67887"/>
    <w:rsid w:val="00C67A4D"/>
    <w:rsid w:val="00C70585"/>
    <w:rsid w:val="00C70E03"/>
    <w:rsid w:val="00C71231"/>
    <w:rsid w:val="00C722C9"/>
    <w:rsid w:val="00C725CD"/>
    <w:rsid w:val="00C730E3"/>
    <w:rsid w:val="00C7345F"/>
    <w:rsid w:val="00C7416E"/>
    <w:rsid w:val="00C74379"/>
    <w:rsid w:val="00C7594B"/>
    <w:rsid w:val="00C75A35"/>
    <w:rsid w:val="00C75D94"/>
    <w:rsid w:val="00C7624A"/>
    <w:rsid w:val="00C76E10"/>
    <w:rsid w:val="00C77559"/>
    <w:rsid w:val="00C778C7"/>
    <w:rsid w:val="00C77B22"/>
    <w:rsid w:val="00C81DFD"/>
    <w:rsid w:val="00C8325B"/>
    <w:rsid w:val="00C84BD8"/>
    <w:rsid w:val="00C84E76"/>
    <w:rsid w:val="00C8545F"/>
    <w:rsid w:val="00C854F5"/>
    <w:rsid w:val="00C85731"/>
    <w:rsid w:val="00C857B1"/>
    <w:rsid w:val="00C85B3C"/>
    <w:rsid w:val="00C85CDA"/>
    <w:rsid w:val="00C8633C"/>
    <w:rsid w:val="00C86357"/>
    <w:rsid w:val="00C86774"/>
    <w:rsid w:val="00C86853"/>
    <w:rsid w:val="00C86F60"/>
    <w:rsid w:val="00C87075"/>
    <w:rsid w:val="00C872C1"/>
    <w:rsid w:val="00C87A1A"/>
    <w:rsid w:val="00C904DC"/>
    <w:rsid w:val="00C90DD3"/>
    <w:rsid w:val="00C90E16"/>
    <w:rsid w:val="00C919F9"/>
    <w:rsid w:val="00C91A52"/>
    <w:rsid w:val="00C91DEF"/>
    <w:rsid w:val="00C91E02"/>
    <w:rsid w:val="00C91E38"/>
    <w:rsid w:val="00C92068"/>
    <w:rsid w:val="00C9241A"/>
    <w:rsid w:val="00C935B4"/>
    <w:rsid w:val="00C9376E"/>
    <w:rsid w:val="00C93FE3"/>
    <w:rsid w:val="00C94023"/>
    <w:rsid w:val="00C9447F"/>
    <w:rsid w:val="00C952ED"/>
    <w:rsid w:val="00C955A9"/>
    <w:rsid w:val="00C95612"/>
    <w:rsid w:val="00C956DE"/>
    <w:rsid w:val="00C95A57"/>
    <w:rsid w:val="00C9606E"/>
    <w:rsid w:val="00C96131"/>
    <w:rsid w:val="00C96529"/>
    <w:rsid w:val="00C966EC"/>
    <w:rsid w:val="00C9674E"/>
    <w:rsid w:val="00C96C54"/>
    <w:rsid w:val="00C970FC"/>
    <w:rsid w:val="00C972E2"/>
    <w:rsid w:val="00C975F1"/>
    <w:rsid w:val="00C9777C"/>
    <w:rsid w:val="00CA0491"/>
    <w:rsid w:val="00CA04FA"/>
    <w:rsid w:val="00CA0B69"/>
    <w:rsid w:val="00CA0C52"/>
    <w:rsid w:val="00CA1507"/>
    <w:rsid w:val="00CA166E"/>
    <w:rsid w:val="00CA1682"/>
    <w:rsid w:val="00CA16CD"/>
    <w:rsid w:val="00CA1B6C"/>
    <w:rsid w:val="00CA1B7C"/>
    <w:rsid w:val="00CA1E46"/>
    <w:rsid w:val="00CA242B"/>
    <w:rsid w:val="00CA3240"/>
    <w:rsid w:val="00CA3503"/>
    <w:rsid w:val="00CA3C62"/>
    <w:rsid w:val="00CA3EA0"/>
    <w:rsid w:val="00CA467F"/>
    <w:rsid w:val="00CA4933"/>
    <w:rsid w:val="00CA4AE6"/>
    <w:rsid w:val="00CA574F"/>
    <w:rsid w:val="00CA5B1D"/>
    <w:rsid w:val="00CA5CFD"/>
    <w:rsid w:val="00CA5D32"/>
    <w:rsid w:val="00CA6007"/>
    <w:rsid w:val="00CA6339"/>
    <w:rsid w:val="00CA6373"/>
    <w:rsid w:val="00CA6484"/>
    <w:rsid w:val="00CA6BC7"/>
    <w:rsid w:val="00CA708A"/>
    <w:rsid w:val="00CA71B4"/>
    <w:rsid w:val="00CA76A1"/>
    <w:rsid w:val="00CA771F"/>
    <w:rsid w:val="00CA7760"/>
    <w:rsid w:val="00CB0063"/>
    <w:rsid w:val="00CB05D5"/>
    <w:rsid w:val="00CB084A"/>
    <w:rsid w:val="00CB0A60"/>
    <w:rsid w:val="00CB110E"/>
    <w:rsid w:val="00CB1110"/>
    <w:rsid w:val="00CB2263"/>
    <w:rsid w:val="00CB31D9"/>
    <w:rsid w:val="00CB3553"/>
    <w:rsid w:val="00CB50D6"/>
    <w:rsid w:val="00CB6077"/>
    <w:rsid w:val="00CB6B6A"/>
    <w:rsid w:val="00CB6EAD"/>
    <w:rsid w:val="00CB6F6D"/>
    <w:rsid w:val="00CB7342"/>
    <w:rsid w:val="00CB741A"/>
    <w:rsid w:val="00CB7E0A"/>
    <w:rsid w:val="00CB7EC0"/>
    <w:rsid w:val="00CC005D"/>
    <w:rsid w:val="00CC0240"/>
    <w:rsid w:val="00CC12B4"/>
    <w:rsid w:val="00CC1518"/>
    <w:rsid w:val="00CC1B6F"/>
    <w:rsid w:val="00CC38D9"/>
    <w:rsid w:val="00CC4A1C"/>
    <w:rsid w:val="00CC5321"/>
    <w:rsid w:val="00CC697E"/>
    <w:rsid w:val="00CC6C62"/>
    <w:rsid w:val="00CC713E"/>
    <w:rsid w:val="00CC7425"/>
    <w:rsid w:val="00CC786A"/>
    <w:rsid w:val="00CC7BE9"/>
    <w:rsid w:val="00CC7CD0"/>
    <w:rsid w:val="00CD0190"/>
    <w:rsid w:val="00CD02CB"/>
    <w:rsid w:val="00CD039B"/>
    <w:rsid w:val="00CD0447"/>
    <w:rsid w:val="00CD10A3"/>
    <w:rsid w:val="00CD1697"/>
    <w:rsid w:val="00CD253F"/>
    <w:rsid w:val="00CD3DAA"/>
    <w:rsid w:val="00CD3EF2"/>
    <w:rsid w:val="00CD4317"/>
    <w:rsid w:val="00CD4D37"/>
    <w:rsid w:val="00CD698C"/>
    <w:rsid w:val="00CD6FF8"/>
    <w:rsid w:val="00CE006F"/>
    <w:rsid w:val="00CE0DC7"/>
    <w:rsid w:val="00CE124E"/>
    <w:rsid w:val="00CE2695"/>
    <w:rsid w:val="00CE2B06"/>
    <w:rsid w:val="00CE2EE5"/>
    <w:rsid w:val="00CE3780"/>
    <w:rsid w:val="00CE4FF8"/>
    <w:rsid w:val="00CE65C3"/>
    <w:rsid w:val="00CE697C"/>
    <w:rsid w:val="00CE6ED6"/>
    <w:rsid w:val="00CE7CF6"/>
    <w:rsid w:val="00CF0EEE"/>
    <w:rsid w:val="00CF1821"/>
    <w:rsid w:val="00CF19FA"/>
    <w:rsid w:val="00CF1ED2"/>
    <w:rsid w:val="00CF2571"/>
    <w:rsid w:val="00CF2F9E"/>
    <w:rsid w:val="00CF3F4A"/>
    <w:rsid w:val="00CF57D5"/>
    <w:rsid w:val="00CF5F82"/>
    <w:rsid w:val="00CF710D"/>
    <w:rsid w:val="00CF75FC"/>
    <w:rsid w:val="00CF76B4"/>
    <w:rsid w:val="00CF7E60"/>
    <w:rsid w:val="00D00547"/>
    <w:rsid w:val="00D007ED"/>
    <w:rsid w:val="00D00AD0"/>
    <w:rsid w:val="00D00D56"/>
    <w:rsid w:val="00D0165B"/>
    <w:rsid w:val="00D01A9A"/>
    <w:rsid w:val="00D02513"/>
    <w:rsid w:val="00D02D08"/>
    <w:rsid w:val="00D02E28"/>
    <w:rsid w:val="00D033A7"/>
    <w:rsid w:val="00D03617"/>
    <w:rsid w:val="00D03B69"/>
    <w:rsid w:val="00D041DF"/>
    <w:rsid w:val="00D049EB"/>
    <w:rsid w:val="00D05122"/>
    <w:rsid w:val="00D05810"/>
    <w:rsid w:val="00D0595D"/>
    <w:rsid w:val="00D05C5C"/>
    <w:rsid w:val="00D05DF1"/>
    <w:rsid w:val="00D05E0A"/>
    <w:rsid w:val="00D06CC8"/>
    <w:rsid w:val="00D06F6D"/>
    <w:rsid w:val="00D0754D"/>
    <w:rsid w:val="00D07A70"/>
    <w:rsid w:val="00D07AFA"/>
    <w:rsid w:val="00D07D36"/>
    <w:rsid w:val="00D07DCF"/>
    <w:rsid w:val="00D10544"/>
    <w:rsid w:val="00D107D4"/>
    <w:rsid w:val="00D10AD2"/>
    <w:rsid w:val="00D10C9C"/>
    <w:rsid w:val="00D112F0"/>
    <w:rsid w:val="00D119B3"/>
    <w:rsid w:val="00D11DA7"/>
    <w:rsid w:val="00D126F5"/>
    <w:rsid w:val="00D14123"/>
    <w:rsid w:val="00D14F7E"/>
    <w:rsid w:val="00D15397"/>
    <w:rsid w:val="00D1544B"/>
    <w:rsid w:val="00D15800"/>
    <w:rsid w:val="00D16210"/>
    <w:rsid w:val="00D1711F"/>
    <w:rsid w:val="00D178D7"/>
    <w:rsid w:val="00D20011"/>
    <w:rsid w:val="00D20388"/>
    <w:rsid w:val="00D207B7"/>
    <w:rsid w:val="00D20A31"/>
    <w:rsid w:val="00D20F4A"/>
    <w:rsid w:val="00D22498"/>
    <w:rsid w:val="00D22B62"/>
    <w:rsid w:val="00D235C2"/>
    <w:rsid w:val="00D239B5"/>
    <w:rsid w:val="00D23FEE"/>
    <w:rsid w:val="00D241C5"/>
    <w:rsid w:val="00D243E9"/>
    <w:rsid w:val="00D2461F"/>
    <w:rsid w:val="00D2520C"/>
    <w:rsid w:val="00D2598F"/>
    <w:rsid w:val="00D25E5E"/>
    <w:rsid w:val="00D26A44"/>
    <w:rsid w:val="00D2777F"/>
    <w:rsid w:val="00D278AE"/>
    <w:rsid w:val="00D27CCB"/>
    <w:rsid w:val="00D27FD1"/>
    <w:rsid w:val="00D3072A"/>
    <w:rsid w:val="00D30979"/>
    <w:rsid w:val="00D3169F"/>
    <w:rsid w:val="00D31B67"/>
    <w:rsid w:val="00D31BA1"/>
    <w:rsid w:val="00D32282"/>
    <w:rsid w:val="00D33CCE"/>
    <w:rsid w:val="00D33CD3"/>
    <w:rsid w:val="00D34836"/>
    <w:rsid w:val="00D3574F"/>
    <w:rsid w:val="00D35C1D"/>
    <w:rsid w:val="00D36122"/>
    <w:rsid w:val="00D36441"/>
    <w:rsid w:val="00D36641"/>
    <w:rsid w:val="00D36E45"/>
    <w:rsid w:val="00D37E8B"/>
    <w:rsid w:val="00D402CC"/>
    <w:rsid w:val="00D40846"/>
    <w:rsid w:val="00D409A2"/>
    <w:rsid w:val="00D40DCC"/>
    <w:rsid w:val="00D412E5"/>
    <w:rsid w:val="00D41471"/>
    <w:rsid w:val="00D414DD"/>
    <w:rsid w:val="00D415D8"/>
    <w:rsid w:val="00D42038"/>
    <w:rsid w:val="00D424E7"/>
    <w:rsid w:val="00D438FF"/>
    <w:rsid w:val="00D43CAF"/>
    <w:rsid w:val="00D43D8C"/>
    <w:rsid w:val="00D43EB2"/>
    <w:rsid w:val="00D441F4"/>
    <w:rsid w:val="00D44201"/>
    <w:rsid w:val="00D45A14"/>
    <w:rsid w:val="00D46588"/>
    <w:rsid w:val="00D46644"/>
    <w:rsid w:val="00D468B3"/>
    <w:rsid w:val="00D46C36"/>
    <w:rsid w:val="00D50500"/>
    <w:rsid w:val="00D50E6A"/>
    <w:rsid w:val="00D519CD"/>
    <w:rsid w:val="00D5239B"/>
    <w:rsid w:val="00D52578"/>
    <w:rsid w:val="00D5262D"/>
    <w:rsid w:val="00D5315E"/>
    <w:rsid w:val="00D535C7"/>
    <w:rsid w:val="00D53A91"/>
    <w:rsid w:val="00D53E0C"/>
    <w:rsid w:val="00D541C5"/>
    <w:rsid w:val="00D54504"/>
    <w:rsid w:val="00D54643"/>
    <w:rsid w:val="00D5536E"/>
    <w:rsid w:val="00D55A4C"/>
    <w:rsid w:val="00D55E5A"/>
    <w:rsid w:val="00D56B55"/>
    <w:rsid w:val="00D57CB6"/>
    <w:rsid w:val="00D57F96"/>
    <w:rsid w:val="00D60084"/>
    <w:rsid w:val="00D61111"/>
    <w:rsid w:val="00D61650"/>
    <w:rsid w:val="00D61AD4"/>
    <w:rsid w:val="00D61FC7"/>
    <w:rsid w:val="00D621BA"/>
    <w:rsid w:val="00D623A4"/>
    <w:rsid w:val="00D62880"/>
    <w:rsid w:val="00D6304D"/>
    <w:rsid w:val="00D64619"/>
    <w:rsid w:val="00D64FEC"/>
    <w:rsid w:val="00D66A03"/>
    <w:rsid w:val="00D66F7F"/>
    <w:rsid w:val="00D66F98"/>
    <w:rsid w:val="00D700D4"/>
    <w:rsid w:val="00D70788"/>
    <w:rsid w:val="00D70B79"/>
    <w:rsid w:val="00D70C1B"/>
    <w:rsid w:val="00D70D7F"/>
    <w:rsid w:val="00D70D87"/>
    <w:rsid w:val="00D719F1"/>
    <w:rsid w:val="00D71BF9"/>
    <w:rsid w:val="00D72F6A"/>
    <w:rsid w:val="00D73101"/>
    <w:rsid w:val="00D7394A"/>
    <w:rsid w:val="00D739C6"/>
    <w:rsid w:val="00D73AF5"/>
    <w:rsid w:val="00D73D66"/>
    <w:rsid w:val="00D742FE"/>
    <w:rsid w:val="00D745AC"/>
    <w:rsid w:val="00D74642"/>
    <w:rsid w:val="00D74FBC"/>
    <w:rsid w:val="00D758AE"/>
    <w:rsid w:val="00D762B9"/>
    <w:rsid w:val="00D763BE"/>
    <w:rsid w:val="00D7693A"/>
    <w:rsid w:val="00D7776A"/>
    <w:rsid w:val="00D7781B"/>
    <w:rsid w:val="00D779AE"/>
    <w:rsid w:val="00D77CF9"/>
    <w:rsid w:val="00D80B9D"/>
    <w:rsid w:val="00D80C42"/>
    <w:rsid w:val="00D813F9"/>
    <w:rsid w:val="00D81417"/>
    <w:rsid w:val="00D815B2"/>
    <w:rsid w:val="00D81B56"/>
    <w:rsid w:val="00D8203A"/>
    <w:rsid w:val="00D823E7"/>
    <w:rsid w:val="00D8262A"/>
    <w:rsid w:val="00D826E5"/>
    <w:rsid w:val="00D8313E"/>
    <w:rsid w:val="00D8392E"/>
    <w:rsid w:val="00D83993"/>
    <w:rsid w:val="00D83D33"/>
    <w:rsid w:val="00D84063"/>
    <w:rsid w:val="00D84E22"/>
    <w:rsid w:val="00D84EA4"/>
    <w:rsid w:val="00D85087"/>
    <w:rsid w:val="00D851BA"/>
    <w:rsid w:val="00D863E8"/>
    <w:rsid w:val="00D86C1B"/>
    <w:rsid w:val="00D87856"/>
    <w:rsid w:val="00D900AF"/>
    <w:rsid w:val="00D9046B"/>
    <w:rsid w:val="00D90578"/>
    <w:rsid w:val="00D90BFA"/>
    <w:rsid w:val="00D910C7"/>
    <w:rsid w:val="00D91B69"/>
    <w:rsid w:val="00D92042"/>
    <w:rsid w:val="00D924AA"/>
    <w:rsid w:val="00D9253D"/>
    <w:rsid w:val="00D92C46"/>
    <w:rsid w:val="00D94B0D"/>
    <w:rsid w:val="00D953DF"/>
    <w:rsid w:val="00D95B0F"/>
    <w:rsid w:val="00D96685"/>
    <w:rsid w:val="00D96A55"/>
    <w:rsid w:val="00D96FF7"/>
    <w:rsid w:val="00D97042"/>
    <w:rsid w:val="00D976AC"/>
    <w:rsid w:val="00D97B4E"/>
    <w:rsid w:val="00DA0017"/>
    <w:rsid w:val="00DA076A"/>
    <w:rsid w:val="00DA08A8"/>
    <w:rsid w:val="00DA0C08"/>
    <w:rsid w:val="00DA0CC6"/>
    <w:rsid w:val="00DA0FCB"/>
    <w:rsid w:val="00DA1F5B"/>
    <w:rsid w:val="00DA20CC"/>
    <w:rsid w:val="00DA24B8"/>
    <w:rsid w:val="00DA30BA"/>
    <w:rsid w:val="00DA3156"/>
    <w:rsid w:val="00DA44D6"/>
    <w:rsid w:val="00DA4654"/>
    <w:rsid w:val="00DA4A8A"/>
    <w:rsid w:val="00DA78DC"/>
    <w:rsid w:val="00DB0565"/>
    <w:rsid w:val="00DB0C65"/>
    <w:rsid w:val="00DB11C5"/>
    <w:rsid w:val="00DB13BD"/>
    <w:rsid w:val="00DB13E4"/>
    <w:rsid w:val="00DB1928"/>
    <w:rsid w:val="00DB1A14"/>
    <w:rsid w:val="00DB1ECF"/>
    <w:rsid w:val="00DB206A"/>
    <w:rsid w:val="00DB27E5"/>
    <w:rsid w:val="00DB27F5"/>
    <w:rsid w:val="00DB29DE"/>
    <w:rsid w:val="00DB2C5D"/>
    <w:rsid w:val="00DB2FE2"/>
    <w:rsid w:val="00DB3555"/>
    <w:rsid w:val="00DB4176"/>
    <w:rsid w:val="00DB6308"/>
    <w:rsid w:val="00DB67B7"/>
    <w:rsid w:val="00DB6F06"/>
    <w:rsid w:val="00DC0670"/>
    <w:rsid w:val="00DC0A29"/>
    <w:rsid w:val="00DC0A7D"/>
    <w:rsid w:val="00DC12F3"/>
    <w:rsid w:val="00DC1EFC"/>
    <w:rsid w:val="00DC23FA"/>
    <w:rsid w:val="00DC2702"/>
    <w:rsid w:val="00DC29AB"/>
    <w:rsid w:val="00DC34F7"/>
    <w:rsid w:val="00DC38DB"/>
    <w:rsid w:val="00DC4CED"/>
    <w:rsid w:val="00DC507F"/>
    <w:rsid w:val="00DC57F0"/>
    <w:rsid w:val="00DC5A34"/>
    <w:rsid w:val="00DC62FF"/>
    <w:rsid w:val="00DC6F04"/>
    <w:rsid w:val="00DC6F94"/>
    <w:rsid w:val="00DC7031"/>
    <w:rsid w:val="00DC7221"/>
    <w:rsid w:val="00DD0209"/>
    <w:rsid w:val="00DD0A2E"/>
    <w:rsid w:val="00DD1190"/>
    <w:rsid w:val="00DD173B"/>
    <w:rsid w:val="00DD1870"/>
    <w:rsid w:val="00DD1ADD"/>
    <w:rsid w:val="00DD1FFD"/>
    <w:rsid w:val="00DD2097"/>
    <w:rsid w:val="00DD25A9"/>
    <w:rsid w:val="00DD35D5"/>
    <w:rsid w:val="00DD3DAF"/>
    <w:rsid w:val="00DD3F41"/>
    <w:rsid w:val="00DD4C28"/>
    <w:rsid w:val="00DD53FD"/>
    <w:rsid w:val="00DD6468"/>
    <w:rsid w:val="00DD658D"/>
    <w:rsid w:val="00DD686F"/>
    <w:rsid w:val="00DD72BB"/>
    <w:rsid w:val="00DE0421"/>
    <w:rsid w:val="00DE0BBF"/>
    <w:rsid w:val="00DE1D3B"/>
    <w:rsid w:val="00DE2705"/>
    <w:rsid w:val="00DE29B3"/>
    <w:rsid w:val="00DE2BAE"/>
    <w:rsid w:val="00DE2D25"/>
    <w:rsid w:val="00DE2FBF"/>
    <w:rsid w:val="00DE3834"/>
    <w:rsid w:val="00DE3C11"/>
    <w:rsid w:val="00DE46F5"/>
    <w:rsid w:val="00DE49CA"/>
    <w:rsid w:val="00DE5EC9"/>
    <w:rsid w:val="00DE645A"/>
    <w:rsid w:val="00DE6909"/>
    <w:rsid w:val="00DE6D6F"/>
    <w:rsid w:val="00DE6FE5"/>
    <w:rsid w:val="00DE707D"/>
    <w:rsid w:val="00DF0BA0"/>
    <w:rsid w:val="00DF1478"/>
    <w:rsid w:val="00DF1791"/>
    <w:rsid w:val="00DF244E"/>
    <w:rsid w:val="00DF3753"/>
    <w:rsid w:val="00DF42FF"/>
    <w:rsid w:val="00DF4691"/>
    <w:rsid w:val="00DF46AC"/>
    <w:rsid w:val="00DF47A3"/>
    <w:rsid w:val="00DF543A"/>
    <w:rsid w:val="00DF55F3"/>
    <w:rsid w:val="00DF59B5"/>
    <w:rsid w:val="00DF654E"/>
    <w:rsid w:val="00DF683A"/>
    <w:rsid w:val="00DF68FA"/>
    <w:rsid w:val="00DF6E55"/>
    <w:rsid w:val="00DF6FA6"/>
    <w:rsid w:val="00DF7101"/>
    <w:rsid w:val="00E01DE0"/>
    <w:rsid w:val="00E0222B"/>
    <w:rsid w:val="00E023A3"/>
    <w:rsid w:val="00E02B6B"/>
    <w:rsid w:val="00E02C8E"/>
    <w:rsid w:val="00E02EC0"/>
    <w:rsid w:val="00E0341B"/>
    <w:rsid w:val="00E03B11"/>
    <w:rsid w:val="00E03B19"/>
    <w:rsid w:val="00E03BBB"/>
    <w:rsid w:val="00E053D8"/>
    <w:rsid w:val="00E057BD"/>
    <w:rsid w:val="00E057D4"/>
    <w:rsid w:val="00E068E1"/>
    <w:rsid w:val="00E06A29"/>
    <w:rsid w:val="00E0713B"/>
    <w:rsid w:val="00E07619"/>
    <w:rsid w:val="00E077AC"/>
    <w:rsid w:val="00E07972"/>
    <w:rsid w:val="00E07AB3"/>
    <w:rsid w:val="00E07BB7"/>
    <w:rsid w:val="00E1078F"/>
    <w:rsid w:val="00E1099B"/>
    <w:rsid w:val="00E11557"/>
    <w:rsid w:val="00E11CDE"/>
    <w:rsid w:val="00E11DF1"/>
    <w:rsid w:val="00E127AE"/>
    <w:rsid w:val="00E12D8D"/>
    <w:rsid w:val="00E130D2"/>
    <w:rsid w:val="00E13720"/>
    <w:rsid w:val="00E13A47"/>
    <w:rsid w:val="00E13FC0"/>
    <w:rsid w:val="00E14077"/>
    <w:rsid w:val="00E14165"/>
    <w:rsid w:val="00E148C5"/>
    <w:rsid w:val="00E15320"/>
    <w:rsid w:val="00E1581D"/>
    <w:rsid w:val="00E15946"/>
    <w:rsid w:val="00E15A57"/>
    <w:rsid w:val="00E15C28"/>
    <w:rsid w:val="00E15D65"/>
    <w:rsid w:val="00E15EFF"/>
    <w:rsid w:val="00E16043"/>
    <w:rsid w:val="00E16084"/>
    <w:rsid w:val="00E16852"/>
    <w:rsid w:val="00E169C5"/>
    <w:rsid w:val="00E17521"/>
    <w:rsid w:val="00E2108F"/>
    <w:rsid w:val="00E217ED"/>
    <w:rsid w:val="00E2237E"/>
    <w:rsid w:val="00E22B10"/>
    <w:rsid w:val="00E22B37"/>
    <w:rsid w:val="00E23216"/>
    <w:rsid w:val="00E240B5"/>
    <w:rsid w:val="00E249B9"/>
    <w:rsid w:val="00E263A1"/>
    <w:rsid w:val="00E26764"/>
    <w:rsid w:val="00E27719"/>
    <w:rsid w:val="00E27E82"/>
    <w:rsid w:val="00E3018F"/>
    <w:rsid w:val="00E31091"/>
    <w:rsid w:val="00E311EB"/>
    <w:rsid w:val="00E31D3A"/>
    <w:rsid w:val="00E31D5F"/>
    <w:rsid w:val="00E31ED2"/>
    <w:rsid w:val="00E3262F"/>
    <w:rsid w:val="00E326CD"/>
    <w:rsid w:val="00E32F96"/>
    <w:rsid w:val="00E3388E"/>
    <w:rsid w:val="00E34489"/>
    <w:rsid w:val="00E345FE"/>
    <w:rsid w:val="00E34604"/>
    <w:rsid w:val="00E34C96"/>
    <w:rsid w:val="00E34FF2"/>
    <w:rsid w:val="00E3561A"/>
    <w:rsid w:val="00E36090"/>
    <w:rsid w:val="00E370DD"/>
    <w:rsid w:val="00E372AD"/>
    <w:rsid w:val="00E3766B"/>
    <w:rsid w:val="00E3778C"/>
    <w:rsid w:val="00E37C54"/>
    <w:rsid w:val="00E37CCF"/>
    <w:rsid w:val="00E37E55"/>
    <w:rsid w:val="00E402B2"/>
    <w:rsid w:val="00E4065D"/>
    <w:rsid w:val="00E40FDD"/>
    <w:rsid w:val="00E41029"/>
    <w:rsid w:val="00E411F8"/>
    <w:rsid w:val="00E4157A"/>
    <w:rsid w:val="00E416D5"/>
    <w:rsid w:val="00E41827"/>
    <w:rsid w:val="00E41908"/>
    <w:rsid w:val="00E41E42"/>
    <w:rsid w:val="00E41EEA"/>
    <w:rsid w:val="00E42C34"/>
    <w:rsid w:val="00E437DB"/>
    <w:rsid w:val="00E43D67"/>
    <w:rsid w:val="00E44746"/>
    <w:rsid w:val="00E448D5"/>
    <w:rsid w:val="00E4549A"/>
    <w:rsid w:val="00E458E6"/>
    <w:rsid w:val="00E468DB"/>
    <w:rsid w:val="00E46917"/>
    <w:rsid w:val="00E46D4C"/>
    <w:rsid w:val="00E4794C"/>
    <w:rsid w:val="00E47A39"/>
    <w:rsid w:val="00E47F72"/>
    <w:rsid w:val="00E500A4"/>
    <w:rsid w:val="00E50ACD"/>
    <w:rsid w:val="00E53111"/>
    <w:rsid w:val="00E532AE"/>
    <w:rsid w:val="00E537F6"/>
    <w:rsid w:val="00E53834"/>
    <w:rsid w:val="00E54333"/>
    <w:rsid w:val="00E5500C"/>
    <w:rsid w:val="00E550EB"/>
    <w:rsid w:val="00E551FE"/>
    <w:rsid w:val="00E557C9"/>
    <w:rsid w:val="00E55BDE"/>
    <w:rsid w:val="00E55BEB"/>
    <w:rsid w:val="00E562CC"/>
    <w:rsid w:val="00E56378"/>
    <w:rsid w:val="00E56786"/>
    <w:rsid w:val="00E5720A"/>
    <w:rsid w:val="00E57A62"/>
    <w:rsid w:val="00E57C29"/>
    <w:rsid w:val="00E60C9D"/>
    <w:rsid w:val="00E60D65"/>
    <w:rsid w:val="00E61129"/>
    <w:rsid w:val="00E61231"/>
    <w:rsid w:val="00E614BD"/>
    <w:rsid w:val="00E61B6F"/>
    <w:rsid w:val="00E629CA"/>
    <w:rsid w:val="00E63035"/>
    <w:rsid w:val="00E63217"/>
    <w:rsid w:val="00E63867"/>
    <w:rsid w:val="00E641ED"/>
    <w:rsid w:val="00E646CC"/>
    <w:rsid w:val="00E64A3B"/>
    <w:rsid w:val="00E6597E"/>
    <w:rsid w:val="00E671E0"/>
    <w:rsid w:val="00E6744C"/>
    <w:rsid w:val="00E676BC"/>
    <w:rsid w:val="00E67E4E"/>
    <w:rsid w:val="00E7056E"/>
    <w:rsid w:val="00E71D30"/>
    <w:rsid w:val="00E71D41"/>
    <w:rsid w:val="00E71EBA"/>
    <w:rsid w:val="00E72185"/>
    <w:rsid w:val="00E7286D"/>
    <w:rsid w:val="00E72EFA"/>
    <w:rsid w:val="00E73D8E"/>
    <w:rsid w:val="00E7449B"/>
    <w:rsid w:val="00E745A0"/>
    <w:rsid w:val="00E74D2F"/>
    <w:rsid w:val="00E74D42"/>
    <w:rsid w:val="00E74E2D"/>
    <w:rsid w:val="00E75364"/>
    <w:rsid w:val="00E76136"/>
    <w:rsid w:val="00E762D4"/>
    <w:rsid w:val="00E76589"/>
    <w:rsid w:val="00E7668F"/>
    <w:rsid w:val="00E768D0"/>
    <w:rsid w:val="00E76965"/>
    <w:rsid w:val="00E76C41"/>
    <w:rsid w:val="00E76C66"/>
    <w:rsid w:val="00E779DE"/>
    <w:rsid w:val="00E8040B"/>
    <w:rsid w:val="00E8104D"/>
    <w:rsid w:val="00E81299"/>
    <w:rsid w:val="00E81E55"/>
    <w:rsid w:val="00E83327"/>
    <w:rsid w:val="00E83ACF"/>
    <w:rsid w:val="00E83B31"/>
    <w:rsid w:val="00E83DC5"/>
    <w:rsid w:val="00E83FF4"/>
    <w:rsid w:val="00E841A2"/>
    <w:rsid w:val="00E8429C"/>
    <w:rsid w:val="00E84308"/>
    <w:rsid w:val="00E8469B"/>
    <w:rsid w:val="00E84C5A"/>
    <w:rsid w:val="00E84EDF"/>
    <w:rsid w:val="00E8534B"/>
    <w:rsid w:val="00E85A4B"/>
    <w:rsid w:val="00E85DD7"/>
    <w:rsid w:val="00E8642F"/>
    <w:rsid w:val="00E86884"/>
    <w:rsid w:val="00E86933"/>
    <w:rsid w:val="00E87557"/>
    <w:rsid w:val="00E8783E"/>
    <w:rsid w:val="00E878D3"/>
    <w:rsid w:val="00E87A0F"/>
    <w:rsid w:val="00E90202"/>
    <w:rsid w:val="00E90743"/>
    <w:rsid w:val="00E908C4"/>
    <w:rsid w:val="00E914FE"/>
    <w:rsid w:val="00E918F7"/>
    <w:rsid w:val="00E91A51"/>
    <w:rsid w:val="00E91A84"/>
    <w:rsid w:val="00E91B4D"/>
    <w:rsid w:val="00E91CF9"/>
    <w:rsid w:val="00E92484"/>
    <w:rsid w:val="00E9279A"/>
    <w:rsid w:val="00E928E3"/>
    <w:rsid w:val="00E92CFF"/>
    <w:rsid w:val="00E92F03"/>
    <w:rsid w:val="00E930BE"/>
    <w:rsid w:val="00E93A3C"/>
    <w:rsid w:val="00E93D0A"/>
    <w:rsid w:val="00E93F6A"/>
    <w:rsid w:val="00E94473"/>
    <w:rsid w:val="00E95098"/>
    <w:rsid w:val="00E95790"/>
    <w:rsid w:val="00E960BC"/>
    <w:rsid w:val="00E961CD"/>
    <w:rsid w:val="00E9671E"/>
    <w:rsid w:val="00E96E64"/>
    <w:rsid w:val="00EA0A5D"/>
    <w:rsid w:val="00EA1E8A"/>
    <w:rsid w:val="00EA212C"/>
    <w:rsid w:val="00EA2617"/>
    <w:rsid w:val="00EA28FE"/>
    <w:rsid w:val="00EA36B0"/>
    <w:rsid w:val="00EA39AE"/>
    <w:rsid w:val="00EA3A20"/>
    <w:rsid w:val="00EA3AD6"/>
    <w:rsid w:val="00EA3B13"/>
    <w:rsid w:val="00EA3BF4"/>
    <w:rsid w:val="00EA3DC4"/>
    <w:rsid w:val="00EA3EDB"/>
    <w:rsid w:val="00EA47E0"/>
    <w:rsid w:val="00EA48E6"/>
    <w:rsid w:val="00EA4A54"/>
    <w:rsid w:val="00EA5EDD"/>
    <w:rsid w:val="00EA6258"/>
    <w:rsid w:val="00EA65BF"/>
    <w:rsid w:val="00EA6D07"/>
    <w:rsid w:val="00EA7A3D"/>
    <w:rsid w:val="00EA7DA7"/>
    <w:rsid w:val="00EA7DB9"/>
    <w:rsid w:val="00EA7F63"/>
    <w:rsid w:val="00EA7FF4"/>
    <w:rsid w:val="00EB0C14"/>
    <w:rsid w:val="00EB17B7"/>
    <w:rsid w:val="00EB1AEB"/>
    <w:rsid w:val="00EB1F51"/>
    <w:rsid w:val="00EB2693"/>
    <w:rsid w:val="00EB2A3F"/>
    <w:rsid w:val="00EB44CF"/>
    <w:rsid w:val="00EB4705"/>
    <w:rsid w:val="00EB489D"/>
    <w:rsid w:val="00EB4D78"/>
    <w:rsid w:val="00EB51E7"/>
    <w:rsid w:val="00EB55AE"/>
    <w:rsid w:val="00EB5E19"/>
    <w:rsid w:val="00EB5F53"/>
    <w:rsid w:val="00EB69A2"/>
    <w:rsid w:val="00EB7628"/>
    <w:rsid w:val="00EB7821"/>
    <w:rsid w:val="00EB7A14"/>
    <w:rsid w:val="00EB7B3D"/>
    <w:rsid w:val="00EB7F6F"/>
    <w:rsid w:val="00EC0004"/>
    <w:rsid w:val="00EC0A79"/>
    <w:rsid w:val="00EC14D6"/>
    <w:rsid w:val="00EC1FBD"/>
    <w:rsid w:val="00EC27CD"/>
    <w:rsid w:val="00EC2A15"/>
    <w:rsid w:val="00EC2A7E"/>
    <w:rsid w:val="00EC2CFF"/>
    <w:rsid w:val="00EC32DB"/>
    <w:rsid w:val="00EC3600"/>
    <w:rsid w:val="00EC3B73"/>
    <w:rsid w:val="00EC3DD6"/>
    <w:rsid w:val="00EC41CF"/>
    <w:rsid w:val="00EC43E4"/>
    <w:rsid w:val="00EC45FF"/>
    <w:rsid w:val="00EC481E"/>
    <w:rsid w:val="00EC5072"/>
    <w:rsid w:val="00EC583A"/>
    <w:rsid w:val="00EC5910"/>
    <w:rsid w:val="00EC5A21"/>
    <w:rsid w:val="00EC5B2E"/>
    <w:rsid w:val="00EC5C48"/>
    <w:rsid w:val="00EC5CF5"/>
    <w:rsid w:val="00ED01EF"/>
    <w:rsid w:val="00ED1225"/>
    <w:rsid w:val="00ED1332"/>
    <w:rsid w:val="00ED1996"/>
    <w:rsid w:val="00ED1D7C"/>
    <w:rsid w:val="00ED202A"/>
    <w:rsid w:val="00ED2123"/>
    <w:rsid w:val="00ED2158"/>
    <w:rsid w:val="00ED245C"/>
    <w:rsid w:val="00ED24B0"/>
    <w:rsid w:val="00ED271F"/>
    <w:rsid w:val="00ED2E05"/>
    <w:rsid w:val="00ED2F35"/>
    <w:rsid w:val="00ED2FE1"/>
    <w:rsid w:val="00ED31BF"/>
    <w:rsid w:val="00ED3562"/>
    <w:rsid w:val="00ED4059"/>
    <w:rsid w:val="00ED4890"/>
    <w:rsid w:val="00ED4BB9"/>
    <w:rsid w:val="00ED58B1"/>
    <w:rsid w:val="00ED62E6"/>
    <w:rsid w:val="00ED6555"/>
    <w:rsid w:val="00ED6B4E"/>
    <w:rsid w:val="00ED6DE1"/>
    <w:rsid w:val="00ED7456"/>
    <w:rsid w:val="00ED748F"/>
    <w:rsid w:val="00EE0189"/>
    <w:rsid w:val="00EE07CD"/>
    <w:rsid w:val="00EE097D"/>
    <w:rsid w:val="00EE12ED"/>
    <w:rsid w:val="00EE177E"/>
    <w:rsid w:val="00EE2054"/>
    <w:rsid w:val="00EE20C7"/>
    <w:rsid w:val="00EE2F70"/>
    <w:rsid w:val="00EE3D08"/>
    <w:rsid w:val="00EE3FB2"/>
    <w:rsid w:val="00EE4B3D"/>
    <w:rsid w:val="00EE545D"/>
    <w:rsid w:val="00EE63F4"/>
    <w:rsid w:val="00EE7203"/>
    <w:rsid w:val="00EE796F"/>
    <w:rsid w:val="00EE7A7B"/>
    <w:rsid w:val="00EE7CA1"/>
    <w:rsid w:val="00EF0B4C"/>
    <w:rsid w:val="00EF0D99"/>
    <w:rsid w:val="00EF2F5F"/>
    <w:rsid w:val="00EF30AD"/>
    <w:rsid w:val="00EF3C07"/>
    <w:rsid w:val="00EF3CA4"/>
    <w:rsid w:val="00EF4F3D"/>
    <w:rsid w:val="00EF500A"/>
    <w:rsid w:val="00EF5365"/>
    <w:rsid w:val="00EF5884"/>
    <w:rsid w:val="00EF5C87"/>
    <w:rsid w:val="00EF6CF0"/>
    <w:rsid w:val="00EF6DD6"/>
    <w:rsid w:val="00EF753B"/>
    <w:rsid w:val="00EF7FF0"/>
    <w:rsid w:val="00F0000A"/>
    <w:rsid w:val="00F0121A"/>
    <w:rsid w:val="00F01F22"/>
    <w:rsid w:val="00F0258E"/>
    <w:rsid w:val="00F02842"/>
    <w:rsid w:val="00F029CB"/>
    <w:rsid w:val="00F02A0D"/>
    <w:rsid w:val="00F02C34"/>
    <w:rsid w:val="00F03562"/>
    <w:rsid w:val="00F03F2F"/>
    <w:rsid w:val="00F04A81"/>
    <w:rsid w:val="00F050C1"/>
    <w:rsid w:val="00F05770"/>
    <w:rsid w:val="00F058E1"/>
    <w:rsid w:val="00F0599E"/>
    <w:rsid w:val="00F05F0A"/>
    <w:rsid w:val="00F079CC"/>
    <w:rsid w:val="00F07A59"/>
    <w:rsid w:val="00F1022F"/>
    <w:rsid w:val="00F10CE3"/>
    <w:rsid w:val="00F10FF1"/>
    <w:rsid w:val="00F11C78"/>
    <w:rsid w:val="00F120A2"/>
    <w:rsid w:val="00F136B2"/>
    <w:rsid w:val="00F147CB"/>
    <w:rsid w:val="00F14EBF"/>
    <w:rsid w:val="00F15356"/>
    <w:rsid w:val="00F15574"/>
    <w:rsid w:val="00F15754"/>
    <w:rsid w:val="00F1587F"/>
    <w:rsid w:val="00F15B8C"/>
    <w:rsid w:val="00F16204"/>
    <w:rsid w:val="00F17296"/>
    <w:rsid w:val="00F172CC"/>
    <w:rsid w:val="00F17988"/>
    <w:rsid w:val="00F17D72"/>
    <w:rsid w:val="00F20489"/>
    <w:rsid w:val="00F207C6"/>
    <w:rsid w:val="00F208DC"/>
    <w:rsid w:val="00F218A2"/>
    <w:rsid w:val="00F21990"/>
    <w:rsid w:val="00F21A88"/>
    <w:rsid w:val="00F21C05"/>
    <w:rsid w:val="00F22785"/>
    <w:rsid w:val="00F2289B"/>
    <w:rsid w:val="00F233DA"/>
    <w:rsid w:val="00F238C9"/>
    <w:rsid w:val="00F24904"/>
    <w:rsid w:val="00F24AB8"/>
    <w:rsid w:val="00F24E0E"/>
    <w:rsid w:val="00F250CC"/>
    <w:rsid w:val="00F250D9"/>
    <w:rsid w:val="00F2599C"/>
    <w:rsid w:val="00F25AD4"/>
    <w:rsid w:val="00F25AF3"/>
    <w:rsid w:val="00F26211"/>
    <w:rsid w:val="00F26E08"/>
    <w:rsid w:val="00F30B77"/>
    <w:rsid w:val="00F31B53"/>
    <w:rsid w:val="00F3364C"/>
    <w:rsid w:val="00F339C1"/>
    <w:rsid w:val="00F34CCB"/>
    <w:rsid w:val="00F3534F"/>
    <w:rsid w:val="00F35484"/>
    <w:rsid w:val="00F36310"/>
    <w:rsid w:val="00F36C27"/>
    <w:rsid w:val="00F36F14"/>
    <w:rsid w:val="00F372F8"/>
    <w:rsid w:val="00F375F7"/>
    <w:rsid w:val="00F37EC5"/>
    <w:rsid w:val="00F40878"/>
    <w:rsid w:val="00F41650"/>
    <w:rsid w:val="00F416CF"/>
    <w:rsid w:val="00F41F54"/>
    <w:rsid w:val="00F4207D"/>
    <w:rsid w:val="00F426CF"/>
    <w:rsid w:val="00F4288A"/>
    <w:rsid w:val="00F42BBC"/>
    <w:rsid w:val="00F42BBD"/>
    <w:rsid w:val="00F42ED5"/>
    <w:rsid w:val="00F42F0F"/>
    <w:rsid w:val="00F43EC7"/>
    <w:rsid w:val="00F443F0"/>
    <w:rsid w:val="00F449E5"/>
    <w:rsid w:val="00F44A22"/>
    <w:rsid w:val="00F44A3A"/>
    <w:rsid w:val="00F44BD6"/>
    <w:rsid w:val="00F44C5B"/>
    <w:rsid w:val="00F46896"/>
    <w:rsid w:val="00F47CF6"/>
    <w:rsid w:val="00F501A5"/>
    <w:rsid w:val="00F509E4"/>
    <w:rsid w:val="00F50DF3"/>
    <w:rsid w:val="00F50E24"/>
    <w:rsid w:val="00F511C5"/>
    <w:rsid w:val="00F51835"/>
    <w:rsid w:val="00F51B3A"/>
    <w:rsid w:val="00F51BC0"/>
    <w:rsid w:val="00F521B4"/>
    <w:rsid w:val="00F524CD"/>
    <w:rsid w:val="00F529D5"/>
    <w:rsid w:val="00F529E8"/>
    <w:rsid w:val="00F52B80"/>
    <w:rsid w:val="00F53BD8"/>
    <w:rsid w:val="00F56268"/>
    <w:rsid w:val="00F56621"/>
    <w:rsid w:val="00F5666D"/>
    <w:rsid w:val="00F56CF8"/>
    <w:rsid w:val="00F57103"/>
    <w:rsid w:val="00F57130"/>
    <w:rsid w:val="00F571BE"/>
    <w:rsid w:val="00F57565"/>
    <w:rsid w:val="00F57BFF"/>
    <w:rsid w:val="00F57D32"/>
    <w:rsid w:val="00F60098"/>
    <w:rsid w:val="00F607B1"/>
    <w:rsid w:val="00F60A0E"/>
    <w:rsid w:val="00F60C49"/>
    <w:rsid w:val="00F611B5"/>
    <w:rsid w:val="00F615FE"/>
    <w:rsid w:val="00F61818"/>
    <w:rsid w:val="00F61A29"/>
    <w:rsid w:val="00F61C90"/>
    <w:rsid w:val="00F61FFD"/>
    <w:rsid w:val="00F622AC"/>
    <w:rsid w:val="00F622F1"/>
    <w:rsid w:val="00F6253F"/>
    <w:rsid w:val="00F6285F"/>
    <w:rsid w:val="00F62B05"/>
    <w:rsid w:val="00F62B27"/>
    <w:rsid w:val="00F62D80"/>
    <w:rsid w:val="00F63211"/>
    <w:rsid w:val="00F6332B"/>
    <w:rsid w:val="00F63885"/>
    <w:rsid w:val="00F64BAC"/>
    <w:rsid w:val="00F657E2"/>
    <w:rsid w:val="00F66591"/>
    <w:rsid w:val="00F674B3"/>
    <w:rsid w:val="00F67966"/>
    <w:rsid w:val="00F700F5"/>
    <w:rsid w:val="00F70D5E"/>
    <w:rsid w:val="00F70F79"/>
    <w:rsid w:val="00F71572"/>
    <w:rsid w:val="00F71CFA"/>
    <w:rsid w:val="00F7202A"/>
    <w:rsid w:val="00F72306"/>
    <w:rsid w:val="00F7254D"/>
    <w:rsid w:val="00F726C4"/>
    <w:rsid w:val="00F735FE"/>
    <w:rsid w:val="00F73CB4"/>
    <w:rsid w:val="00F73EDF"/>
    <w:rsid w:val="00F74159"/>
    <w:rsid w:val="00F749B7"/>
    <w:rsid w:val="00F74EEE"/>
    <w:rsid w:val="00F751C9"/>
    <w:rsid w:val="00F76448"/>
    <w:rsid w:val="00F7692D"/>
    <w:rsid w:val="00F76AD5"/>
    <w:rsid w:val="00F77511"/>
    <w:rsid w:val="00F77768"/>
    <w:rsid w:val="00F77831"/>
    <w:rsid w:val="00F778C8"/>
    <w:rsid w:val="00F77E34"/>
    <w:rsid w:val="00F801A0"/>
    <w:rsid w:val="00F8075E"/>
    <w:rsid w:val="00F8099F"/>
    <w:rsid w:val="00F818CF"/>
    <w:rsid w:val="00F823B7"/>
    <w:rsid w:val="00F82801"/>
    <w:rsid w:val="00F82BA2"/>
    <w:rsid w:val="00F83505"/>
    <w:rsid w:val="00F839F6"/>
    <w:rsid w:val="00F83D91"/>
    <w:rsid w:val="00F83E0B"/>
    <w:rsid w:val="00F84139"/>
    <w:rsid w:val="00F84AF2"/>
    <w:rsid w:val="00F84F3A"/>
    <w:rsid w:val="00F85841"/>
    <w:rsid w:val="00F858AC"/>
    <w:rsid w:val="00F8674D"/>
    <w:rsid w:val="00F86961"/>
    <w:rsid w:val="00F87109"/>
    <w:rsid w:val="00F874B2"/>
    <w:rsid w:val="00F87724"/>
    <w:rsid w:val="00F904A6"/>
    <w:rsid w:val="00F9063E"/>
    <w:rsid w:val="00F90BFD"/>
    <w:rsid w:val="00F923EC"/>
    <w:rsid w:val="00F92504"/>
    <w:rsid w:val="00F926D6"/>
    <w:rsid w:val="00F92AF5"/>
    <w:rsid w:val="00F92E08"/>
    <w:rsid w:val="00F93535"/>
    <w:rsid w:val="00F93C35"/>
    <w:rsid w:val="00F942AC"/>
    <w:rsid w:val="00F943D8"/>
    <w:rsid w:val="00F94D0D"/>
    <w:rsid w:val="00F95B2F"/>
    <w:rsid w:val="00F95C38"/>
    <w:rsid w:val="00F95F9E"/>
    <w:rsid w:val="00F96185"/>
    <w:rsid w:val="00F96352"/>
    <w:rsid w:val="00F97459"/>
    <w:rsid w:val="00F97596"/>
    <w:rsid w:val="00F97E61"/>
    <w:rsid w:val="00FA1021"/>
    <w:rsid w:val="00FA12CC"/>
    <w:rsid w:val="00FA13FC"/>
    <w:rsid w:val="00FA161B"/>
    <w:rsid w:val="00FA165A"/>
    <w:rsid w:val="00FA1EC3"/>
    <w:rsid w:val="00FA28C8"/>
    <w:rsid w:val="00FA29D5"/>
    <w:rsid w:val="00FA2B1E"/>
    <w:rsid w:val="00FA34AF"/>
    <w:rsid w:val="00FA3E07"/>
    <w:rsid w:val="00FA402F"/>
    <w:rsid w:val="00FA416C"/>
    <w:rsid w:val="00FA4796"/>
    <w:rsid w:val="00FA4CC6"/>
    <w:rsid w:val="00FA6300"/>
    <w:rsid w:val="00FA6C81"/>
    <w:rsid w:val="00FA780C"/>
    <w:rsid w:val="00FB0381"/>
    <w:rsid w:val="00FB145C"/>
    <w:rsid w:val="00FB16F9"/>
    <w:rsid w:val="00FB1D29"/>
    <w:rsid w:val="00FB1E04"/>
    <w:rsid w:val="00FB22B6"/>
    <w:rsid w:val="00FB376B"/>
    <w:rsid w:val="00FB3A06"/>
    <w:rsid w:val="00FB3BB0"/>
    <w:rsid w:val="00FB4769"/>
    <w:rsid w:val="00FB4904"/>
    <w:rsid w:val="00FB4929"/>
    <w:rsid w:val="00FB498A"/>
    <w:rsid w:val="00FB5242"/>
    <w:rsid w:val="00FB5F5D"/>
    <w:rsid w:val="00FB6A27"/>
    <w:rsid w:val="00FB72BA"/>
    <w:rsid w:val="00FB72F0"/>
    <w:rsid w:val="00FB7AFB"/>
    <w:rsid w:val="00FC0287"/>
    <w:rsid w:val="00FC311A"/>
    <w:rsid w:val="00FC316E"/>
    <w:rsid w:val="00FC3529"/>
    <w:rsid w:val="00FC3F90"/>
    <w:rsid w:val="00FC43BE"/>
    <w:rsid w:val="00FC4E29"/>
    <w:rsid w:val="00FC50CB"/>
    <w:rsid w:val="00FC53FA"/>
    <w:rsid w:val="00FC5800"/>
    <w:rsid w:val="00FC59D4"/>
    <w:rsid w:val="00FC5FA4"/>
    <w:rsid w:val="00FC6940"/>
    <w:rsid w:val="00FC6A55"/>
    <w:rsid w:val="00FC6F76"/>
    <w:rsid w:val="00FC7314"/>
    <w:rsid w:val="00FD0622"/>
    <w:rsid w:val="00FD0DC0"/>
    <w:rsid w:val="00FD1838"/>
    <w:rsid w:val="00FD21E2"/>
    <w:rsid w:val="00FD2481"/>
    <w:rsid w:val="00FD2713"/>
    <w:rsid w:val="00FD2999"/>
    <w:rsid w:val="00FD32C2"/>
    <w:rsid w:val="00FD3DCA"/>
    <w:rsid w:val="00FD41C7"/>
    <w:rsid w:val="00FD437A"/>
    <w:rsid w:val="00FD76FB"/>
    <w:rsid w:val="00FE0057"/>
    <w:rsid w:val="00FE01D8"/>
    <w:rsid w:val="00FE03DA"/>
    <w:rsid w:val="00FE10D4"/>
    <w:rsid w:val="00FE1B82"/>
    <w:rsid w:val="00FE1CF6"/>
    <w:rsid w:val="00FE1DB2"/>
    <w:rsid w:val="00FE1FC5"/>
    <w:rsid w:val="00FE3AFF"/>
    <w:rsid w:val="00FE3D16"/>
    <w:rsid w:val="00FE3D8B"/>
    <w:rsid w:val="00FE3FEC"/>
    <w:rsid w:val="00FE43CA"/>
    <w:rsid w:val="00FE497D"/>
    <w:rsid w:val="00FE5DDA"/>
    <w:rsid w:val="00FE67B4"/>
    <w:rsid w:val="00FE69AD"/>
    <w:rsid w:val="00FE6E49"/>
    <w:rsid w:val="00FE7906"/>
    <w:rsid w:val="00FE7F2E"/>
    <w:rsid w:val="00FF0021"/>
    <w:rsid w:val="00FF04CA"/>
    <w:rsid w:val="00FF0955"/>
    <w:rsid w:val="00FF10F3"/>
    <w:rsid w:val="00FF31AF"/>
    <w:rsid w:val="00FF32B7"/>
    <w:rsid w:val="00FF38C6"/>
    <w:rsid w:val="00FF4470"/>
    <w:rsid w:val="00FF46CC"/>
    <w:rsid w:val="00FF4715"/>
    <w:rsid w:val="00FF4DB2"/>
    <w:rsid w:val="00FF50A5"/>
    <w:rsid w:val="00FF5192"/>
    <w:rsid w:val="00FF5B5B"/>
    <w:rsid w:val="00FF63E6"/>
    <w:rsid w:val="00FF68E2"/>
    <w:rsid w:val="00FF7249"/>
    <w:rsid w:val="00FF7F5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DC9"/>
    <w:rPr>
      <w:sz w:val="20"/>
      <w:szCs w:val="20"/>
    </w:rPr>
  </w:style>
  <w:style w:type="paragraph" w:styleId="Heading1">
    <w:name w:val="heading 1"/>
    <w:basedOn w:val="Normal"/>
    <w:next w:val="Normal"/>
    <w:link w:val="Heading1Char"/>
    <w:uiPriority w:val="99"/>
    <w:qFormat/>
    <w:rsid w:val="008E7F6E"/>
    <w:pPr>
      <w:keepNext/>
      <w:jc w:val="both"/>
      <w:outlineLvl w:val="0"/>
    </w:pPr>
    <w:rPr>
      <w:sz w:val="26"/>
      <w:szCs w:val="26"/>
    </w:rPr>
  </w:style>
  <w:style w:type="paragraph" w:styleId="Heading2">
    <w:name w:val="heading 2"/>
    <w:basedOn w:val="Normal"/>
    <w:next w:val="Normal"/>
    <w:link w:val="Heading2Char1"/>
    <w:uiPriority w:val="99"/>
    <w:qFormat/>
    <w:rsid w:val="008E7F6E"/>
    <w:pPr>
      <w:keepNext/>
      <w:spacing w:after="120"/>
      <w:ind w:firstLine="709"/>
      <w:jc w:val="center"/>
      <w:outlineLvl w:val="1"/>
    </w:pPr>
    <w:rPr>
      <w:rFonts w:ascii="Verdana" w:hAnsi="Verdana" w:cs="Verdana"/>
      <w:b/>
      <w:bCs/>
    </w:rPr>
  </w:style>
  <w:style w:type="paragraph" w:styleId="Heading3">
    <w:name w:val="heading 3"/>
    <w:basedOn w:val="Normal"/>
    <w:next w:val="Normal"/>
    <w:link w:val="Heading3Char"/>
    <w:uiPriority w:val="99"/>
    <w:qFormat/>
    <w:rsid w:val="008E7F6E"/>
    <w:pPr>
      <w:keepNext/>
      <w:ind w:firstLine="425"/>
      <w:outlineLvl w:val="2"/>
    </w:pPr>
    <w:rPr>
      <w:rFonts w:ascii="Verdana" w:hAnsi="Verdana" w:cs="Verdana"/>
      <w:i/>
      <w:iCs/>
    </w:rPr>
  </w:style>
  <w:style w:type="paragraph" w:styleId="Heading4">
    <w:name w:val="heading 4"/>
    <w:basedOn w:val="Normal"/>
    <w:next w:val="Normal"/>
    <w:link w:val="Heading4Char"/>
    <w:uiPriority w:val="99"/>
    <w:qFormat/>
    <w:rsid w:val="008E7F6E"/>
    <w:pPr>
      <w:keepNext/>
      <w:ind w:firstLine="426"/>
      <w:outlineLvl w:val="3"/>
    </w:pPr>
    <w:rPr>
      <w:rFonts w:ascii="Verdana" w:hAnsi="Verdana" w:cs="Verdana"/>
      <w:i/>
      <w:iCs/>
    </w:rPr>
  </w:style>
  <w:style w:type="paragraph" w:styleId="Heading5">
    <w:name w:val="heading 5"/>
    <w:basedOn w:val="Normal"/>
    <w:next w:val="Normal"/>
    <w:link w:val="Heading5Char"/>
    <w:uiPriority w:val="99"/>
    <w:qFormat/>
    <w:rsid w:val="008E7F6E"/>
    <w:pPr>
      <w:keepNext/>
      <w:spacing w:after="120"/>
      <w:jc w:val="both"/>
      <w:outlineLvl w:val="4"/>
    </w:pPr>
    <w:rPr>
      <w:rFonts w:ascii="Verdana" w:hAnsi="Verdana" w:cs="Verdana"/>
      <w:i/>
      <w:iCs/>
    </w:rPr>
  </w:style>
  <w:style w:type="paragraph" w:styleId="Heading6">
    <w:name w:val="heading 6"/>
    <w:basedOn w:val="Normal"/>
    <w:next w:val="Normal"/>
    <w:link w:val="Heading6Char"/>
    <w:uiPriority w:val="99"/>
    <w:qFormat/>
    <w:rsid w:val="008E7F6E"/>
    <w:pPr>
      <w:keepNext/>
      <w:ind w:firstLine="425"/>
      <w:jc w:val="right"/>
      <w:outlineLvl w:val="5"/>
    </w:pPr>
    <w:rPr>
      <w:rFonts w:ascii="Verdana" w:hAnsi="Verdana" w:cs="Verdana"/>
      <w:i/>
      <w:iCs/>
    </w:rPr>
  </w:style>
  <w:style w:type="paragraph" w:styleId="Heading7">
    <w:name w:val="heading 7"/>
    <w:basedOn w:val="Normal"/>
    <w:next w:val="Normal"/>
    <w:link w:val="Heading7Char"/>
    <w:uiPriority w:val="99"/>
    <w:qFormat/>
    <w:rsid w:val="008E7F6E"/>
    <w:pPr>
      <w:spacing w:before="240" w:after="60"/>
      <w:outlineLvl w:val="6"/>
    </w:pPr>
    <w:rPr>
      <w:sz w:val="24"/>
      <w:szCs w:val="24"/>
    </w:rPr>
  </w:style>
  <w:style w:type="paragraph" w:styleId="Heading8">
    <w:name w:val="heading 8"/>
    <w:basedOn w:val="Normal"/>
    <w:next w:val="Normal"/>
    <w:link w:val="Heading8Char"/>
    <w:uiPriority w:val="99"/>
    <w:qFormat/>
    <w:locked/>
    <w:rsid w:val="004A7DE1"/>
    <w:pPr>
      <w:keepNext/>
      <w:ind w:firstLine="709"/>
      <w:jc w:val="both"/>
      <w:outlineLvl w:val="7"/>
    </w:pPr>
    <w:rPr>
      <w:rFonts w:ascii="Garamond" w:hAnsi="Garamond" w:cs="Garamond"/>
      <w:color w:val="FF0000"/>
      <w:sz w:val="24"/>
      <w:szCs w:val="24"/>
    </w:rPr>
  </w:style>
  <w:style w:type="paragraph" w:styleId="Heading9">
    <w:name w:val="heading 9"/>
    <w:basedOn w:val="Normal"/>
    <w:next w:val="Normal"/>
    <w:link w:val="Heading9Char"/>
    <w:uiPriority w:val="99"/>
    <w:qFormat/>
    <w:rsid w:val="008E7F6E"/>
    <w:pPr>
      <w:keepNext/>
      <w:ind w:firstLine="426"/>
      <w:jc w:val="right"/>
      <w:outlineLvl w:val="8"/>
    </w:pPr>
    <w:rPr>
      <w:rFonts w:ascii="Verdana" w:hAnsi="Verdana" w:cs="Verdana"/>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030"/>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D7F02"/>
    <w:rPr>
      <w:rFonts w:ascii="Verdana" w:hAnsi="Verdana" w:cs="Verdana"/>
      <w:b/>
      <w:bCs/>
      <w:lang w:val="ru-RU" w:eastAsia="ru-RU" w:bidi="ar-SA"/>
    </w:rPr>
  </w:style>
  <w:style w:type="character" w:customStyle="1" w:styleId="Heading3Char">
    <w:name w:val="Heading 3 Char"/>
    <w:basedOn w:val="DefaultParagraphFont"/>
    <w:link w:val="Heading3"/>
    <w:uiPriority w:val="99"/>
    <w:locked/>
    <w:rsid w:val="004C6030"/>
    <w:rPr>
      <w:rFonts w:ascii="Cambria" w:hAnsi="Cambria" w:cs="Cambria"/>
      <w:b/>
      <w:bCs/>
      <w:sz w:val="26"/>
      <w:szCs w:val="26"/>
    </w:rPr>
  </w:style>
  <w:style w:type="character" w:customStyle="1" w:styleId="Heading4Char">
    <w:name w:val="Heading 4 Char"/>
    <w:basedOn w:val="DefaultParagraphFont"/>
    <w:link w:val="Heading4"/>
    <w:uiPriority w:val="99"/>
    <w:locked/>
    <w:rsid w:val="004C6030"/>
    <w:rPr>
      <w:rFonts w:ascii="Calibri" w:hAnsi="Calibri" w:cs="Calibri"/>
      <w:b/>
      <w:bCs/>
      <w:sz w:val="28"/>
      <w:szCs w:val="28"/>
    </w:rPr>
  </w:style>
  <w:style w:type="character" w:customStyle="1" w:styleId="Heading5Char">
    <w:name w:val="Heading 5 Char"/>
    <w:basedOn w:val="DefaultParagraphFont"/>
    <w:link w:val="Heading5"/>
    <w:uiPriority w:val="99"/>
    <w:locked/>
    <w:rsid w:val="004C6030"/>
    <w:rPr>
      <w:rFonts w:ascii="Calibri" w:hAnsi="Calibri" w:cs="Calibri"/>
      <w:b/>
      <w:bCs/>
      <w:i/>
      <w:iCs/>
      <w:sz w:val="26"/>
      <w:szCs w:val="26"/>
    </w:rPr>
  </w:style>
  <w:style w:type="character" w:customStyle="1" w:styleId="Heading6Char">
    <w:name w:val="Heading 6 Char"/>
    <w:basedOn w:val="DefaultParagraphFont"/>
    <w:link w:val="Heading6"/>
    <w:uiPriority w:val="99"/>
    <w:locked/>
    <w:rsid w:val="004C6030"/>
    <w:rPr>
      <w:rFonts w:ascii="Calibri" w:hAnsi="Calibri" w:cs="Calibri"/>
      <w:b/>
      <w:bCs/>
    </w:rPr>
  </w:style>
  <w:style w:type="character" w:customStyle="1" w:styleId="Heading7Char">
    <w:name w:val="Heading 7 Char"/>
    <w:basedOn w:val="DefaultParagraphFont"/>
    <w:link w:val="Heading7"/>
    <w:uiPriority w:val="99"/>
    <w:locked/>
    <w:rsid w:val="004C6030"/>
    <w:rPr>
      <w:rFonts w:ascii="Calibri" w:hAnsi="Calibri" w:cs="Calibri"/>
      <w:sz w:val="24"/>
      <w:szCs w:val="24"/>
    </w:rPr>
  </w:style>
  <w:style w:type="character" w:customStyle="1" w:styleId="Heading8Char">
    <w:name w:val="Heading 8 Char"/>
    <w:basedOn w:val="DefaultParagraphFont"/>
    <w:link w:val="Heading8"/>
    <w:uiPriority w:val="99"/>
    <w:locked/>
    <w:rsid w:val="004A7DE1"/>
    <w:rPr>
      <w:rFonts w:ascii="Garamond" w:hAnsi="Garamond" w:cs="Garamond"/>
      <w:color w:val="FF0000"/>
      <w:sz w:val="24"/>
      <w:szCs w:val="24"/>
    </w:rPr>
  </w:style>
  <w:style w:type="character" w:customStyle="1" w:styleId="Heading9Char">
    <w:name w:val="Heading 9 Char"/>
    <w:basedOn w:val="DefaultParagraphFont"/>
    <w:link w:val="Heading9"/>
    <w:uiPriority w:val="99"/>
    <w:locked/>
    <w:rsid w:val="004C6030"/>
    <w:rPr>
      <w:rFonts w:ascii="Cambria" w:hAnsi="Cambria" w:cs="Cambria"/>
    </w:rPr>
  </w:style>
  <w:style w:type="character" w:customStyle="1" w:styleId="Heading2Char1">
    <w:name w:val="Heading 2 Char1"/>
    <w:basedOn w:val="DefaultParagraphFont"/>
    <w:link w:val="Heading2"/>
    <w:uiPriority w:val="99"/>
    <w:locked/>
    <w:rsid w:val="004C6030"/>
    <w:rPr>
      <w:rFonts w:ascii="Cambria" w:hAnsi="Cambria" w:cs="Cambria"/>
      <w:b/>
      <w:bCs/>
      <w:i/>
      <w:iCs/>
      <w:sz w:val="28"/>
      <w:szCs w:val="28"/>
    </w:rPr>
  </w:style>
  <w:style w:type="paragraph" w:styleId="BalloonText">
    <w:name w:val="Balloon Text"/>
    <w:basedOn w:val="Normal"/>
    <w:link w:val="BalloonTextChar"/>
    <w:uiPriority w:val="99"/>
    <w:semiHidden/>
    <w:rsid w:val="00541D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6030"/>
    <w:rPr>
      <w:rFonts w:cs="Times New Roman"/>
      <w:sz w:val="2"/>
      <w:szCs w:val="2"/>
    </w:rPr>
  </w:style>
  <w:style w:type="paragraph" w:customStyle="1" w:styleId="artx">
    <w:name w:val="artx"/>
    <w:basedOn w:val="Normal"/>
    <w:uiPriority w:val="99"/>
    <w:rsid w:val="00653FFB"/>
    <w:rPr>
      <w:rFonts w:ascii="Arial" w:hAnsi="Arial" w:cs="Arial"/>
      <w:color w:val="000000"/>
      <w:sz w:val="18"/>
      <w:szCs w:val="18"/>
    </w:rPr>
  </w:style>
  <w:style w:type="paragraph" w:styleId="BodyText">
    <w:name w:val="Body Text"/>
    <w:basedOn w:val="Normal"/>
    <w:link w:val="BodyTextChar"/>
    <w:uiPriority w:val="99"/>
    <w:rsid w:val="00D84EA4"/>
    <w:pPr>
      <w:spacing w:before="100" w:after="100"/>
      <w:jc w:val="both"/>
    </w:pPr>
    <w:rPr>
      <w:rFonts w:ascii="Verdana" w:hAnsi="Verdana" w:cs="Verdana"/>
      <w:sz w:val="18"/>
      <w:szCs w:val="18"/>
    </w:rPr>
  </w:style>
  <w:style w:type="character" w:customStyle="1" w:styleId="BodyTextChar">
    <w:name w:val="Body Text Char"/>
    <w:basedOn w:val="DefaultParagraphFont"/>
    <w:link w:val="BodyText"/>
    <w:uiPriority w:val="99"/>
    <w:locked/>
    <w:rsid w:val="004C6030"/>
    <w:rPr>
      <w:rFonts w:cs="Times New Roman"/>
      <w:sz w:val="20"/>
      <w:szCs w:val="20"/>
    </w:rPr>
  </w:style>
  <w:style w:type="paragraph" w:styleId="Footer">
    <w:name w:val="footer"/>
    <w:basedOn w:val="Normal"/>
    <w:link w:val="FooterChar"/>
    <w:uiPriority w:val="99"/>
    <w:rsid w:val="00541DC9"/>
    <w:pPr>
      <w:tabs>
        <w:tab w:val="center" w:pos="4153"/>
        <w:tab w:val="right" w:pos="8306"/>
      </w:tabs>
    </w:pPr>
  </w:style>
  <w:style w:type="character" w:customStyle="1" w:styleId="FooterChar">
    <w:name w:val="Footer Char"/>
    <w:basedOn w:val="DefaultParagraphFont"/>
    <w:link w:val="Footer"/>
    <w:uiPriority w:val="99"/>
    <w:locked/>
    <w:rsid w:val="009953E9"/>
    <w:rPr>
      <w:rFonts w:cs="Times New Roman"/>
      <w:lang w:val="ru-RU" w:eastAsia="ru-RU"/>
    </w:rPr>
  </w:style>
  <w:style w:type="character" w:styleId="PageNumber">
    <w:name w:val="page number"/>
    <w:basedOn w:val="DefaultParagraphFont"/>
    <w:uiPriority w:val="99"/>
    <w:rsid w:val="00541DC9"/>
    <w:rPr>
      <w:rFonts w:cs="Times New Roman"/>
    </w:rPr>
  </w:style>
  <w:style w:type="paragraph" w:styleId="Header">
    <w:name w:val="header"/>
    <w:basedOn w:val="Normal"/>
    <w:link w:val="HeaderChar"/>
    <w:uiPriority w:val="99"/>
    <w:rsid w:val="00541DC9"/>
    <w:pPr>
      <w:tabs>
        <w:tab w:val="center" w:pos="4153"/>
        <w:tab w:val="right" w:pos="8306"/>
      </w:tabs>
    </w:pPr>
  </w:style>
  <w:style w:type="character" w:customStyle="1" w:styleId="HeaderChar">
    <w:name w:val="Header Char"/>
    <w:basedOn w:val="DefaultParagraphFont"/>
    <w:link w:val="Header"/>
    <w:uiPriority w:val="99"/>
    <w:locked/>
    <w:rsid w:val="004C6030"/>
    <w:rPr>
      <w:rFonts w:cs="Times New Roman"/>
      <w:sz w:val="20"/>
      <w:szCs w:val="20"/>
    </w:rPr>
  </w:style>
  <w:style w:type="paragraph" w:styleId="FootnoteText">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Normal"/>
    <w:link w:val="FootnoteTextChar1"/>
    <w:uiPriority w:val="99"/>
    <w:rsid w:val="008E7F6E"/>
  </w:style>
  <w:style w:type="character" w:customStyle="1" w:styleId="FootnoteTextChar">
    <w:name w:val="Footnote Text Char"/>
    <w:aliases w:val="Table_Footnote_last Char,Текст сноски Знак Знак Char Char1,Texto de nota al pie Char Char,Texto de nota al pie Char1,Текст сноски Знак Знак Char Char Char,Schriftart: 9 pt Char,Schriftart: 10 pt Char,Schriftart: 8 pt Char"/>
    <w:basedOn w:val="DefaultParagraphFont"/>
    <w:link w:val="FootnoteText"/>
    <w:uiPriority w:val="99"/>
    <w:semiHidden/>
    <w:locked/>
    <w:rsid w:val="006802FB"/>
    <w:rPr>
      <w:rFonts w:cs="Times New Roman"/>
      <w:sz w:val="20"/>
      <w:szCs w:val="20"/>
    </w:rPr>
  </w:style>
  <w:style w:type="character" w:customStyle="1" w:styleId="FootnoteTextChar1">
    <w:name w:val="Footnote Text Char1"/>
    <w:aliases w:val="Table_Footnote_last Char1,Текст сноски Знак Знак Char Char2,Texto de nota al pie Char Char1,Texto de nota al pie Char2,Текст сноски Знак Знак Char Char Char1,Schriftart: 9 pt Char1,Schriftart: 10 pt Char1,Schriftart: 8 pt Char1"/>
    <w:basedOn w:val="DefaultParagraphFont"/>
    <w:link w:val="FootnoteText"/>
    <w:uiPriority w:val="99"/>
    <w:locked/>
    <w:rsid w:val="004C6030"/>
    <w:rPr>
      <w:rFonts w:cs="Times New Roman"/>
      <w:sz w:val="20"/>
      <w:szCs w:val="20"/>
    </w:rPr>
  </w:style>
  <w:style w:type="character" w:styleId="FootnoteReference">
    <w:name w:val="footnote reference"/>
    <w:aliases w:val="Знак сноски 1,Знак сноски-FN"/>
    <w:basedOn w:val="DefaultParagraphFont"/>
    <w:uiPriority w:val="99"/>
    <w:rsid w:val="008E7F6E"/>
    <w:rPr>
      <w:rFonts w:cs="Times New Roman"/>
      <w:vertAlign w:val="superscript"/>
    </w:rPr>
  </w:style>
  <w:style w:type="paragraph" w:styleId="Title">
    <w:name w:val="Title"/>
    <w:basedOn w:val="Normal"/>
    <w:link w:val="TitleChar"/>
    <w:uiPriority w:val="99"/>
    <w:qFormat/>
    <w:rsid w:val="008E7F6E"/>
    <w:pPr>
      <w:spacing w:after="120"/>
      <w:jc w:val="center"/>
    </w:pPr>
    <w:rPr>
      <w:rFonts w:ascii="Verdana" w:hAnsi="Verdana" w:cs="Verdana"/>
      <w:b/>
      <w:bCs/>
    </w:rPr>
  </w:style>
  <w:style w:type="character" w:customStyle="1" w:styleId="TitleChar">
    <w:name w:val="Title Char"/>
    <w:basedOn w:val="DefaultParagraphFont"/>
    <w:link w:val="Title"/>
    <w:uiPriority w:val="99"/>
    <w:locked/>
    <w:rsid w:val="004C6030"/>
    <w:rPr>
      <w:rFonts w:ascii="Cambria" w:hAnsi="Cambria" w:cs="Cambria"/>
      <w:b/>
      <w:bCs/>
      <w:kern w:val="28"/>
      <w:sz w:val="32"/>
      <w:szCs w:val="32"/>
    </w:rPr>
  </w:style>
  <w:style w:type="character" w:styleId="Hyperlink">
    <w:name w:val="Hyperlink"/>
    <w:basedOn w:val="DefaultParagraphFont"/>
    <w:uiPriority w:val="99"/>
    <w:rsid w:val="008E7F6E"/>
    <w:rPr>
      <w:rFonts w:ascii="Tahoma" w:hAnsi="Tahoma" w:cs="Tahoma"/>
      <w:b/>
      <w:bCs/>
      <w:color w:val="auto"/>
      <w:sz w:val="20"/>
      <w:szCs w:val="20"/>
      <w:u w:val="single"/>
    </w:rPr>
  </w:style>
  <w:style w:type="character" w:styleId="Emphasis">
    <w:name w:val="Emphasis"/>
    <w:basedOn w:val="DefaultParagraphFont"/>
    <w:uiPriority w:val="99"/>
    <w:qFormat/>
    <w:rsid w:val="008E7F6E"/>
    <w:rPr>
      <w:rFonts w:cs="Times New Roman"/>
      <w:i/>
      <w:iCs/>
    </w:rPr>
  </w:style>
  <w:style w:type="paragraph" w:styleId="BodyText3">
    <w:name w:val="Body Text 3"/>
    <w:basedOn w:val="Normal"/>
    <w:link w:val="BodyText3Char"/>
    <w:uiPriority w:val="99"/>
    <w:rsid w:val="008E7F6E"/>
    <w:pPr>
      <w:spacing w:after="120"/>
    </w:pPr>
    <w:rPr>
      <w:sz w:val="16"/>
      <w:szCs w:val="16"/>
    </w:rPr>
  </w:style>
  <w:style w:type="character" w:customStyle="1" w:styleId="BodyText3Char">
    <w:name w:val="Body Text 3 Char"/>
    <w:basedOn w:val="DefaultParagraphFont"/>
    <w:link w:val="BodyText3"/>
    <w:uiPriority w:val="99"/>
    <w:locked/>
    <w:rsid w:val="004C6030"/>
    <w:rPr>
      <w:rFonts w:cs="Times New Roman"/>
      <w:sz w:val="16"/>
      <w:szCs w:val="16"/>
    </w:rPr>
  </w:style>
  <w:style w:type="character" w:styleId="LineNumber">
    <w:name w:val="line number"/>
    <w:basedOn w:val="DefaultParagraphFont"/>
    <w:uiPriority w:val="99"/>
    <w:rsid w:val="00B831E3"/>
    <w:rPr>
      <w:rFonts w:cs="Times New Roman"/>
    </w:rPr>
  </w:style>
  <w:style w:type="paragraph" w:customStyle="1" w:styleId="1">
    <w:name w:val="Знак Знак Знак Знак Знак Знак1 Знак Знак Знак Знак Знак Знак Знак Знак Знак Знак"/>
    <w:basedOn w:val="Normal"/>
    <w:uiPriority w:val="99"/>
    <w:rsid w:val="00EA3B13"/>
    <w:pPr>
      <w:spacing w:after="160" w:line="240" w:lineRule="exact"/>
    </w:pPr>
    <w:rPr>
      <w:rFonts w:ascii="Verdana" w:hAnsi="Verdana" w:cs="Verdana"/>
      <w:lang w:val="en-US" w:eastAsia="en-US"/>
    </w:rPr>
  </w:style>
  <w:style w:type="paragraph" w:styleId="BodyTextIndent2">
    <w:name w:val="Body Text Indent 2"/>
    <w:basedOn w:val="Normal"/>
    <w:link w:val="BodyTextIndent2Char1"/>
    <w:uiPriority w:val="99"/>
    <w:rsid w:val="005620F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33389"/>
    <w:rPr>
      <w:rFonts w:cs="Times New Roman"/>
      <w:lang w:val="ru-RU" w:eastAsia="ru-RU" w:bidi="ar-SA"/>
    </w:rPr>
  </w:style>
  <w:style w:type="character" w:customStyle="1" w:styleId="BodyTextIndent2Char1">
    <w:name w:val="Body Text Indent 2 Char1"/>
    <w:basedOn w:val="DefaultParagraphFont"/>
    <w:link w:val="BodyTextIndent2"/>
    <w:uiPriority w:val="99"/>
    <w:locked/>
    <w:rsid w:val="004C6030"/>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FE03DA"/>
    <w:rPr>
      <w:rFonts w:ascii="Verdana" w:hAnsi="Verdana" w:cs="Verdana"/>
      <w:lang w:val="en-US" w:eastAsia="en-US"/>
    </w:rPr>
  </w:style>
  <w:style w:type="table" w:styleId="TableGrid">
    <w:name w:val="Table Grid"/>
    <w:basedOn w:val="TableNormal"/>
    <w:uiPriority w:val="99"/>
    <w:rsid w:val="00FE03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DefaultParagraphFont"/>
    <w:uiPriority w:val="99"/>
    <w:rsid w:val="0048472D"/>
    <w:rPr>
      <w:rFonts w:ascii="Times New Roman" w:hAnsi="Times New Roman" w:cs="Times New Roman"/>
      <w:sz w:val="22"/>
      <w:szCs w:val="22"/>
    </w:rPr>
  </w:style>
  <w:style w:type="paragraph" w:styleId="BodyText2">
    <w:name w:val="Body Text 2"/>
    <w:basedOn w:val="Normal"/>
    <w:link w:val="BodyText2Char"/>
    <w:uiPriority w:val="99"/>
    <w:rsid w:val="00415C5F"/>
    <w:pPr>
      <w:spacing w:after="120" w:line="480" w:lineRule="auto"/>
    </w:pPr>
    <w:rPr>
      <w:sz w:val="24"/>
      <w:szCs w:val="24"/>
    </w:rPr>
  </w:style>
  <w:style w:type="character" w:customStyle="1" w:styleId="BodyText2Char">
    <w:name w:val="Body Text 2 Char"/>
    <w:basedOn w:val="DefaultParagraphFont"/>
    <w:link w:val="BodyText2"/>
    <w:uiPriority w:val="99"/>
    <w:locked/>
    <w:rsid w:val="004C6030"/>
    <w:rPr>
      <w:rFonts w:cs="Times New Roman"/>
      <w:sz w:val="20"/>
      <w:szCs w:val="20"/>
    </w:rPr>
  </w:style>
  <w:style w:type="paragraph" w:customStyle="1" w:styleId="p2">
    <w:name w:val="p2"/>
    <w:basedOn w:val="Normal"/>
    <w:uiPriority w:val="99"/>
    <w:rsid w:val="00415C5F"/>
    <w:pPr>
      <w:spacing w:before="100" w:beforeAutospacing="1" w:after="100" w:afterAutospacing="1"/>
      <w:jc w:val="both"/>
    </w:pPr>
    <w:rPr>
      <w:rFonts w:ascii="Arial" w:hAnsi="Arial" w:cs="Arial"/>
      <w:color w:val="000000"/>
    </w:rPr>
  </w:style>
  <w:style w:type="paragraph" w:styleId="PlainText">
    <w:name w:val="Plain Text"/>
    <w:aliases w:val="Текст Знак1 Знак1,Текст Знак Знак Знак1,Знак Знак2,Знак Знак Знак1,Знак Знак Знак Знак Знак1,Текст Знак2 Знак Знак1,Текст Знак1 Знак1 Знак Знак1,Текст Знак Знак Знак1 Знак Знак1,Текст Знак1 Знак Знак Знак Знак Знак1,Текст Зн,Знак"/>
    <w:basedOn w:val="Normal"/>
    <w:link w:val="PlainTextChar"/>
    <w:uiPriority w:val="99"/>
    <w:rsid w:val="00157541"/>
    <w:rPr>
      <w:rFonts w:ascii="Verdana" w:hAnsi="Verdana" w:cs="Verdana"/>
      <w:lang w:val="en-US" w:eastAsia="en-US"/>
    </w:rPr>
  </w:style>
  <w:style w:type="character" w:customStyle="1" w:styleId="PlainTextChar">
    <w:name w:val="Plain Text Char"/>
    <w:aliases w:val="Текст Знак1 Знак1 Char,Текст Знак Знак Знак1 Char,Знак Знак2 Char,Знак Знак Знак1 Char,Знак Знак Знак Знак Знак1 Char,Текст Знак2 Знак Знак1 Char,Текст Знак1 Знак1 Знак Знак1 Char,Текст Знак Знак Знак1 Знак Знак1 Char,Текст Зн Char"/>
    <w:basedOn w:val="DefaultParagraphFont"/>
    <w:link w:val="PlainText"/>
    <w:uiPriority w:val="99"/>
    <w:locked/>
    <w:rsid w:val="004C6030"/>
    <w:rPr>
      <w:rFonts w:ascii="Courier New" w:hAnsi="Courier New" w:cs="Courier New"/>
      <w:sz w:val="20"/>
      <w:szCs w:val="20"/>
    </w:rPr>
  </w:style>
  <w:style w:type="paragraph" w:styleId="HTMLPreformatted">
    <w:name w:val="HTML Preformatted"/>
    <w:basedOn w:val="Normal"/>
    <w:link w:val="HTMLPreformattedChar1"/>
    <w:uiPriority w:val="99"/>
    <w:rsid w:val="0085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56F0E"/>
    <w:rPr>
      <w:rFonts w:ascii="Courier New" w:hAnsi="Courier New" w:cs="Courier New"/>
      <w:lang w:val="ru-RU" w:eastAsia="ru-RU"/>
    </w:rPr>
  </w:style>
  <w:style w:type="character" w:customStyle="1" w:styleId="HTMLPreformattedChar1">
    <w:name w:val="HTML Preformatted Char1"/>
    <w:basedOn w:val="DefaultParagraphFont"/>
    <w:link w:val="HTMLPreformatted"/>
    <w:uiPriority w:val="99"/>
    <w:locked/>
    <w:rsid w:val="00897612"/>
    <w:rPr>
      <w:rFonts w:ascii="Courier New" w:hAnsi="Courier New" w:cs="Courier New"/>
      <w:lang w:val="ru-RU" w:eastAsia="ru-RU"/>
    </w:rPr>
  </w:style>
  <w:style w:type="paragraph" w:styleId="BodyTextIndent">
    <w:name w:val="Body Text Indent"/>
    <w:basedOn w:val="Normal"/>
    <w:link w:val="BodyTextIndentChar"/>
    <w:uiPriority w:val="99"/>
    <w:rsid w:val="008518C1"/>
    <w:pPr>
      <w:spacing w:after="120"/>
      <w:ind w:left="283"/>
    </w:pPr>
  </w:style>
  <w:style w:type="character" w:customStyle="1" w:styleId="BodyTextIndentChar">
    <w:name w:val="Body Text Indent Char"/>
    <w:basedOn w:val="DefaultParagraphFont"/>
    <w:link w:val="BodyTextIndent"/>
    <w:uiPriority w:val="99"/>
    <w:locked/>
    <w:rsid w:val="004C6030"/>
    <w:rPr>
      <w:rFonts w:cs="Times New Roman"/>
      <w:sz w:val="20"/>
      <w:szCs w:val="20"/>
    </w:rPr>
  </w:style>
  <w:style w:type="paragraph" w:customStyle="1" w:styleId="Pa16">
    <w:name w:val="Pa16"/>
    <w:basedOn w:val="Normal"/>
    <w:next w:val="Normal"/>
    <w:uiPriority w:val="99"/>
    <w:rsid w:val="008518C1"/>
    <w:pPr>
      <w:autoSpaceDE w:val="0"/>
      <w:autoSpaceDN w:val="0"/>
      <w:adjustRightInd w:val="0"/>
      <w:spacing w:line="221" w:lineRule="atLeast"/>
    </w:pPr>
    <w:rPr>
      <w:rFonts w:ascii="FreeSetC" w:hAnsi="FreeSetC" w:cs="FreeSetC"/>
      <w:sz w:val="24"/>
      <w:szCs w:val="24"/>
    </w:rPr>
  </w:style>
  <w:style w:type="paragraph" w:styleId="BodyTextIndent3">
    <w:name w:val="Body Text Indent 3"/>
    <w:basedOn w:val="Normal"/>
    <w:link w:val="BodyTextIndent3Char"/>
    <w:uiPriority w:val="99"/>
    <w:rsid w:val="00AA4E8C"/>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C6030"/>
    <w:rPr>
      <w:rFonts w:cs="Times New Roman"/>
      <w:sz w:val="16"/>
      <w:szCs w:val="16"/>
    </w:rPr>
  </w:style>
  <w:style w:type="paragraph" w:styleId="NormalWeb">
    <w:name w:val="Normal (Web)"/>
    <w:basedOn w:val="Normal"/>
    <w:uiPriority w:val="99"/>
    <w:rsid w:val="0058279C"/>
    <w:pPr>
      <w:spacing w:before="100" w:beforeAutospacing="1" w:after="100" w:afterAutospacing="1"/>
    </w:pPr>
    <w:rPr>
      <w:sz w:val="24"/>
      <w:szCs w:val="24"/>
    </w:rPr>
  </w:style>
  <w:style w:type="paragraph" w:customStyle="1" w:styleId="Normal1">
    <w:name w:val="Normal1"/>
    <w:link w:val="Normal0"/>
    <w:uiPriority w:val="99"/>
    <w:rsid w:val="00B61D93"/>
    <w:pPr>
      <w:spacing w:before="100" w:after="100"/>
    </w:pPr>
    <w:rPr>
      <w:sz w:val="24"/>
      <w:szCs w:val="24"/>
    </w:rPr>
  </w:style>
  <w:style w:type="character" w:customStyle="1" w:styleId="Normal0">
    <w:name w:val="Normal Знак"/>
    <w:basedOn w:val="DefaultParagraphFont"/>
    <w:link w:val="Normal1"/>
    <w:uiPriority w:val="99"/>
    <w:locked/>
    <w:rsid w:val="004C444A"/>
    <w:rPr>
      <w:rFonts w:cs="Times New Roman"/>
      <w:sz w:val="24"/>
      <w:szCs w:val="24"/>
      <w:lang w:val="ru-RU" w:eastAsia="ru-RU" w:bidi="ar-SA"/>
    </w:rPr>
  </w:style>
  <w:style w:type="character" w:styleId="CommentReference">
    <w:name w:val="annotation reference"/>
    <w:basedOn w:val="DefaultParagraphFont"/>
    <w:uiPriority w:val="99"/>
    <w:semiHidden/>
    <w:rsid w:val="00AF52A3"/>
    <w:rPr>
      <w:rFonts w:cs="Times New Roman"/>
      <w:sz w:val="16"/>
      <w:szCs w:val="16"/>
    </w:rPr>
  </w:style>
  <w:style w:type="paragraph" w:styleId="CommentText">
    <w:name w:val="annotation text"/>
    <w:basedOn w:val="Normal"/>
    <w:link w:val="CommentTextChar"/>
    <w:uiPriority w:val="99"/>
    <w:semiHidden/>
    <w:rsid w:val="00AF52A3"/>
  </w:style>
  <w:style w:type="character" w:customStyle="1" w:styleId="CommentTextChar">
    <w:name w:val="Comment Text Char"/>
    <w:basedOn w:val="DefaultParagraphFont"/>
    <w:link w:val="CommentText"/>
    <w:uiPriority w:val="99"/>
    <w:semiHidden/>
    <w:locked/>
    <w:rsid w:val="004C6030"/>
    <w:rPr>
      <w:rFonts w:cs="Times New Roman"/>
      <w:sz w:val="20"/>
      <w:szCs w:val="20"/>
    </w:rPr>
  </w:style>
  <w:style w:type="paragraph" w:styleId="CommentSubject">
    <w:name w:val="annotation subject"/>
    <w:basedOn w:val="CommentText"/>
    <w:next w:val="CommentText"/>
    <w:link w:val="CommentSubjectChar"/>
    <w:uiPriority w:val="99"/>
    <w:semiHidden/>
    <w:rsid w:val="00AF52A3"/>
    <w:rPr>
      <w:b/>
      <w:bCs/>
    </w:rPr>
  </w:style>
  <w:style w:type="character" w:customStyle="1" w:styleId="CommentSubjectChar">
    <w:name w:val="Comment Subject Char"/>
    <w:basedOn w:val="CommentTextChar"/>
    <w:link w:val="CommentSubject"/>
    <w:uiPriority w:val="99"/>
    <w:semiHidden/>
    <w:locked/>
    <w:rsid w:val="004C6030"/>
    <w:rPr>
      <w:b/>
      <w:bCs/>
    </w:rPr>
  </w:style>
  <w:style w:type="paragraph" w:customStyle="1" w:styleId="caaieiaie1">
    <w:name w:val="caaieiaie 1"/>
    <w:basedOn w:val="Normal"/>
    <w:next w:val="Normal"/>
    <w:uiPriority w:val="99"/>
    <w:rsid w:val="00570C81"/>
    <w:pPr>
      <w:keepNext/>
    </w:pPr>
    <w:rPr>
      <w:sz w:val="24"/>
      <w:szCs w:val="24"/>
      <w:lang w:val="en-US"/>
    </w:rPr>
  </w:style>
  <w:style w:type="paragraph" w:customStyle="1" w:styleId="2">
    <w:name w:val="2"/>
    <w:basedOn w:val="Normal"/>
    <w:uiPriority w:val="99"/>
    <w:rsid w:val="005F227A"/>
    <w:rPr>
      <w:rFonts w:ascii="Verdana" w:hAnsi="Verdana" w:cs="Verdana"/>
      <w:lang w:val="en-US" w:eastAsia="en-US"/>
    </w:rPr>
  </w:style>
  <w:style w:type="paragraph" w:customStyle="1" w:styleId="normal2">
    <w:name w:val="normal"/>
    <w:basedOn w:val="Normal"/>
    <w:uiPriority w:val="99"/>
    <w:rsid w:val="004C444A"/>
    <w:pPr>
      <w:spacing w:before="100" w:beforeAutospacing="1" w:after="100" w:afterAutospacing="1"/>
    </w:pPr>
    <w:rPr>
      <w:sz w:val="24"/>
      <w:szCs w:val="24"/>
    </w:rPr>
  </w:style>
  <w:style w:type="paragraph" w:customStyle="1" w:styleId="10">
    <w:name w:val="Абзац списка1"/>
    <w:basedOn w:val="Normal"/>
    <w:uiPriority w:val="99"/>
    <w:rsid w:val="00284603"/>
    <w:pPr>
      <w:ind w:left="720" w:firstLine="709"/>
      <w:jc w:val="both"/>
    </w:pPr>
    <w:rPr>
      <w:rFonts w:ascii="Calibri" w:hAnsi="Calibri" w:cs="Calibri"/>
      <w:sz w:val="22"/>
      <w:szCs w:val="22"/>
    </w:rPr>
  </w:style>
  <w:style w:type="paragraph" w:customStyle="1" w:styleId="par">
    <w:name w:val="par"/>
    <w:basedOn w:val="Normal"/>
    <w:uiPriority w:val="99"/>
    <w:rsid w:val="0047598D"/>
    <w:pPr>
      <w:spacing w:before="100" w:beforeAutospacing="1" w:after="100" w:afterAutospacing="1"/>
    </w:pPr>
    <w:rPr>
      <w:sz w:val="24"/>
      <w:szCs w:val="24"/>
    </w:rPr>
  </w:style>
  <w:style w:type="character" w:customStyle="1" w:styleId="Strong1">
    <w:name w:val="Strong1"/>
    <w:uiPriority w:val="99"/>
    <w:rsid w:val="002B77F2"/>
    <w:rPr>
      <w:b/>
    </w:rPr>
  </w:style>
  <w:style w:type="paragraph" w:customStyle="1" w:styleId="a">
    <w:name w:val="a"/>
    <w:basedOn w:val="Normal"/>
    <w:uiPriority w:val="99"/>
    <w:rsid w:val="000020E5"/>
    <w:pPr>
      <w:spacing w:before="60"/>
      <w:jc w:val="both"/>
    </w:pPr>
    <w:rPr>
      <w:rFonts w:ascii="Arial" w:hAnsi="Arial" w:cs="Arial"/>
    </w:rPr>
  </w:style>
  <w:style w:type="paragraph" w:customStyle="1" w:styleId="11">
    <w:name w:val="Знак Знак Знак Знак Знак Знак Знак Знак Знак1 Знак Знак Знак Знак"/>
    <w:basedOn w:val="Normal"/>
    <w:uiPriority w:val="99"/>
    <w:rsid w:val="0099174B"/>
    <w:pPr>
      <w:spacing w:after="160" w:line="240" w:lineRule="exact"/>
    </w:pPr>
    <w:rPr>
      <w:rFonts w:ascii="Verdana" w:hAnsi="Verdana" w:cs="Verdana"/>
      <w:lang w:val="en-US" w:eastAsia="en-US"/>
    </w:rPr>
  </w:style>
  <w:style w:type="paragraph" w:styleId="Closing">
    <w:name w:val="Closing"/>
    <w:basedOn w:val="Normal"/>
    <w:link w:val="ClosingChar"/>
    <w:uiPriority w:val="99"/>
    <w:rsid w:val="00F1587F"/>
    <w:pPr>
      <w:spacing w:line="220" w:lineRule="atLeast"/>
      <w:ind w:left="840" w:right="-360"/>
    </w:pPr>
  </w:style>
  <w:style w:type="character" w:customStyle="1" w:styleId="ClosingChar">
    <w:name w:val="Closing Char"/>
    <w:basedOn w:val="DefaultParagraphFont"/>
    <w:link w:val="Closing"/>
    <w:uiPriority w:val="99"/>
    <w:locked/>
    <w:rsid w:val="004C6030"/>
    <w:rPr>
      <w:rFonts w:cs="Times New Roman"/>
      <w:sz w:val="20"/>
      <w:szCs w:val="20"/>
    </w:rPr>
  </w:style>
  <w:style w:type="paragraph" w:customStyle="1" w:styleId="Iauiue">
    <w:name w:val="Iau?iue"/>
    <w:uiPriority w:val="99"/>
    <w:rsid w:val="006A5175"/>
    <w:rPr>
      <w:sz w:val="20"/>
      <w:szCs w:val="20"/>
    </w:rPr>
  </w:style>
  <w:style w:type="paragraph" w:customStyle="1" w:styleId="12">
    <w:name w:val="Знак1"/>
    <w:basedOn w:val="Normal"/>
    <w:uiPriority w:val="99"/>
    <w:rsid w:val="00226D6F"/>
    <w:rPr>
      <w:rFonts w:ascii="Verdana" w:hAnsi="Verdana" w:cs="Verdana"/>
      <w:lang w:val="en-US" w:eastAsia="en-US"/>
    </w:rPr>
  </w:style>
  <w:style w:type="character" w:styleId="Strong">
    <w:name w:val="Strong"/>
    <w:basedOn w:val="DefaultParagraphFont"/>
    <w:uiPriority w:val="99"/>
    <w:qFormat/>
    <w:rsid w:val="00226D6F"/>
    <w:rPr>
      <w:rFonts w:cs="Times New Roman"/>
      <w:b/>
      <w:bCs/>
    </w:rPr>
  </w:style>
  <w:style w:type="character" w:customStyle="1" w:styleId="text-small">
    <w:name w:val="text-small"/>
    <w:basedOn w:val="DefaultParagraphFont"/>
    <w:uiPriority w:val="99"/>
    <w:rsid w:val="00226D6F"/>
    <w:rPr>
      <w:rFonts w:cs="Times New Roman"/>
    </w:rPr>
  </w:style>
  <w:style w:type="character" w:customStyle="1" w:styleId="margintext-small">
    <w:name w:val="margin text-small"/>
    <w:basedOn w:val="DefaultParagraphFont"/>
    <w:uiPriority w:val="99"/>
    <w:rsid w:val="00226D6F"/>
    <w:rPr>
      <w:rFonts w:cs="Times New Roman"/>
    </w:rPr>
  </w:style>
  <w:style w:type="paragraph" w:customStyle="1" w:styleId="ConsNormal">
    <w:name w:val="ConsNormal"/>
    <w:uiPriority w:val="99"/>
    <w:rsid w:val="00226D6F"/>
    <w:pPr>
      <w:widowControl w:val="0"/>
      <w:autoSpaceDE w:val="0"/>
      <w:autoSpaceDN w:val="0"/>
      <w:adjustRightInd w:val="0"/>
      <w:ind w:right="19772" w:firstLine="720"/>
    </w:pPr>
    <w:rPr>
      <w:rFonts w:ascii="Arial" w:hAnsi="Arial" w:cs="Arial"/>
      <w:sz w:val="20"/>
      <w:szCs w:val="20"/>
    </w:rPr>
  </w:style>
  <w:style w:type="character" w:customStyle="1" w:styleId="FontStyle11">
    <w:name w:val="Font Style11"/>
    <w:basedOn w:val="DefaultParagraphFont"/>
    <w:uiPriority w:val="99"/>
    <w:rsid w:val="00226D6F"/>
    <w:rPr>
      <w:rFonts w:ascii="Times New Roman" w:hAnsi="Times New Roman" w:cs="Times New Roman"/>
      <w:sz w:val="24"/>
      <w:szCs w:val="24"/>
    </w:rPr>
  </w:style>
  <w:style w:type="character" w:customStyle="1" w:styleId="b-news-groupsnews-description">
    <w:name w:val="b-news-groups__news-description"/>
    <w:basedOn w:val="DefaultParagraphFont"/>
    <w:uiPriority w:val="99"/>
    <w:rsid w:val="00376494"/>
    <w:rPr>
      <w:rFonts w:cs="Times New Roman"/>
    </w:rPr>
  </w:style>
  <w:style w:type="character" w:customStyle="1" w:styleId="13">
    <w:name w:val="Знак Знак1"/>
    <w:basedOn w:val="DefaultParagraphFont"/>
    <w:uiPriority w:val="99"/>
    <w:rsid w:val="00A64DB1"/>
    <w:rPr>
      <w:rFonts w:cs="Times New Roman"/>
      <w:lang w:val="ru-RU" w:eastAsia="ru-RU"/>
    </w:rPr>
  </w:style>
  <w:style w:type="paragraph" w:customStyle="1" w:styleId="20">
    <w:name w:val="Знак2 Знак Знак Знак"/>
    <w:basedOn w:val="Normal"/>
    <w:uiPriority w:val="99"/>
    <w:rsid w:val="002D77DE"/>
    <w:rPr>
      <w:rFonts w:ascii="Verdana" w:hAnsi="Verdana" w:cs="Verdana"/>
      <w:lang w:val="en-US" w:eastAsia="en-US"/>
    </w:rPr>
  </w:style>
  <w:style w:type="character" w:customStyle="1" w:styleId="blk">
    <w:name w:val="blk"/>
    <w:basedOn w:val="DefaultParagraphFont"/>
    <w:uiPriority w:val="99"/>
    <w:rsid w:val="00CA6373"/>
    <w:rPr>
      <w:rFonts w:cs="Times New Roman"/>
    </w:rPr>
  </w:style>
  <w:style w:type="paragraph" w:customStyle="1" w:styleId="14">
    <w:name w:val="Без интервала1"/>
    <w:uiPriority w:val="99"/>
    <w:rsid w:val="00795BC1"/>
    <w:rPr>
      <w:rFonts w:ascii="Calibri" w:hAnsi="Calibri" w:cs="Calibri"/>
    </w:rPr>
  </w:style>
  <w:style w:type="paragraph" w:customStyle="1" w:styleId="21">
    <w:name w:val="Знак2 Знак Знак Знак1"/>
    <w:basedOn w:val="Normal"/>
    <w:uiPriority w:val="99"/>
    <w:rsid w:val="00C94023"/>
    <w:rPr>
      <w:rFonts w:ascii="Verdana" w:hAnsi="Verdana" w:cs="Verdana"/>
      <w:lang w:val="en-US" w:eastAsia="en-US"/>
    </w:rPr>
  </w:style>
  <w:style w:type="paragraph" w:customStyle="1" w:styleId="MainText">
    <w:name w:val="MainText"/>
    <w:uiPriority w:val="99"/>
    <w:rsid w:val="00C15B85"/>
    <w:pPr>
      <w:overflowPunct w:val="0"/>
      <w:autoSpaceDE w:val="0"/>
      <w:autoSpaceDN w:val="0"/>
      <w:adjustRightInd w:val="0"/>
      <w:ind w:firstLine="567"/>
      <w:jc w:val="both"/>
    </w:pPr>
    <w:rPr>
      <w:rFonts w:ascii="PragmaticaC" w:hAnsi="PragmaticaC" w:cs="PragmaticaC"/>
      <w:color w:val="000000"/>
      <w:sz w:val="19"/>
      <w:szCs w:val="19"/>
      <w:lang w:val="en-US" w:eastAsia="en-US"/>
    </w:rPr>
  </w:style>
  <w:style w:type="paragraph" w:customStyle="1" w:styleId="Default">
    <w:name w:val="Default"/>
    <w:uiPriority w:val="99"/>
    <w:rsid w:val="003E01A1"/>
    <w:pPr>
      <w:autoSpaceDE w:val="0"/>
      <w:autoSpaceDN w:val="0"/>
      <w:adjustRightInd w:val="0"/>
    </w:pPr>
    <w:rPr>
      <w:color w:val="000000"/>
      <w:sz w:val="24"/>
      <w:szCs w:val="24"/>
    </w:rPr>
  </w:style>
  <w:style w:type="paragraph" w:customStyle="1" w:styleId="15">
    <w:name w:val="1"/>
    <w:basedOn w:val="Normal"/>
    <w:uiPriority w:val="99"/>
    <w:rsid w:val="00E92484"/>
    <w:rPr>
      <w:rFonts w:ascii="Verdana" w:hAnsi="Verdana" w:cs="Verdana"/>
      <w:lang w:val="en-US" w:eastAsia="en-US"/>
    </w:rPr>
  </w:style>
  <w:style w:type="paragraph" w:customStyle="1" w:styleId="ListParagraph1">
    <w:name w:val="List Paragraph1"/>
    <w:basedOn w:val="Normal"/>
    <w:uiPriority w:val="99"/>
    <w:rsid w:val="00531652"/>
    <w:pPr>
      <w:spacing w:after="200" w:line="276" w:lineRule="auto"/>
      <w:ind w:left="720"/>
    </w:pPr>
    <w:rPr>
      <w:rFonts w:ascii="Calibri" w:hAnsi="Calibri" w:cs="Calibri"/>
      <w:sz w:val="22"/>
      <w:szCs w:val="22"/>
      <w:lang w:eastAsia="en-US"/>
    </w:rPr>
  </w:style>
  <w:style w:type="paragraph" w:customStyle="1" w:styleId="110">
    <w:name w:val="Знак Знак Знак Знак Знак Знак1 Знак Знак Знак Знак Знак Знак Знак Знак Знак Знак1"/>
    <w:basedOn w:val="Normal"/>
    <w:uiPriority w:val="99"/>
    <w:rsid w:val="00D41471"/>
    <w:pPr>
      <w:spacing w:after="160" w:line="240" w:lineRule="exact"/>
    </w:pPr>
    <w:rPr>
      <w:rFonts w:ascii="Verdana" w:hAnsi="Verdana" w:cs="Verdana"/>
      <w:lang w:val="en-US" w:eastAsia="en-US"/>
    </w:rPr>
  </w:style>
  <w:style w:type="paragraph" w:customStyle="1" w:styleId="ConsPlusNormal">
    <w:name w:val="ConsPlusNormal"/>
    <w:uiPriority w:val="99"/>
    <w:rsid w:val="00A64E05"/>
    <w:pPr>
      <w:widowControl w:val="0"/>
      <w:autoSpaceDE w:val="0"/>
      <w:autoSpaceDN w:val="0"/>
      <w:adjustRightInd w:val="0"/>
    </w:pPr>
    <w:rPr>
      <w:rFonts w:ascii="Arial" w:hAnsi="Arial" w:cs="Arial"/>
      <w:sz w:val="20"/>
      <w:szCs w:val="20"/>
    </w:rPr>
  </w:style>
  <w:style w:type="paragraph" w:customStyle="1" w:styleId="Style6">
    <w:name w:val="Style6"/>
    <w:basedOn w:val="Normal"/>
    <w:uiPriority w:val="99"/>
    <w:rsid w:val="00CE4FF8"/>
    <w:pPr>
      <w:widowControl w:val="0"/>
      <w:autoSpaceDE w:val="0"/>
      <w:autoSpaceDN w:val="0"/>
      <w:adjustRightInd w:val="0"/>
      <w:spacing w:line="226" w:lineRule="exact"/>
      <w:ind w:firstLine="580"/>
      <w:jc w:val="both"/>
    </w:pPr>
    <w:rPr>
      <w:sz w:val="24"/>
      <w:szCs w:val="24"/>
    </w:rPr>
  </w:style>
  <w:style w:type="character" w:customStyle="1" w:styleId="FontStyle13">
    <w:name w:val="Font Style13"/>
    <w:basedOn w:val="DefaultParagraphFont"/>
    <w:uiPriority w:val="99"/>
    <w:rsid w:val="00CE4FF8"/>
    <w:rPr>
      <w:rFonts w:ascii="Times New Roman" w:hAnsi="Times New Roman" w:cs="Times New Roman"/>
      <w:sz w:val="18"/>
      <w:szCs w:val="18"/>
    </w:rPr>
  </w:style>
  <w:style w:type="character" w:customStyle="1" w:styleId="FontStyle14">
    <w:name w:val="Font Style14"/>
    <w:basedOn w:val="DefaultParagraphFont"/>
    <w:uiPriority w:val="99"/>
    <w:rsid w:val="00CE4FF8"/>
    <w:rPr>
      <w:rFonts w:ascii="Times New Roman" w:hAnsi="Times New Roman" w:cs="Times New Roman"/>
      <w:b/>
      <w:bCs/>
      <w:i/>
      <w:iCs/>
      <w:sz w:val="16"/>
      <w:szCs w:val="16"/>
    </w:rPr>
  </w:style>
  <w:style w:type="paragraph" w:customStyle="1" w:styleId="Style4">
    <w:name w:val="Style4"/>
    <w:basedOn w:val="Normal"/>
    <w:uiPriority w:val="99"/>
    <w:rsid w:val="00403E66"/>
    <w:pPr>
      <w:widowControl w:val="0"/>
      <w:autoSpaceDE w:val="0"/>
      <w:autoSpaceDN w:val="0"/>
      <w:adjustRightInd w:val="0"/>
      <w:spacing w:line="267" w:lineRule="exact"/>
      <w:ind w:firstLine="720"/>
      <w:jc w:val="both"/>
    </w:pPr>
    <w:rPr>
      <w:sz w:val="24"/>
      <w:szCs w:val="24"/>
    </w:rPr>
  </w:style>
  <w:style w:type="paragraph" w:customStyle="1" w:styleId="16">
    <w:name w:val="Обычный1"/>
    <w:uiPriority w:val="99"/>
    <w:rsid w:val="0075144C"/>
    <w:pPr>
      <w:spacing w:before="100" w:after="100"/>
    </w:pPr>
    <w:rPr>
      <w:sz w:val="24"/>
      <w:szCs w:val="20"/>
    </w:rPr>
  </w:style>
  <w:style w:type="paragraph" w:customStyle="1" w:styleId="ConsPlusNonformat">
    <w:name w:val="ConsPlusNonformat"/>
    <w:uiPriority w:val="99"/>
    <w:rsid w:val="004A7DE1"/>
    <w:pPr>
      <w:ind w:firstLine="709"/>
    </w:pPr>
    <w:rPr>
      <w:rFonts w:ascii="Courier New" w:hAnsi="Courier New" w:cs="Courier New"/>
      <w:sz w:val="20"/>
      <w:szCs w:val="20"/>
    </w:rPr>
  </w:style>
  <w:style w:type="paragraph" w:styleId="ListParagraph">
    <w:name w:val="List Paragraph"/>
    <w:basedOn w:val="Normal"/>
    <w:uiPriority w:val="99"/>
    <w:qFormat/>
    <w:rsid w:val="004A7DE1"/>
    <w:pPr>
      <w:ind w:left="720" w:firstLine="709"/>
    </w:pPr>
  </w:style>
  <w:style w:type="paragraph" w:styleId="EndnoteText">
    <w:name w:val="endnote text"/>
    <w:basedOn w:val="Normal"/>
    <w:link w:val="EndnoteTextChar"/>
    <w:uiPriority w:val="99"/>
    <w:rsid w:val="004A7DE1"/>
    <w:pPr>
      <w:ind w:firstLine="709"/>
    </w:pPr>
  </w:style>
  <w:style w:type="character" w:customStyle="1" w:styleId="EndnoteTextChar">
    <w:name w:val="Endnote Text Char"/>
    <w:basedOn w:val="DefaultParagraphFont"/>
    <w:link w:val="EndnoteText"/>
    <w:uiPriority w:val="99"/>
    <w:locked/>
    <w:rsid w:val="004A7DE1"/>
    <w:rPr>
      <w:rFonts w:cs="Times New Roman"/>
    </w:rPr>
  </w:style>
  <w:style w:type="character" w:styleId="EndnoteReference">
    <w:name w:val="endnote reference"/>
    <w:basedOn w:val="DefaultParagraphFont"/>
    <w:uiPriority w:val="99"/>
    <w:rsid w:val="004A7DE1"/>
    <w:rPr>
      <w:rFonts w:cs="Times New Roman"/>
      <w:vertAlign w:val="superscript"/>
    </w:rPr>
  </w:style>
  <w:style w:type="character" w:customStyle="1" w:styleId="8">
    <w:name w:val="Знак Знак8"/>
    <w:basedOn w:val="DefaultParagraphFont"/>
    <w:uiPriority w:val="99"/>
    <w:semiHidden/>
    <w:locked/>
    <w:rsid w:val="00D719F1"/>
    <w:rPr>
      <w:rFonts w:ascii="Verdana" w:hAnsi="Verdana" w:cs="Verdana"/>
      <w:lang w:val="ru-RU" w:eastAsia="ru-RU" w:bidi="ar-SA"/>
    </w:rPr>
  </w:style>
  <w:style w:type="paragraph" w:customStyle="1" w:styleId="111">
    <w:name w:val="Обычный11"/>
    <w:uiPriority w:val="99"/>
    <w:rsid w:val="00DC6F94"/>
    <w:pPr>
      <w:spacing w:before="100" w:after="100"/>
    </w:pPr>
    <w:rPr>
      <w:sz w:val="24"/>
      <w:szCs w:val="20"/>
    </w:rPr>
  </w:style>
  <w:style w:type="paragraph" w:styleId="NoSpacing">
    <w:name w:val="No Spacing"/>
    <w:uiPriority w:val="99"/>
    <w:qFormat/>
    <w:rsid w:val="00DC6F94"/>
    <w:rPr>
      <w:rFonts w:ascii="Calibri" w:hAnsi="Calibri"/>
    </w:rPr>
  </w:style>
  <w:style w:type="character" w:customStyle="1" w:styleId="margin">
    <w:name w:val="margin"/>
    <w:basedOn w:val="DefaultParagraphFont"/>
    <w:uiPriority w:val="99"/>
    <w:rsid w:val="00DC6F94"/>
    <w:rPr>
      <w:rFonts w:cs="Times New Roman"/>
    </w:rPr>
  </w:style>
  <w:style w:type="character" w:customStyle="1" w:styleId="st">
    <w:name w:val="st"/>
    <w:basedOn w:val="DefaultParagraphFont"/>
    <w:uiPriority w:val="99"/>
    <w:rsid w:val="003A349A"/>
    <w:rPr>
      <w:rFonts w:cs="Times New Roman"/>
      <w:lang w:val="ru-RU"/>
    </w:rPr>
  </w:style>
  <w:style w:type="character" w:customStyle="1" w:styleId="FontStyle64">
    <w:name w:val="Font Style64"/>
    <w:basedOn w:val="DefaultParagraphFont"/>
    <w:uiPriority w:val="99"/>
    <w:rsid w:val="009F003C"/>
    <w:rPr>
      <w:rFonts w:ascii="Book Antiqua" w:hAnsi="Book Antiqua" w:cs="Book Antiqua"/>
      <w:sz w:val="18"/>
      <w:szCs w:val="18"/>
    </w:rPr>
  </w:style>
  <w:style w:type="character" w:customStyle="1" w:styleId="17">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DefaultParagraphFont"/>
    <w:uiPriority w:val="99"/>
    <w:locked/>
    <w:rsid w:val="00980420"/>
    <w:rPr>
      <w:rFonts w:cs="Times New Roman"/>
      <w:lang w:val="ru-RU" w:eastAsia="ru-RU" w:bidi="ar-SA"/>
    </w:rPr>
  </w:style>
  <w:style w:type="paragraph" w:customStyle="1" w:styleId="hyphenator502hide">
    <w:name w:val="hyphenator502hide"/>
    <w:basedOn w:val="Normal"/>
    <w:uiPriority w:val="99"/>
    <w:rsid w:val="00FA6300"/>
    <w:pPr>
      <w:spacing w:before="100" w:beforeAutospacing="1" w:after="100" w:afterAutospacing="1"/>
    </w:pPr>
    <w:rPr>
      <w:sz w:val="24"/>
      <w:szCs w:val="24"/>
    </w:rPr>
  </w:style>
  <w:style w:type="character" w:customStyle="1" w:styleId="a0">
    <w:name w:val="Заголовок Знак"/>
    <w:uiPriority w:val="99"/>
    <w:locked/>
    <w:rsid w:val="00B826DC"/>
    <w:rPr>
      <w:rFonts w:ascii="Cambria" w:hAnsi="Cambria"/>
      <w:b/>
      <w:kern w:val="28"/>
      <w:sz w:val="32"/>
    </w:rPr>
  </w:style>
  <w:style w:type="character" w:customStyle="1" w:styleId="18">
    <w:name w:val="Текст Знак1"/>
    <w:aliases w:val="Текст Знак1 Знак1 Знак,Текст Знак Знак Знак1 Знак,Знак Знак2 Знак,Знак Знак Знак1 Знак,Знак Знак Знак Знак Знак1 Знак,Текст Знак2 Знак Знак1 Знак,Текст Знак1 Знак1 Знак Знак1 Знак,Текст Знак Знак Знак1 Знак Знак1 Знак,Текст Зн Знак"/>
    <w:uiPriority w:val="99"/>
    <w:locked/>
    <w:rsid w:val="00B826DC"/>
    <w:rPr>
      <w:rFonts w:ascii="Courier New" w:hAnsi="Courier New"/>
      <w:sz w:val="20"/>
    </w:rPr>
  </w:style>
  <w:style w:type="paragraph" w:styleId="Caption">
    <w:name w:val="caption"/>
    <w:basedOn w:val="Normal"/>
    <w:next w:val="Normal"/>
    <w:uiPriority w:val="99"/>
    <w:qFormat/>
    <w:locked/>
    <w:rsid w:val="00B826DC"/>
    <w:pPr>
      <w:tabs>
        <w:tab w:val="left" w:pos="900"/>
      </w:tabs>
      <w:ind w:firstLine="567"/>
      <w:jc w:val="both"/>
    </w:pPr>
    <w:rPr>
      <w:color w:val="FF0000"/>
      <w:sz w:val="24"/>
      <w:szCs w:val="24"/>
    </w:rPr>
  </w:style>
  <w:style w:type="character" w:customStyle="1" w:styleId="fce729a3b9-b71d-465b-b2c8-45dd450aeb19-1">
    <w:name w:val="fce729a3b9-b71d-465b-b2c8-45dd450aeb19-1"/>
    <w:uiPriority w:val="99"/>
    <w:rsid w:val="00B826DC"/>
  </w:style>
  <w:style w:type="character" w:customStyle="1" w:styleId="fc01b89789-3ce8-47c3-a9c6-9f9de0cd4260-1">
    <w:name w:val="fc01b89789-3ce8-47c3-a9c6-9f9de0cd4260-1"/>
    <w:uiPriority w:val="99"/>
    <w:rsid w:val="00B826DC"/>
  </w:style>
  <w:style w:type="paragraph" w:customStyle="1" w:styleId="3">
    <w:name w:val="Обычный3"/>
    <w:uiPriority w:val="99"/>
    <w:rsid w:val="00842545"/>
    <w:pPr>
      <w:spacing w:before="100" w:after="100"/>
    </w:pPr>
    <w:rPr>
      <w:sz w:val="24"/>
      <w:szCs w:val="20"/>
    </w:rPr>
  </w:style>
  <w:style w:type="paragraph" w:customStyle="1" w:styleId="a1">
    <w:name w:val="Основной текст с отступом.Основной текст без отступа.Основной текст с отступом среднее письмо"/>
    <w:basedOn w:val="Normal"/>
    <w:uiPriority w:val="99"/>
    <w:rsid w:val="00115BDD"/>
    <w:pPr>
      <w:spacing w:line="360" w:lineRule="auto"/>
      <w:ind w:firstLine="709"/>
      <w:jc w:val="both"/>
    </w:pPr>
    <w:rPr>
      <w:sz w:val="24"/>
      <w:szCs w:val="24"/>
    </w:rPr>
  </w:style>
  <w:style w:type="character" w:customStyle="1" w:styleId="newscontent">
    <w:name w:val="newscontent"/>
    <w:basedOn w:val="DefaultParagraphFont"/>
    <w:uiPriority w:val="99"/>
    <w:rsid w:val="007A3B6C"/>
    <w:rPr>
      <w:rFonts w:cs="Times New Roman"/>
    </w:rPr>
  </w:style>
  <w:style w:type="paragraph" w:styleId="IntenseQuote">
    <w:name w:val="Intense Quote"/>
    <w:basedOn w:val="Normal"/>
    <w:next w:val="Normal"/>
    <w:link w:val="IntenseQuoteChar"/>
    <w:uiPriority w:val="99"/>
    <w:qFormat/>
    <w:rsid w:val="009A33A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A33AE"/>
    <w:rPr>
      <w:rFonts w:cs="Times New Roman"/>
      <w:b/>
      <w:bCs/>
      <w:i/>
      <w:iCs/>
      <w:color w:val="4F81BD"/>
    </w:rPr>
  </w:style>
  <w:style w:type="character" w:customStyle="1" w:styleId="b-articleintro">
    <w:name w:val="b-article__intro"/>
    <w:basedOn w:val="DefaultParagraphFont"/>
    <w:uiPriority w:val="99"/>
    <w:rsid w:val="00237BFB"/>
    <w:rPr>
      <w:rFonts w:cs="Times New Roman"/>
    </w:rPr>
  </w:style>
</w:styles>
</file>

<file path=word/webSettings.xml><?xml version="1.0" encoding="utf-8"?>
<w:webSettings xmlns:r="http://schemas.openxmlformats.org/officeDocument/2006/relationships" xmlns:w="http://schemas.openxmlformats.org/wordprocessingml/2006/main">
  <w:divs>
    <w:div w:id="511646046">
      <w:marLeft w:val="0"/>
      <w:marRight w:val="0"/>
      <w:marTop w:val="0"/>
      <w:marBottom w:val="0"/>
      <w:divBdr>
        <w:top w:val="none" w:sz="0" w:space="0" w:color="auto"/>
        <w:left w:val="none" w:sz="0" w:space="0" w:color="auto"/>
        <w:bottom w:val="none" w:sz="0" w:space="0" w:color="auto"/>
        <w:right w:val="none" w:sz="0" w:space="0" w:color="auto"/>
      </w:divBdr>
    </w:div>
    <w:div w:id="511646047">
      <w:marLeft w:val="0"/>
      <w:marRight w:val="0"/>
      <w:marTop w:val="0"/>
      <w:marBottom w:val="0"/>
      <w:divBdr>
        <w:top w:val="none" w:sz="0" w:space="0" w:color="auto"/>
        <w:left w:val="none" w:sz="0" w:space="0" w:color="auto"/>
        <w:bottom w:val="none" w:sz="0" w:space="0" w:color="auto"/>
        <w:right w:val="none" w:sz="0" w:space="0" w:color="auto"/>
      </w:divBdr>
    </w:div>
    <w:div w:id="511646048">
      <w:marLeft w:val="0"/>
      <w:marRight w:val="0"/>
      <w:marTop w:val="0"/>
      <w:marBottom w:val="0"/>
      <w:divBdr>
        <w:top w:val="none" w:sz="0" w:space="0" w:color="auto"/>
        <w:left w:val="none" w:sz="0" w:space="0" w:color="auto"/>
        <w:bottom w:val="none" w:sz="0" w:space="0" w:color="auto"/>
        <w:right w:val="none" w:sz="0" w:space="0" w:color="auto"/>
      </w:divBdr>
    </w:div>
    <w:div w:id="511646049">
      <w:marLeft w:val="0"/>
      <w:marRight w:val="0"/>
      <w:marTop w:val="0"/>
      <w:marBottom w:val="0"/>
      <w:divBdr>
        <w:top w:val="none" w:sz="0" w:space="0" w:color="auto"/>
        <w:left w:val="none" w:sz="0" w:space="0" w:color="auto"/>
        <w:bottom w:val="none" w:sz="0" w:space="0" w:color="auto"/>
        <w:right w:val="none" w:sz="0" w:space="0" w:color="auto"/>
      </w:divBdr>
    </w:div>
    <w:div w:id="511646050">
      <w:marLeft w:val="0"/>
      <w:marRight w:val="0"/>
      <w:marTop w:val="0"/>
      <w:marBottom w:val="0"/>
      <w:divBdr>
        <w:top w:val="none" w:sz="0" w:space="0" w:color="auto"/>
        <w:left w:val="none" w:sz="0" w:space="0" w:color="auto"/>
        <w:bottom w:val="none" w:sz="0" w:space="0" w:color="auto"/>
        <w:right w:val="none" w:sz="0" w:space="0" w:color="auto"/>
      </w:divBdr>
    </w:div>
    <w:div w:id="511646051">
      <w:marLeft w:val="0"/>
      <w:marRight w:val="0"/>
      <w:marTop w:val="0"/>
      <w:marBottom w:val="0"/>
      <w:divBdr>
        <w:top w:val="none" w:sz="0" w:space="0" w:color="auto"/>
        <w:left w:val="none" w:sz="0" w:space="0" w:color="auto"/>
        <w:bottom w:val="none" w:sz="0" w:space="0" w:color="auto"/>
        <w:right w:val="none" w:sz="0" w:space="0" w:color="auto"/>
      </w:divBdr>
    </w:div>
    <w:div w:id="511646053">
      <w:marLeft w:val="0"/>
      <w:marRight w:val="0"/>
      <w:marTop w:val="0"/>
      <w:marBottom w:val="0"/>
      <w:divBdr>
        <w:top w:val="none" w:sz="0" w:space="0" w:color="auto"/>
        <w:left w:val="none" w:sz="0" w:space="0" w:color="auto"/>
        <w:bottom w:val="none" w:sz="0" w:space="0" w:color="auto"/>
        <w:right w:val="none" w:sz="0" w:space="0" w:color="auto"/>
      </w:divBdr>
      <w:divsChild>
        <w:div w:id="511646052">
          <w:marLeft w:val="0"/>
          <w:marRight w:val="0"/>
          <w:marTop w:val="0"/>
          <w:marBottom w:val="0"/>
          <w:divBdr>
            <w:top w:val="none" w:sz="0" w:space="0" w:color="auto"/>
            <w:left w:val="none" w:sz="0" w:space="0" w:color="auto"/>
            <w:bottom w:val="none" w:sz="0" w:space="0" w:color="auto"/>
            <w:right w:val="none" w:sz="0" w:space="0" w:color="auto"/>
          </w:divBdr>
        </w:div>
      </w:divsChild>
    </w:div>
    <w:div w:id="511646054">
      <w:marLeft w:val="0"/>
      <w:marRight w:val="0"/>
      <w:marTop w:val="0"/>
      <w:marBottom w:val="0"/>
      <w:divBdr>
        <w:top w:val="none" w:sz="0" w:space="0" w:color="auto"/>
        <w:left w:val="none" w:sz="0" w:space="0" w:color="auto"/>
        <w:bottom w:val="none" w:sz="0" w:space="0" w:color="auto"/>
        <w:right w:val="none" w:sz="0" w:space="0" w:color="auto"/>
      </w:divBdr>
    </w:div>
    <w:div w:id="511646055">
      <w:marLeft w:val="0"/>
      <w:marRight w:val="0"/>
      <w:marTop w:val="0"/>
      <w:marBottom w:val="0"/>
      <w:divBdr>
        <w:top w:val="none" w:sz="0" w:space="0" w:color="auto"/>
        <w:left w:val="none" w:sz="0" w:space="0" w:color="auto"/>
        <w:bottom w:val="none" w:sz="0" w:space="0" w:color="auto"/>
        <w:right w:val="none" w:sz="0" w:space="0" w:color="auto"/>
      </w:divBdr>
    </w:div>
    <w:div w:id="511646056">
      <w:marLeft w:val="0"/>
      <w:marRight w:val="0"/>
      <w:marTop w:val="0"/>
      <w:marBottom w:val="0"/>
      <w:divBdr>
        <w:top w:val="none" w:sz="0" w:space="0" w:color="auto"/>
        <w:left w:val="none" w:sz="0" w:space="0" w:color="auto"/>
        <w:bottom w:val="none" w:sz="0" w:space="0" w:color="auto"/>
        <w:right w:val="none" w:sz="0" w:space="0" w:color="auto"/>
      </w:divBdr>
    </w:div>
    <w:div w:id="511646057">
      <w:marLeft w:val="0"/>
      <w:marRight w:val="0"/>
      <w:marTop w:val="0"/>
      <w:marBottom w:val="0"/>
      <w:divBdr>
        <w:top w:val="none" w:sz="0" w:space="0" w:color="auto"/>
        <w:left w:val="none" w:sz="0" w:space="0" w:color="auto"/>
        <w:bottom w:val="none" w:sz="0" w:space="0" w:color="auto"/>
        <w:right w:val="none" w:sz="0" w:space="0" w:color="auto"/>
      </w:divBdr>
    </w:div>
    <w:div w:id="511646058">
      <w:marLeft w:val="0"/>
      <w:marRight w:val="0"/>
      <w:marTop w:val="0"/>
      <w:marBottom w:val="0"/>
      <w:divBdr>
        <w:top w:val="none" w:sz="0" w:space="0" w:color="auto"/>
        <w:left w:val="none" w:sz="0" w:space="0" w:color="auto"/>
        <w:bottom w:val="none" w:sz="0" w:space="0" w:color="auto"/>
        <w:right w:val="none" w:sz="0" w:space="0" w:color="auto"/>
      </w:divBdr>
    </w:div>
    <w:div w:id="511646059">
      <w:marLeft w:val="0"/>
      <w:marRight w:val="0"/>
      <w:marTop w:val="0"/>
      <w:marBottom w:val="0"/>
      <w:divBdr>
        <w:top w:val="none" w:sz="0" w:space="0" w:color="auto"/>
        <w:left w:val="none" w:sz="0" w:space="0" w:color="auto"/>
        <w:bottom w:val="none" w:sz="0" w:space="0" w:color="auto"/>
        <w:right w:val="none" w:sz="0" w:space="0" w:color="auto"/>
      </w:divBdr>
    </w:div>
    <w:div w:id="511646060">
      <w:marLeft w:val="0"/>
      <w:marRight w:val="0"/>
      <w:marTop w:val="0"/>
      <w:marBottom w:val="0"/>
      <w:divBdr>
        <w:top w:val="none" w:sz="0" w:space="0" w:color="auto"/>
        <w:left w:val="none" w:sz="0" w:space="0" w:color="auto"/>
        <w:bottom w:val="none" w:sz="0" w:space="0" w:color="auto"/>
        <w:right w:val="none" w:sz="0" w:space="0" w:color="auto"/>
      </w:divBdr>
    </w:div>
    <w:div w:id="511646061">
      <w:marLeft w:val="0"/>
      <w:marRight w:val="0"/>
      <w:marTop w:val="0"/>
      <w:marBottom w:val="0"/>
      <w:divBdr>
        <w:top w:val="none" w:sz="0" w:space="0" w:color="auto"/>
        <w:left w:val="none" w:sz="0" w:space="0" w:color="auto"/>
        <w:bottom w:val="none" w:sz="0" w:space="0" w:color="auto"/>
        <w:right w:val="none" w:sz="0" w:space="0" w:color="auto"/>
      </w:divBdr>
    </w:div>
    <w:div w:id="511646062">
      <w:marLeft w:val="0"/>
      <w:marRight w:val="0"/>
      <w:marTop w:val="0"/>
      <w:marBottom w:val="0"/>
      <w:divBdr>
        <w:top w:val="none" w:sz="0" w:space="0" w:color="auto"/>
        <w:left w:val="none" w:sz="0" w:space="0" w:color="auto"/>
        <w:bottom w:val="none" w:sz="0" w:space="0" w:color="auto"/>
        <w:right w:val="none" w:sz="0" w:space="0" w:color="auto"/>
      </w:divBdr>
    </w:div>
    <w:div w:id="511646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1055;&#1086;&#1083;&#1086;&#1078;&#1077;&#1085;&#1080;&#1103;/2009/91/N%2091-&#1055;%20&#1086;&#1090;%2010.11.2009.doc" TargetMode="External"/><Relationship Id="rId4" Type="http://schemas.openxmlformats.org/officeDocument/2006/relationships/webSettings" Target="webSettings.xml"/><Relationship Id="rId9" Type="http://schemas.openxmlformats.org/officeDocument/2006/relationships/hyperlink" Target="../../&#1055;&#1086;&#1083;&#1086;&#1078;&#1077;&#1085;&#1080;&#1103;/2009/91/N%2091-&#1055;%20&#1086;&#1090;%2010.11.200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58</Pages>
  <Words>27242</Words>
  <Characters>-32766</Characters>
  <Application>Microsoft Office Outlook</Application>
  <DocSecurity>0</DocSecurity>
  <Lines>0</Lines>
  <Paragraphs>0</Paragraphs>
  <ScaleCrop>false</ScaleCrop>
  <Company>PRB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Мельник М.В.</dc:creator>
  <cp:keywords/>
  <dc:description/>
  <cp:lastModifiedBy>Pro</cp:lastModifiedBy>
  <cp:revision>14</cp:revision>
  <cp:lastPrinted>2019-06-27T05:39:00Z</cp:lastPrinted>
  <dcterms:created xsi:type="dcterms:W3CDTF">2019-04-11T13:36:00Z</dcterms:created>
  <dcterms:modified xsi:type="dcterms:W3CDTF">2019-06-27T05:42:00Z</dcterms:modified>
</cp:coreProperties>
</file>