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DA61C" w14:textId="77777777" w:rsidR="00185204" w:rsidRPr="00185204" w:rsidRDefault="00185204" w:rsidP="00185204">
      <w:pPr>
        <w:spacing w:before="0" w:after="0" w:line="240" w:lineRule="auto"/>
        <w:ind w:left="3544" w:right="-1"/>
        <w:jc w:val="right"/>
        <w:outlineLvl w:val="0"/>
        <w:rPr>
          <w:rFonts w:ascii="Times New Roman" w:hAnsi="Times New Roman" w:cs="Times New Roman"/>
          <w:bCs/>
          <w:sz w:val="28"/>
          <w:szCs w:val="28"/>
        </w:rPr>
      </w:pPr>
      <w:r w:rsidRPr="00185204">
        <w:rPr>
          <w:rFonts w:ascii="Times New Roman" w:hAnsi="Times New Roman" w:cs="Times New Roman"/>
          <w:bCs/>
          <w:sz w:val="28"/>
          <w:szCs w:val="28"/>
        </w:rPr>
        <w:t xml:space="preserve">Приложение </w:t>
      </w:r>
    </w:p>
    <w:p w14:paraId="71AA69D1" w14:textId="77777777" w:rsidR="00185204" w:rsidRPr="00185204" w:rsidRDefault="00185204" w:rsidP="00185204">
      <w:pPr>
        <w:spacing w:before="0" w:after="0" w:line="240" w:lineRule="auto"/>
        <w:ind w:left="3544" w:right="-1"/>
        <w:jc w:val="right"/>
        <w:outlineLvl w:val="0"/>
        <w:rPr>
          <w:rFonts w:ascii="Times New Roman" w:hAnsi="Times New Roman" w:cs="Times New Roman"/>
          <w:bCs/>
          <w:sz w:val="28"/>
          <w:szCs w:val="28"/>
        </w:rPr>
      </w:pPr>
      <w:r w:rsidRPr="00185204">
        <w:rPr>
          <w:rFonts w:ascii="Times New Roman" w:hAnsi="Times New Roman" w:cs="Times New Roman"/>
          <w:bCs/>
          <w:sz w:val="28"/>
          <w:szCs w:val="28"/>
        </w:rPr>
        <w:t>к Постановлению Верховного Совета</w:t>
      </w:r>
    </w:p>
    <w:p w14:paraId="31AA7B7A" w14:textId="77777777" w:rsidR="00185204" w:rsidRPr="00185204" w:rsidRDefault="00185204" w:rsidP="00185204">
      <w:pPr>
        <w:spacing w:before="0" w:after="0" w:line="240" w:lineRule="auto"/>
        <w:ind w:left="3544" w:right="-1"/>
        <w:jc w:val="right"/>
        <w:outlineLvl w:val="0"/>
        <w:rPr>
          <w:rFonts w:ascii="Times New Roman" w:hAnsi="Times New Roman" w:cs="Times New Roman"/>
          <w:bCs/>
          <w:sz w:val="28"/>
          <w:szCs w:val="28"/>
        </w:rPr>
      </w:pPr>
      <w:r w:rsidRPr="00185204">
        <w:rPr>
          <w:rFonts w:ascii="Times New Roman" w:hAnsi="Times New Roman" w:cs="Times New Roman"/>
          <w:bCs/>
          <w:sz w:val="28"/>
          <w:szCs w:val="28"/>
        </w:rPr>
        <w:t>Приднестровской Молдавской Республики</w:t>
      </w:r>
    </w:p>
    <w:p w14:paraId="744FB73B" w14:textId="161B02C7" w:rsidR="00185204" w:rsidRPr="00185204" w:rsidRDefault="00185204" w:rsidP="00185204">
      <w:pPr>
        <w:pStyle w:val="a5"/>
        <w:spacing w:before="0" w:after="0" w:line="240" w:lineRule="auto"/>
        <w:ind w:left="3544"/>
        <w:jc w:val="right"/>
        <w:rPr>
          <w:rFonts w:ascii="Times New Roman" w:hAnsi="Times New Roman" w:cs="Times New Roman"/>
          <w:bCs/>
          <w:sz w:val="28"/>
          <w:szCs w:val="28"/>
        </w:rPr>
      </w:pPr>
      <w:r>
        <w:rPr>
          <w:rFonts w:ascii="Times New Roman" w:hAnsi="Times New Roman" w:cs="Times New Roman"/>
          <w:bCs/>
          <w:sz w:val="28"/>
          <w:szCs w:val="28"/>
        </w:rPr>
        <w:t>от 1</w:t>
      </w:r>
      <w:r w:rsidRPr="00185204">
        <w:rPr>
          <w:rFonts w:ascii="Times New Roman" w:hAnsi="Times New Roman" w:cs="Times New Roman"/>
          <w:bCs/>
          <w:sz w:val="28"/>
          <w:szCs w:val="28"/>
        </w:rPr>
        <w:t xml:space="preserve"> ию</w:t>
      </w:r>
      <w:r>
        <w:rPr>
          <w:rFonts w:ascii="Times New Roman" w:hAnsi="Times New Roman" w:cs="Times New Roman"/>
          <w:bCs/>
          <w:sz w:val="28"/>
          <w:szCs w:val="28"/>
        </w:rPr>
        <w:t>л</w:t>
      </w:r>
      <w:r w:rsidRPr="00185204">
        <w:rPr>
          <w:rFonts w:ascii="Times New Roman" w:hAnsi="Times New Roman" w:cs="Times New Roman"/>
          <w:bCs/>
          <w:sz w:val="28"/>
          <w:szCs w:val="28"/>
        </w:rPr>
        <w:t>я 20</w:t>
      </w:r>
      <w:r w:rsidR="00C55B35">
        <w:rPr>
          <w:rFonts w:ascii="Times New Roman" w:hAnsi="Times New Roman" w:cs="Times New Roman"/>
          <w:bCs/>
          <w:sz w:val="28"/>
          <w:szCs w:val="28"/>
        </w:rPr>
        <w:t>20</w:t>
      </w:r>
      <w:bookmarkStart w:id="0" w:name="_GoBack"/>
      <w:bookmarkEnd w:id="0"/>
      <w:r w:rsidRPr="00185204">
        <w:rPr>
          <w:rFonts w:ascii="Times New Roman" w:hAnsi="Times New Roman" w:cs="Times New Roman"/>
          <w:bCs/>
          <w:sz w:val="28"/>
          <w:szCs w:val="28"/>
        </w:rPr>
        <w:t xml:space="preserve"> года № </w:t>
      </w:r>
      <w:r>
        <w:rPr>
          <w:rFonts w:ascii="Times New Roman" w:hAnsi="Times New Roman" w:cs="Times New Roman"/>
          <w:bCs/>
          <w:sz w:val="28"/>
          <w:szCs w:val="28"/>
        </w:rPr>
        <w:t>349</w:t>
      </w:r>
      <w:r w:rsidR="00152AAB">
        <w:rPr>
          <w:rFonts w:ascii="Times New Roman" w:hAnsi="Times New Roman" w:cs="Times New Roman"/>
          <w:bCs/>
          <w:sz w:val="28"/>
          <w:szCs w:val="28"/>
        </w:rPr>
        <w:t>3</w:t>
      </w:r>
    </w:p>
    <w:p w14:paraId="77185CC0" w14:textId="77777777" w:rsidR="00185204" w:rsidRDefault="00185204" w:rsidP="00185204">
      <w:pPr>
        <w:autoSpaceDE w:val="0"/>
        <w:autoSpaceDN w:val="0"/>
        <w:adjustRightInd w:val="0"/>
        <w:spacing w:before="0" w:after="0" w:line="240" w:lineRule="auto"/>
        <w:ind w:firstLine="540"/>
        <w:jc w:val="right"/>
        <w:outlineLvl w:val="0"/>
        <w:rPr>
          <w:rFonts w:ascii="Times New Roman" w:hAnsi="Times New Roman" w:cs="Times New Roman"/>
          <w:sz w:val="28"/>
          <w:szCs w:val="28"/>
        </w:rPr>
      </w:pPr>
      <w:r w:rsidRPr="00185204">
        <w:rPr>
          <w:rFonts w:ascii="Times New Roman" w:hAnsi="Times New Roman" w:cs="Times New Roman"/>
          <w:bCs/>
          <w:sz w:val="28"/>
          <w:szCs w:val="28"/>
        </w:rPr>
        <w:t>«</w:t>
      </w:r>
      <w:r w:rsidRPr="00185204">
        <w:rPr>
          <w:rFonts w:ascii="Times New Roman" w:hAnsi="Times New Roman" w:cs="Times New Roman"/>
          <w:sz w:val="28"/>
          <w:szCs w:val="28"/>
        </w:rPr>
        <w:t xml:space="preserve">Об утверждении отчета </w:t>
      </w:r>
    </w:p>
    <w:p w14:paraId="4AB45CE9" w14:textId="77777777" w:rsidR="00185204" w:rsidRDefault="00185204" w:rsidP="00185204">
      <w:pPr>
        <w:autoSpaceDE w:val="0"/>
        <w:autoSpaceDN w:val="0"/>
        <w:adjustRightInd w:val="0"/>
        <w:spacing w:before="0" w:after="0" w:line="240" w:lineRule="auto"/>
        <w:ind w:firstLine="540"/>
        <w:jc w:val="right"/>
        <w:outlineLvl w:val="0"/>
        <w:rPr>
          <w:rFonts w:ascii="Times New Roman" w:hAnsi="Times New Roman" w:cs="Times New Roman"/>
          <w:sz w:val="28"/>
          <w:szCs w:val="28"/>
        </w:rPr>
      </w:pPr>
      <w:r w:rsidRPr="00185204">
        <w:rPr>
          <w:rFonts w:ascii="Times New Roman" w:hAnsi="Times New Roman" w:cs="Times New Roman"/>
          <w:sz w:val="28"/>
          <w:szCs w:val="28"/>
        </w:rPr>
        <w:t xml:space="preserve">Приднестровского республиканского </w:t>
      </w:r>
    </w:p>
    <w:p w14:paraId="6556ECE5" w14:textId="045D2FE3" w:rsidR="00185204" w:rsidRPr="00185204" w:rsidRDefault="00185204" w:rsidP="00185204">
      <w:pPr>
        <w:autoSpaceDE w:val="0"/>
        <w:autoSpaceDN w:val="0"/>
        <w:adjustRightInd w:val="0"/>
        <w:spacing w:before="0" w:after="0" w:line="240" w:lineRule="auto"/>
        <w:ind w:firstLine="540"/>
        <w:jc w:val="right"/>
        <w:outlineLvl w:val="0"/>
        <w:rPr>
          <w:rFonts w:ascii="Times New Roman" w:hAnsi="Times New Roman" w:cs="Times New Roman"/>
          <w:sz w:val="22"/>
          <w:szCs w:val="22"/>
        </w:rPr>
      </w:pPr>
      <w:r w:rsidRPr="00185204">
        <w:rPr>
          <w:rFonts w:ascii="Times New Roman" w:hAnsi="Times New Roman" w:cs="Times New Roman"/>
          <w:sz w:val="28"/>
          <w:szCs w:val="28"/>
        </w:rPr>
        <w:t>банка за 2019 год</w:t>
      </w:r>
      <w:r w:rsidRPr="00185204">
        <w:rPr>
          <w:rFonts w:ascii="Times New Roman" w:hAnsi="Times New Roman" w:cs="Times New Roman"/>
          <w:bCs/>
          <w:sz w:val="28"/>
          <w:szCs w:val="28"/>
        </w:rPr>
        <w:t>»</w:t>
      </w:r>
    </w:p>
    <w:p w14:paraId="4597385B" w14:textId="77777777" w:rsidR="00185204" w:rsidRDefault="00185204" w:rsidP="001160AB">
      <w:pPr>
        <w:jc w:val="center"/>
        <w:rPr>
          <w:rFonts w:asciiTheme="majorHAnsi" w:eastAsiaTheme="majorEastAsia" w:hAnsiTheme="majorHAnsi" w:cstheme="majorBidi"/>
          <w:color w:val="17365D" w:themeColor="text2" w:themeShade="BF"/>
          <w:spacing w:val="5"/>
          <w:kern w:val="28"/>
          <w:sz w:val="32"/>
          <w:szCs w:val="52"/>
        </w:rPr>
      </w:pPr>
    </w:p>
    <w:p w14:paraId="5559C2EA" w14:textId="77777777" w:rsidR="00185204" w:rsidRDefault="00185204" w:rsidP="001160AB">
      <w:pPr>
        <w:jc w:val="center"/>
        <w:rPr>
          <w:rFonts w:asciiTheme="majorHAnsi" w:eastAsiaTheme="majorEastAsia" w:hAnsiTheme="majorHAnsi" w:cstheme="majorBidi"/>
          <w:color w:val="17365D" w:themeColor="text2" w:themeShade="BF"/>
          <w:spacing w:val="5"/>
          <w:kern w:val="28"/>
          <w:sz w:val="32"/>
          <w:szCs w:val="52"/>
        </w:rPr>
      </w:pPr>
    </w:p>
    <w:p w14:paraId="28F1DC0C" w14:textId="77777777" w:rsidR="005416B5" w:rsidRPr="000D0F97" w:rsidRDefault="005416B5" w:rsidP="001160AB">
      <w:pPr>
        <w:jc w:val="center"/>
        <w:rPr>
          <w:rFonts w:asciiTheme="majorHAnsi" w:eastAsiaTheme="majorEastAsia" w:hAnsiTheme="majorHAnsi" w:cstheme="majorBidi"/>
          <w:color w:val="17365D" w:themeColor="text2" w:themeShade="BF"/>
          <w:spacing w:val="5"/>
          <w:kern w:val="28"/>
          <w:sz w:val="32"/>
          <w:szCs w:val="52"/>
        </w:rPr>
      </w:pPr>
      <w:r w:rsidRPr="000D0F97">
        <w:rPr>
          <w:rFonts w:asciiTheme="majorHAnsi" w:eastAsiaTheme="majorEastAsia" w:hAnsiTheme="majorHAnsi" w:cstheme="majorBidi"/>
          <w:color w:val="17365D" w:themeColor="text2" w:themeShade="BF"/>
          <w:spacing w:val="5"/>
          <w:kern w:val="28"/>
          <w:sz w:val="32"/>
          <w:szCs w:val="52"/>
        </w:rPr>
        <w:t xml:space="preserve">ЦЕНТРАЛЬНЫЙ БАНК </w:t>
      </w:r>
      <w:r w:rsidRPr="000D0F97">
        <w:rPr>
          <w:rFonts w:asciiTheme="majorHAnsi" w:eastAsiaTheme="majorEastAsia" w:hAnsiTheme="majorHAnsi" w:cstheme="majorBidi"/>
          <w:color w:val="17365D" w:themeColor="text2" w:themeShade="BF"/>
          <w:spacing w:val="5"/>
          <w:kern w:val="28"/>
          <w:sz w:val="32"/>
          <w:szCs w:val="52"/>
        </w:rPr>
        <w:br/>
        <w:t>ПРИДНЕСТРОВСКОЙ МОЛДАВСКОЙ РЕСПУБЛИКИ</w:t>
      </w:r>
    </w:p>
    <w:p w14:paraId="61937AD2" w14:textId="77777777" w:rsidR="005416B5" w:rsidRPr="000D0F97" w:rsidRDefault="005416B5" w:rsidP="001160AB">
      <w:pPr>
        <w:ind w:left="6521"/>
        <w:jc w:val="center"/>
        <w:rPr>
          <w:sz w:val="16"/>
        </w:rPr>
      </w:pPr>
    </w:p>
    <w:p w14:paraId="71DBA88C" w14:textId="77777777" w:rsidR="005416B5" w:rsidRPr="000D0F97" w:rsidRDefault="005416B5" w:rsidP="001160AB">
      <w:pPr>
        <w:ind w:left="6521"/>
        <w:jc w:val="center"/>
        <w:rPr>
          <w:sz w:val="16"/>
        </w:rPr>
      </w:pPr>
    </w:p>
    <w:p w14:paraId="12DDF008" w14:textId="77777777" w:rsidR="005416B5" w:rsidRPr="000D0F97" w:rsidRDefault="005416B5" w:rsidP="001160AB">
      <w:pPr>
        <w:pStyle w:val="af5"/>
        <w:widowControl w:val="0"/>
        <w:ind w:firstLine="709"/>
        <w:jc w:val="center"/>
        <w:rPr>
          <w:rFonts w:ascii="Times New Roman" w:hAnsi="Times New Roman" w:cs="Times New Roman"/>
          <w:b/>
          <w:bCs/>
          <w:szCs w:val="24"/>
        </w:rPr>
      </w:pPr>
    </w:p>
    <w:p w14:paraId="674E2F68" w14:textId="77777777" w:rsidR="005416B5" w:rsidRPr="00AC594F" w:rsidRDefault="005416B5" w:rsidP="001160AB">
      <w:pPr>
        <w:jc w:val="center"/>
        <w:rPr>
          <w:sz w:val="16"/>
          <w:highlight w:val="lightGray"/>
        </w:rPr>
      </w:pPr>
    </w:p>
    <w:p w14:paraId="3D7D9414" w14:textId="77777777" w:rsidR="005416B5" w:rsidRPr="00AC594F" w:rsidRDefault="005416B5" w:rsidP="001160AB">
      <w:pPr>
        <w:jc w:val="center"/>
        <w:rPr>
          <w:sz w:val="16"/>
          <w:highlight w:val="lightGray"/>
        </w:rPr>
      </w:pPr>
    </w:p>
    <w:p w14:paraId="15A6A14E" w14:textId="77777777" w:rsidR="005416B5" w:rsidRPr="00AC594F" w:rsidRDefault="005416B5" w:rsidP="001160AB">
      <w:pPr>
        <w:jc w:val="center"/>
        <w:rPr>
          <w:sz w:val="16"/>
          <w:highlight w:val="lightGray"/>
        </w:rPr>
      </w:pPr>
    </w:p>
    <w:p w14:paraId="3486DF3D" w14:textId="77777777" w:rsidR="005416B5" w:rsidRDefault="005416B5" w:rsidP="001160AB">
      <w:pPr>
        <w:jc w:val="center"/>
        <w:rPr>
          <w:sz w:val="16"/>
        </w:rPr>
      </w:pPr>
    </w:p>
    <w:p w14:paraId="352EFFF3" w14:textId="77777777" w:rsidR="005416B5" w:rsidRDefault="005416B5" w:rsidP="001160AB">
      <w:pPr>
        <w:jc w:val="center"/>
        <w:rPr>
          <w:sz w:val="16"/>
        </w:rPr>
      </w:pPr>
    </w:p>
    <w:p w14:paraId="671DF07B" w14:textId="77777777" w:rsidR="005416B5" w:rsidRDefault="005416B5" w:rsidP="001160AB">
      <w:pPr>
        <w:jc w:val="center"/>
        <w:rPr>
          <w:sz w:val="16"/>
        </w:rPr>
      </w:pPr>
    </w:p>
    <w:p w14:paraId="029F8B69" w14:textId="77777777" w:rsidR="005416B5" w:rsidRPr="000D0F97" w:rsidRDefault="005416B5" w:rsidP="001160AB">
      <w:pPr>
        <w:jc w:val="center"/>
        <w:rPr>
          <w:sz w:val="16"/>
        </w:rPr>
      </w:pPr>
    </w:p>
    <w:tbl>
      <w:tblPr>
        <w:tblW w:w="0" w:type="auto"/>
        <w:tblInd w:w="108" w:type="dxa"/>
        <w:tblLook w:val="0000" w:firstRow="0" w:lastRow="0" w:firstColumn="0" w:lastColumn="0" w:noHBand="0" w:noVBand="0"/>
      </w:tblPr>
      <w:tblGrid>
        <w:gridCol w:w="9639"/>
      </w:tblGrid>
      <w:tr w:rsidR="005416B5" w:rsidRPr="000D0F97" w14:paraId="57045051" w14:textId="77777777" w:rsidTr="008B2048">
        <w:trPr>
          <w:trHeight w:val="1320"/>
        </w:trPr>
        <w:tc>
          <w:tcPr>
            <w:tcW w:w="9639" w:type="dxa"/>
            <w:vAlign w:val="center"/>
          </w:tcPr>
          <w:p w14:paraId="3DB3DDC3" w14:textId="77777777" w:rsidR="005416B5" w:rsidRPr="00CF4FAE" w:rsidRDefault="005416B5" w:rsidP="001160AB">
            <w:pPr>
              <w:pStyle w:val="5"/>
              <w:jc w:val="center"/>
              <w:rPr>
                <w:rFonts w:asciiTheme="majorHAnsi" w:hAnsiTheme="majorHAnsi"/>
                <w:sz w:val="56"/>
                <w:szCs w:val="44"/>
              </w:rPr>
            </w:pPr>
            <w:r w:rsidRPr="00CF4FAE">
              <w:rPr>
                <w:rFonts w:asciiTheme="majorHAnsi" w:eastAsiaTheme="majorEastAsia" w:hAnsiTheme="majorHAnsi" w:cstheme="majorBidi"/>
                <w:caps w:val="0"/>
                <w:color w:val="17365D" w:themeColor="text2" w:themeShade="BF"/>
                <w:spacing w:val="5"/>
                <w:kern w:val="28"/>
                <w:sz w:val="44"/>
                <w:szCs w:val="52"/>
              </w:rPr>
              <w:t>ОТЧЁТ</w:t>
            </w:r>
          </w:p>
          <w:p w14:paraId="384F5889" w14:textId="77777777" w:rsidR="005416B5" w:rsidRPr="000D0F97" w:rsidRDefault="005416B5" w:rsidP="001160AB">
            <w:pPr>
              <w:pStyle w:val="5"/>
              <w:spacing w:before="0"/>
              <w:jc w:val="center"/>
            </w:pPr>
            <w:r w:rsidRPr="00CF4FAE">
              <w:rPr>
                <w:rFonts w:asciiTheme="majorHAnsi" w:eastAsiaTheme="majorEastAsia" w:hAnsiTheme="majorHAnsi" w:cstheme="majorBidi"/>
                <w:caps w:val="0"/>
                <w:color w:val="17365D" w:themeColor="text2" w:themeShade="BF"/>
                <w:spacing w:val="5"/>
                <w:kern w:val="28"/>
                <w:sz w:val="44"/>
                <w:szCs w:val="52"/>
              </w:rPr>
              <w:t>ЦЕНТРАЛЬНОГО БАНКА</w:t>
            </w:r>
            <w:r w:rsidRPr="00CF4FAE">
              <w:rPr>
                <w:rFonts w:asciiTheme="majorHAnsi" w:hAnsiTheme="majorHAnsi"/>
                <w:sz w:val="56"/>
                <w:szCs w:val="44"/>
              </w:rPr>
              <w:t xml:space="preserve"> </w:t>
            </w:r>
            <w:r w:rsidR="002B5F1D" w:rsidRPr="00CF4FAE">
              <w:rPr>
                <w:rFonts w:asciiTheme="majorHAnsi" w:eastAsiaTheme="majorEastAsia" w:hAnsiTheme="majorHAnsi" w:cstheme="majorBidi"/>
                <w:caps w:val="0"/>
                <w:color w:val="17365D" w:themeColor="text2" w:themeShade="BF"/>
                <w:spacing w:val="5"/>
                <w:kern w:val="28"/>
                <w:sz w:val="44"/>
                <w:szCs w:val="52"/>
              </w:rPr>
              <w:t>ПМР</w:t>
            </w:r>
            <w:r w:rsidRPr="00CF4FAE">
              <w:rPr>
                <w:rFonts w:asciiTheme="majorHAnsi" w:hAnsiTheme="majorHAnsi"/>
                <w:sz w:val="56"/>
                <w:szCs w:val="44"/>
              </w:rPr>
              <w:br/>
            </w:r>
            <w:r w:rsidRPr="00CF4FAE">
              <w:rPr>
                <w:rFonts w:asciiTheme="majorHAnsi" w:eastAsiaTheme="majorEastAsia" w:hAnsiTheme="majorHAnsi" w:cstheme="majorBidi"/>
                <w:caps w:val="0"/>
                <w:color w:val="17365D" w:themeColor="text2" w:themeShade="BF"/>
                <w:spacing w:val="5"/>
                <w:kern w:val="28"/>
                <w:sz w:val="44"/>
                <w:szCs w:val="52"/>
              </w:rPr>
              <w:t>ЗА 2019 ГОД</w:t>
            </w:r>
          </w:p>
        </w:tc>
      </w:tr>
    </w:tbl>
    <w:p w14:paraId="1FDF9C2D" w14:textId="5B5308C0" w:rsidR="00BA71C7" w:rsidRPr="00BA71C7" w:rsidRDefault="00BA71C7" w:rsidP="001160AB">
      <w:pPr>
        <w:ind w:left="284"/>
        <w:jc w:val="center"/>
        <w:rPr>
          <w:rFonts w:asciiTheme="majorHAnsi" w:eastAsiaTheme="majorEastAsia" w:hAnsiTheme="majorHAnsi" w:cstheme="majorBidi"/>
          <w:bCs/>
          <w:color w:val="17365D" w:themeColor="text2" w:themeShade="BF"/>
          <w:spacing w:val="5"/>
          <w:kern w:val="28"/>
          <w:sz w:val="24"/>
          <w:szCs w:val="52"/>
        </w:rPr>
      </w:pPr>
      <w:r w:rsidRPr="00BA71C7">
        <w:rPr>
          <w:rFonts w:asciiTheme="majorHAnsi" w:eastAsiaTheme="majorEastAsia" w:hAnsiTheme="majorHAnsi" w:cstheme="majorBidi"/>
          <w:bCs/>
          <w:color w:val="17365D" w:themeColor="text2" w:themeShade="BF"/>
          <w:spacing w:val="5"/>
          <w:kern w:val="28"/>
          <w:sz w:val="24"/>
          <w:szCs w:val="52"/>
        </w:rPr>
        <w:t xml:space="preserve">Принят Правлением Приднестровского республиканского банка </w:t>
      </w:r>
      <w:r w:rsidRPr="00BA71C7">
        <w:rPr>
          <w:rFonts w:asciiTheme="majorHAnsi" w:eastAsiaTheme="majorEastAsia" w:hAnsiTheme="majorHAnsi" w:cstheme="majorBidi"/>
          <w:bCs/>
          <w:color w:val="17365D" w:themeColor="text2" w:themeShade="BF"/>
          <w:spacing w:val="5"/>
          <w:kern w:val="28"/>
          <w:sz w:val="24"/>
          <w:szCs w:val="52"/>
        </w:rPr>
        <w:br/>
        <w:t>31 марта 2020 года, протокол № 15</w:t>
      </w:r>
    </w:p>
    <w:p w14:paraId="5B8A1761" w14:textId="77777777" w:rsidR="005416B5" w:rsidRPr="0023067E" w:rsidRDefault="005416B5" w:rsidP="001160AB">
      <w:pPr>
        <w:ind w:left="284"/>
        <w:jc w:val="center"/>
        <w:rPr>
          <w:rFonts w:asciiTheme="majorHAnsi" w:eastAsiaTheme="majorEastAsia" w:hAnsiTheme="majorHAnsi" w:cstheme="majorBidi"/>
          <w:color w:val="17365D" w:themeColor="text2" w:themeShade="BF"/>
          <w:spacing w:val="5"/>
          <w:kern w:val="28"/>
          <w:sz w:val="24"/>
          <w:szCs w:val="52"/>
        </w:rPr>
      </w:pPr>
    </w:p>
    <w:p w14:paraId="5BAFC9EA" w14:textId="77777777" w:rsidR="005416B5" w:rsidRPr="00AC594F" w:rsidRDefault="005416B5" w:rsidP="005416B5">
      <w:pPr>
        <w:rPr>
          <w:highlight w:val="lightGray"/>
        </w:rPr>
      </w:pPr>
    </w:p>
    <w:p w14:paraId="01E20282" w14:textId="77777777" w:rsidR="005416B5" w:rsidRPr="00AC594F" w:rsidRDefault="005416B5" w:rsidP="005416B5">
      <w:pPr>
        <w:rPr>
          <w:highlight w:val="lightGray"/>
        </w:rPr>
      </w:pPr>
    </w:p>
    <w:p w14:paraId="5686E94D" w14:textId="77777777" w:rsidR="005416B5" w:rsidRPr="00AC594F" w:rsidRDefault="005416B5" w:rsidP="005416B5">
      <w:pPr>
        <w:rPr>
          <w:highlight w:val="lightGray"/>
        </w:rPr>
      </w:pPr>
    </w:p>
    <w:p w14:paraId="433972CC" w14:textId="77777777" w:rsidR="005416B5" w:rsidRPr="00AC594F" w:rsidRDefault="005416B5" w:rsidP="005416B5">
      <w:pPr>
        <w:rPr>
          <w:highlight w:val="lightGray"/>
        </w:rPr>
      </w:pPr>
    </w:p>
    <w:p w14:paraId="0DF5DABF" w14:textId="77777777" w:rsidR="003354DC" w:rsidRPr="00E85DD7" w:rsidRDefault="003354DC" w:rsidP="00533389">
      <w:pPr>
        <w:pStyle w:val="21"/>
        <w:tabs>
          <w:tab w:val="left" w:pos="0"/>
        </w:tabs>
        <w:spacing w:after="0" w:line="240" w:lineRule="auto"/>
        <w:ind w:left="0"/>
        <w:jc w:val="both"/>
        <w:rPr>
          <w:b/>
          <w:bCs/>
          <w:sz w:val="22"/>
          <w:szCs w:val="22"/>
        </w:rPr>
        <w:sectPr w:rsidR="003354DC" w:rsidRPr="00E85DD7" w:rsidSect="005416B5">
          <w:headerReference w:type="default" r:id="rId8"/>
          <w:footerReference w:type="default" r:id="rId9"/>
          <w:pgSz w:w="11906" w:h="16838" w:code="9"/>
          <w:pgMar w:top="1418" w:right="849" w:bottom="1418" w:left="1134" w:header="992" w:footer="873" w:gutter="0"/>
          <w:pgNumType w:start="2"/>
          <w:cols w:space="720"/>
          <w:titlePg/>
        </w:sectPr>
      </w:pPr>
    </w:p>
    <w:tbl>
      <w:tblPr>
        <w:tblpPr w:leftFromText="180" w:rightFromText="180" w:vertAnchor="page" w:horzAnchor="margin" w:tblpX="108" w:tblpY="1445"/>
        <w:tblW w:w="9606" w:type="dxa"/>
        <w:tblLayout w:type="fixed"/>
        <w:tblLook w:val="0000" w:firstRow="0" w:lastRow="0" w:firstColumn="0" w:lastColumn="0" w:noHBand="0" w:noVBand="0"/>
      </w:tblPr>
      <w:tblGrid>
        <w:gridCol w:w="8897"/>
        <w:gridCol w:w="709"/>
      </w:tblGrid>
      <w:tr w:rsidR="003C18BB" w:rsidRPr="008E40A0" w14:paraId="3BB568AB" w14:textId="77777777">
        <w:trPr>
          <w:cantSplit/>
          <w:trHeight w:val="300"/>
        </w:trPr>
        <w:tc>
          <w:tcPr>
            <w:tcW w:w="9606" w:type="dxa"/>
            <w:gridSpan w:val="2"/>
            <w:vAlign w:val="center"/>
          </w:tcPr>
          <w:p w14:paraId="2BD594AD" w14:textId="77777777" w:rsidR="003C18BB" w:rsidRPr="008E40A0" w:rsidRDefault="003C18BB" w:rsidP="008512DA">
            <w:pPr>
              <w:pStyle w:val="21"/>
              <w:widowControl w:val="0"/>
              <w:tabs>
                <w:tab w:val="left" w:pos="0"/>
              </w:tabs>
              <w:spacing w:after="0" w:line="240" w:lineRule="auto"/>
              <w:ind w:left="-108"/>
              <w:jc w:val="center"/>
              <w:rPr>
                <w:rFonts w:ascii="Times New Roman" w:hAnsi="Times New Roman" w:cs="Times New Roman"/>
                <w:b/>
                <w:bCs/>
                <w:sz w:val="24"/>
                <w:szCs w:val="24"/>
              </w:rPr>
            </w:pPr>
            <w:r w:rsidRPr="008E40A0">
              <w:rPr>
                <w:rFonts w:ascii="Times New Roman" w:hAnsi="Times New Roman" w:cs="Times New Roman"/>
                <w:b/>
                <w:bCs/>
                <w:sz w:val="24"/>
                <w:szCs w:val="24"/>
              </w:rPr>
              <w:lastRenderedPageBreak/>
              <w:t>СОДЕРЖАНИЕ</w:t>
            </w:r>
          </w:p>
        </w:tc>
      </w:tr>
      <w:tr w:rsidR="003C18BB" w:rsidRPr="003B57EC" w14:paraId="0ACC34FC" w14:textId="77777777">
        <w:trPr>
          <w:trHeight w:val="300"/>
        </w:trPr>
        <w:tc>
          <w:tcPr>
            <w:tcW w:w="8897" w:type="dxa"/>
            <w:vAlign w:val="center"/>
          </w:tcPr>
          <w:p w14:paraId="397D4E53" w14:textId="77777777" w:rsidR="003C18BB" w:rsidRPr="008E40A0" w:rsidRDefault="003C18BB" w:rsidP="008512DA">
            <w:pPr>
              <w:pStyle w:val="21"/>
              <w:widowControl w:val="0"/>
              <w:spacing w:after="0" w:line="240" w:lineRule="auto"/>
              <w:ind w:left="-30"/>
              <w:rPr>
                <w:rFonts w:ascii="Times New Roman" w:hAnsi="Times New Roman" w:cs="Times New Roman"/>
                <w:b/>
                <w:bCs/>
                <w:sz w:val="24"/>
                <w:szCs w:val="24"/>
              </w:rPr>
            </w:pPr>
            <w:r w:rsidRPr="008E40A0">
              <w:rPr>
                <w:rFonts w:ascii="Times New Roman" w:hAnsi="Times New Roman" w:cs="Times New Roman"/>
                <w:b/>
                <w:bCs/>
                <w:sz w:val="24"/>
                <w:szCs w:val="24"/>
              </w:rPr>
              <w:t>Введение</w:t>
            </w:r>
          </w:p>
        </w:tc>
        <w:tc>
          <w:tcPr>
            <w:tcW w:w="709" w:type="dxa"/>
            <w:vAlign w:val="center"/>
          </w:tcPr>
          <w:p w14:paraId="173296B4" w14:textId="77777777" w:rsidR="003C18BB" w:rsidRPr="003B57EC" w:rsidRDefault="003B57EC" w:rsidP="008512DA">
            <w:pPr>
              <w:pStyle w:val="21"/>
              <w:widowControl w:val="0"/>
              <w:tabs>
                <w:tab w:val="left" w:pos="317"/>
              </w:tabs>
              <w:spacing w:after="0" w:line="240" w:lineRule="auto"/>
              <w:ind w:left="-108"/>
              <w:jc w:val="center"/>
              <w:rPr>
                <w:rFonts w:ascii="Times New Roman" w:hAnsi="Times New Roman" w:cs="Times New Roman"/>
                <w:b/>
                <w:bCs/>
                <w:sz w:val="24"/>
                <w:szCs w:val="24"/>
              </w:rPr>
            </w:pPr>
            <w:r w:rsidRPr="003B57EC">
              <w:rPr>
                <w:rFonts w:ascii="Times New Roman" w:hAnsi="Times New Roman" w:cs="Times New Roman"/>
                <w:b/>
                <w:bCs/>
                <w:sz w:val="24"/>
                <w:szCs w:val="24"/>
              </w:rPr>
              <w:t>4</w:t>
            </w:r>
          </w:p>
        </w:tc>
      </w:tr>
      <w:tr w:rsidR="003C18BB" w:rsidRPr="003B57EC" w14:paraId="07DFCD50" w14:textId="77777777">
        <w:trPr>
          <w:trHeight w:val="300"/>
        </w:trPr>
        <w:tc>
          <w:tcPr>
            <w:tcW w:w="8897" w:type="dxa"/>
            <w:vAlign w:val="center"/>
          </w:tcPr>
          <w:p w14:paraId="571966DC" w14:textId="77777777" w:rsidR="003C18BB" w:rsidRPr="008E40A0" w:rsidRDefault="003C18BB" w:rsidP="00123AEA">
            <w:pPr>
              <w:pStyle w:val="21"/>
              <w:widowControl w:val="0"/>
              <w:spacing w:before="0" w:after="0" w:line="240" w:lineRule="auto"/>
              <w:ind w:left="0"/>
              <w:rPr>
                <w:rFonts w:ascii="Times New Roman" w:hAnsi="Times New Roman" w:cs="Times New Roman"/>
                <w:b/>
                <w:bCs/>
                <w:i/>
                <w:iCs/>
                <w:sz w:val="24"/>
                <w:szCs w:val="24"/>
              </w:rPr>
            </w:pPr>
            <w:r w:rsidRPr="008E40A0">
              <w:rPr>
                <w:rFonts w:ascii="Times New Roman" w:hAnsi="Times New Roman" w:cs="Times New Roman"/>
                <w:b/>
                <w:bCs/>
                <w:sz w:val="24"/>
                <w:szCs w:val="24"/>
              </w:rPr>
              <w:t xml:space="preserve">1. Экономическое и финансовое положение </w:t>
            </w:r>
            <w:r w:rsidR="00B27036" w:rsidRPr="008E40A0">
              <w:rPr>
                <w:rFonts w:ascii="Times New Roman" w:hAnsi="Times New Roman" w:cs="Times New Roman"/>
                <w:b/>
                <w:bCs/>
                <w:color w:val="000000"/>
                <w:sz w:val="24"/>
                <w:szCs w:val="24"/>
              </w:rPr>
              <w:t>П</w:t>
            </w:r>
            <w:r w:rsidR="00FC53FA" w:rsidRPr="008E40A0">
              <w:rPr>
                <w:rFonts w:ascii="Times New Roman" w:hAnsi="Times New Roman" w:cs="Times New Roman"/>
                <w:b/>
                <w:bCs/>
                <w:color w:val="000000"/>
                <w:sz w:val="24"/>
                <w:szCs w:val="24"/>
              </w:rPr>
              <w:t>риднестровской Молдавской Республики</w:t>
            </w:r>
            <w:r w:rsidRPr="008E40A0">
              <w:rPr>
                <w:rFonts w:ascii="Times New Roman" w:hAnsi="Times New Roman" w:cs="Times New Roman"/>
                <w:b/>
                <w:bCs/>
                <w:sz w:val="24"/>
                <w:szCs w:val="24"/>
              </w:rPr>
              <w:t xml:space="preserve"> в 201</w:t>
            </w:r>
            <w:r w:rsidR="000D5E80" w:rsidRPr="008E40A0">
              <w:rPr>
                <w:rFonts w:ascii="Times New Roman" w:hAnsi="Times New Roman" w:cs="Times New Roman"/>
                <w:b/>
                <w:bCs/>
                <w:sz w:val="24"/>
                <w:szCs w:val="24"/>
              </w:rPr>
              <w:t>9</w:t>
            </w:r>
            <w:r w:rsidRPr="008E40A0">
              <w:rPr>
                <w:rFonts w:ascii="Times New Roman" w:hAnsi="Times New Roman" w:cs="Times New Roman"/>
                <w:b/>
                <w:bCs/>
                <w:sz w:val="24"/>
                <w:szCs w:val="24"/>
              </w:rPr>
              <w:t xml:space="preserve"> году</w:t>
            </w:r>
          </w:p>
        </w:tc>
        <w:tc>
          <w:tcPr>
            <w:tcW w:w="709" w:type="dxa"/>
            <w:vAlign w:val="center"/>
          </w:tcPr>
          <w:p w14:paraId="048BF26C" w14:textId="77777777" w:rsidR="003C18BB" w:rsidRPr="003B57EC" w:rsidRDefault="003B57EC" w:rsidP="008512DA">
            <w:pPr>
              <w:pStyle w:val="21"/>
              <w:widowControl w:val="0"/>
              <w:tabs>
                <w:tab w:val="left" w:pos="317"/>
              </w:tabs>
              <w:spacing w:after="0" w:line="240" w:lineRule="auto"/>
              <w:ind w:left="-108"/>
              <w:jc w:val="center"/>
              <w:rPr>
                <w:rFonts w:ascii="Times New Roman" w:hAnsi="Times New Roman" w:cs="Times New Roman"/>
                <w:b/>
                <w:bCs/>
                <w:sz w:val="24"/>
                <w:szCs w:val="24"/>
              </w:rPr>
            </w:pPr>
            <w:r w:rsidRPr="003B57EC">
              <w:rPr>
                <w:rFonts w:ascii="Times New Roman" w:hAnsi="Times New Roman" w:cs="Times New Roman"/>
                <w:b/>
                <w:bCs/>
                <w:sz w:val="24"/>
                <w:szCs w:val="24"/>
              </w:rPr>
              <w:t>6</w:t>
            </w:r>
          </w:p>
        </w:tc>
      </w:tr>
      <w:tr w:rsidR="003C18BB" w:rsidRPr="003B57EC" w14:paraId="31DEECC7" w14:textId="77777777">
        <w:trPr>
          <w:trHeight w:val="300"/>
        </w:trPr>
        <w:tc>
          <w:tcPr>
            <w:tcW w:w="8897" w:type="dxa"/>
            <w:vAlign w:val="center"/>
          </w:tcPr>
          <w:p w14:paraId="2FD432C1" w14:textId="77777777" w:rsidR="003C18BB" w:rsidRPr="008E40A0" w:rsidRDefault="003C18BB" w:rsidP="00123AEA">
            <w:pPr>
              <w:pStyle w:val="21"/>
              <w:widowControl w:val="0"/>
              <w:spacing w:before="0"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 xml:space="preserve">1.1. </w:t>
            </w:r>
            <w:r w:rsidR="00207A4A" w:rsidRPr="008E40A0">
              <w:rPr>
                <w:rFonts w:ascii="Times New Roman" w:hAnsi="Times New Roman" w:cs="Times New Roman"/>
                <w:sz w:val="24"/>
                <w:szCs w:val="24"/>
              </w:rPr>
              <w:t>Внешние условия: ми</w:t>
            </w:r>
            <w:r w:rsidRPr="008E40A0">
              <w:rPr>
                <w:rFonts w:ascii="Times New Roman" w:hAnsi="Times New Roman" w:cs="Times New Roman"/>
                <w:sz w:val="24"/>
                <w:szCs w:val="24"/>
              </w:rPr>
              <w:t>ровая экономика и международные рынки</w:t>
            </w:r>
          </w:p>
        </w:tc>
        <w:tc>
          <w:tcPr>
            <w:tcW w:w="709" w:type="dxa"/>
            <w:vAlign w:val="center"/>
          </w:tcPr>
          <w:p w14:paraId="7AABF4E5" w14:textId="77777777" w:rsidR="003C18BB"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6</w:t>
            </w:r>
          </w:p>
        </w:tc>
      </w:tr>
      <w:tr w:rsidR="003C18BB" w:rsidRPr="003B57EC" w14:paraId="0235E742" w14:textId="77777777">
        <w:trPr>
          <w:trHeight w:val="300"/>
        </w:trPr>
        <w:tc>
          <w:tcPr>
            <w:tcW w:w="8897" w:type="dxa"/>
            <w:vAlign w:val="center"/>
          </w:tcPr>
          <w:p w14:paraId="502E643C" w14:textId="77777777" w:rsidR="003C18BB" w:rsidRPr="008E40A0" w:rsidRDefault="003C18BB" w:rsidP="00123AEA">
            <w:pPr>
              <w:pStyle w:val="21"/>
              <w:widowControl w:val="0"/>
              <w:spacing w:before="0"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1.2. Экономическое положение Приднестровья</w:t>
            </w:r>
          </w:p>
        </w:tc>
        <w:tc>
          <w:tcPr>
            <w:tcW w:w="709" w:type="dxa"/>
            <w:vAlign w:val="center"/>
          </w:tcPr>
          <w:p w14:paraId="1EC838C0" w14:textId="77777777" w:rsidR="003C18BB"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10</w:t>
            </w:r>
          </w:p>
        </w:tc>
      </w:tr>
      <w:tr w:rsidR="00207A4A" w:rsidRPr="003B57EC" w14:paraId="6121D459" w14:textId="77777777">
        <w:trPr>
          <w:trHeight w:val="300"/>
        </w:trPr>
        <w:tc>
          <w:tcPr>
            <w:tcW w:w="8897" w:type="dxa"/>
            <w:vAlign w:val="center"/>
          </w:tcPr>
          <w:p w14:paraId="68F589B8" w14:textId="77777777" w:rsidR="00207A4A" w:rsidRPr="008E40A0" w:rsidRDefault="00BF66C3" w:rsidP="003B57EC">
            <w:pPr>
              <w:pStyle w:val="21"/>
              <w:spacing w:before="0" w:after="0" w:line="240" w:lineRule="auto"/>
              <w:ind w:left="709"/>
              <w:rPr>
                <w:rFonts w:ascii="Times New Roman" w:hAnsi="Times New Roman" w:cs="Times New Roman"/>
                <w:i/>
                <w:sz w:val="24"/>
                <w:szCs w:val="24"/>
              </w:rPr>
            </w:pPr>
            <w:r w:rsidRPr="008E40A0">
              <w:rPr>
                <w:rFonts w:ascii="Times New Roman" w:hAnsi="Times New Roman" w:cs="Times New Roman"/>
                <w:i/>
                <w:sz w:val="24"/>
                <w:szCs w:val="24"/>
              </w:rPr>
              <w:t>Экономическая активность</w:t>
            </w:r>
            <w:r w:rsidR="00B41FFF" w:rsidRPr="008E40A0">
              <w:rPr>
                <w:rFonts w:ascii="Times New Roman" w:hAnsi="Times New Roman" w:cs="Times New Roman"/>
                <w:i/>
                <w:sz w:val="24"/>
                <w:szCs w:val="24"/>
              </w:rPr>
              <w:t xml:space="preserve"> </w:t>
            </w:r>
          </w:p>
        </w:tc>
        <w:tc>
          <w:tcPr>
            <w:tcW w:w="709" w:type="dxa"/>
            <w:vAlign w:val="center"/>
          </w:tcPr>
          <w:p w14:paraId="2EB14146" w14:textId="77777777" w:rsidR="00207A4A"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10</w:t>
            </w:r>
          </w:p>
        </w:tc>
      </w:tr>
      <w:tr w:rsidR="003B57EC" w:rsidRPr="003B57EC" w14:paraId="568E7291" w14:textId="77777777">
        <w:trPr>
          <w:trHeight w:val="300"/>
        </w:trPr>
        <w:tc>
          <w:tcPr>
            <w:tcW w:w="8897" w:type="dxa"/>
            <w:vAlign w:val="center"/>
          </w:tcPr>
          <w:p w14:paraId="69DC43D4" w14:textId="77777777" w:rsidR="003B57EC" w:rsidRPr="008E40A0" w:rsidRDefault="003B57EC" w:rsidP="00123AEA">
            <w:pPr>
              <w:pStyle w:val="21"/>
              <w:spacing w:before="0" w:after="0" w:line="240" w:lineRule="auto"/>
              <w:ind w:left="709"/>
              <w:rPr>
                <w:rFonts w:ascii="Times New Roman" w:hAnsi="Times New Roman" w:cs="Times New Roman"/>
                <w:i/>
                <w:sz w:val="24"/>
                <w:szCs w:val="24"/>
              </w:rPr>
            </w:pPr>
            <w:r w:rsidRPr="008E40A0">
              <w:rPr>
                <w:rFonts w:ascii="Times New Roman" w:hAnsi="Times New Roman" w:cs="Times New Roman"/>
                <w:i/>
                <w:sz w:val="24"/>
                <w:szCs w:val="24"/>
              </w:rPr>
              <w:t>Динамика цен</w:t>
            </w:r>
          </w:p>
        </w:tc>
        <w:tc>
          <w:tcPr>
            <w:tcW w:w="709" w:type="dxa"/>
            <w:vAlign w:val="center"/>
          </w:tcPr>
          <w:p w14:paraId="422312A1" w14:textId="77777777" w:rsidR="003B57EC"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14</w:t>
            </w:r>
          </w:p>
        </w:tc>
      </w:tr>
      <w:tr w:rsidR="00207A4A" w:rsidRPr="003B57EC" w14:paraId="51ED312F" w14:textId="77777777" w:rsidTr="00207A4A">
        <w:trPr>
          <w:trHeight w:val="105"/>
        </w:trPr>
        <w:tc>
          <w:tcPr>
            <w:tcW w:w="8897" w:type="dxa"/>
            <w:vAlign w:val="center"/>
          </w:tcPr>
          <w:p w14:paraId="31CE1AD7" w14:textId="77777777" w:rsidR="00207A4A" w:rsidRPr="008E40A0" w:rsidRDefault="00BF66C3" w:rsidP="00123AEA">
            <w:pPr>
              <w:pStyle w:val="21"/>
              <w:spacing w:before="0" w:after="0" w:line="240" w:lineRule="auto"/>
              <w:ind w:left="709"/>
              <w:rPr>
                <w:rFonts w:ascii="Times New Roman" w:hAnsi="Times New Roman" w:cs="Times New Roman"/>
                <w:i/>
                <w:sz w:val="24"/>
                <w:szCs w:val="24"/>
              </w:rPr>
            </w:pPr>
            <w:r w:rsidRPr="008E40A0">
              <w:rPr>
                <w:rFonts w:ascii="Times New Roman" w:hAnsi="Times New Roman" w:cs="Times New Roman"/>
                <w:i/>
                <w:sz w:val="24"/>
                <w:szCs w:val="24"/>
              </w:rPr>
              <w:t>Социальная сфера</w:t>
            </w:r>
          </w:p>
        </w:tc>
        <w:tc>
          <w:tcPr>
            <w:tcW w:w="709" w:type="dxa"/>
            <w:vAlign w:val="center"/>
          </w:tcPr>
          <w:p w14:paraId="4AE86EBD" w14:textId="77777777" w:rsidR="00207A4A"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16</w:t>
            </w:r>
          </w:p>
        </w:tc>
      </w:tr>
      <w:tr w:rsidR="003C18BB" w:rsidRPr="003B57EC" w14:paraId="28B04FD8" w14:textId="77777777">
        <w:trPr>
          <w:trHeight w:val="80"/>
        </w:trPr>
        <w:tc>
          <w:tcPr>
            <w:tcW w:w="8897" w:type="dxa"/>
            <w:vAlign w:val="center"/>
          </w:tcPr>
          <w:p w14:paraId="1384C0D4" w14:textId="77777777" w:rsidR="003C18BB" w:rsidRPr="008E40A0" w:rsidRDefault="00207A4A" w:rsidP="00123AEA">
            <w:pPr>
              <w:pStyle w:val="21"/>
              <w:widowControl w:val="0"/>
              <w:spacing w:before="0"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1.3. Платёжный баланс</w:t>
            </w:r>
          </w:p>
        </w:tc>
        <w:tc>
          <w:tcPr>
            <w:tcW w:w="709" w:type="dxa"/>
            <w:vAlign w:val="center"/>
          </w:tcPr>
          <w:p w14:paraId="66E635F1" w14:textId="77777777" w:rsidR="003C18BB"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17</w:t>
            </w:r>
          </w:p>
        </w:tc>
      </w:tr>
      <w:tr w:rsidR="00207A4A" w:rsidRPr="003B57EC" w14:paraId="00668506" w14:textId="77777777">
        <w:trPr>
          <w:trHeight w:val="80"/>
        </w:trPr>
        <w:tc>
          <w:tcPr>
            <w:tcW w:w="8897" w:type="dxa"/>
            <w:vAlign w:val="center"/>
          </w:tcPr>
          <w:p w14:paraId="0EF3DD86" w14:textId="77777777" w:rsidR="00207A4A" w:rsidRPr="008E40A0" w:rsidRDefault="00207A4A" w:rsidP="00123AEA">
            <w:pPr>
              <w:pStyle w:val="21"/>
              <w:widowControl w:val="0"/>
              <w:spacing w:before="0"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1.4. Государственные финансы</w:t>
            </w:r>
          </w:p>
        </w:tc>
        <w:tc>
          <w:tcPr>
            <w:tcW w:w="709" w:type="dxa"/>
            <w:vAlign w:val="center"/>
          </w:tcPr>
          <w:p w14:paraId="3C861F2B" w14:textId="465CDFFD" w:rsidR="00207A4A" w:rsidRPr="003B57EC" w:rsidRDefault="00105F0B" w:rsidP="00A57551">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19</w:t>
            </w:r>
          </w:p>
        </w:tc>
      </w:tr>
      <w:tr w:rsidR="003C18BB" w:rsidRPr="003B57EC" w14:paraId="4B2CC8D1" w14:textId="77777777">
        <w:trPr>
          <w:trHeight w:val="300"/>
        </w:trPr>
        <w:tc>
          <w:tcPr>
            <w:tcW w:w="8897" w:type="dxa"/>
            <w:vAlign w:val="center"/>
          </w:tcPr>
          <w:p w14:paraId="7809E6D5" w14:textId="77777777" w:rsidR="003C18BB" w:rsidRPr="008E40A0" w:rsidRDefault="003C18BB" w:rsidP="00123AEA">
            <w:pPr>
              <w:pStyle w:val="21"/>
              <w:widowControl w:val="0"/>
              <w:spacing w:before="0"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w:t>
            </w:r>
            <w:r w:rsidR="00207A4A" w:rsidRPr="008E40A0">
              <w:rPr>
                <w:rFonts w:ascii="Times New Roman" w:hAnsi="Times New Roman" w:cs="Times New Roman"/>
                <w:sz w:val="24"/>
                <w:szCs w:val="24"/>
              </w:rPr>
              <w:t>5</w:t>
            </w:r>
            <w:r w:rsidRPr="008E40A0">
              <w:rPr>
                <w:rFonts w:ascii="Times New Roman" w:hAnsi="Times New Roman" w:cs="Times New Roman"/>
                <w:sz w:val="24"/>
                <w:szCs w:val="24"/>
              </w:rPr>
              <w:t>. Финансовый сектор</w:t>
            </w:r>
          </w:p>
        </w:tc>
        <w:tc>
          <w:tcPr>
            <w:tcW w:w="709" w:type="dxa"/>
            <w:vAlign w:val="center"/>
          </w:tcPr>
          <w:p w14:paraId="2EE9674D" w14:textId="77777777" w:rsidR="003C18BB" w:rsidRPr="003B57EC" w:rsidRDefault="003B57EC" w:rsidP="008512DA">
            <w:pPr>
              <w:pStyle w:val="21"/>
              <w:widowControl w:val="0"/>
              <w:tabs>
                <w:tab w:val="left" w:pos="317"/>
              </w:tabs>
              <w:spacing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22</w:t>
            </w:r>
          </w:p>
        </w:tc>
      </w:tr>
      <w:tr w:rsidR="00207A4A" w:rsidRPr="003B57EC" w14:paraId="7D36B570" w14:textId="77777777">
        <w:trPr>
          <w:trHeight w:val="300"/>
        </w:trPr>
        <w:tc>
          <w:tcPr>
            <w:tcW w:w="8897" w:type="dxa"/>
            <w:vAlign w:val="center"/>
          </w:tcPr>
          <w:p w14:paraId="1020DD95" w14:textId="77777777" w:rsidR="00207A4A" w:rsidRPr="008E40A0" w:rsidRDefault="00207A4A" w:rsidP="00123AEA">
            <w:pPr>
              <w:pStyle w:val="21"/>
              <w:spacing w:before="0" w:after="0" w:line="240" w:lineRule="auto"/>
              <w:ind w:left="595"/>
              <w:rPr>
                <w:rFonts w:ascii="Times New Roman" w:hAnsi="Times New Roman" w:cs="Times New Roman"/>
                <w:i/>
                <w:sz w:val="24"/>
                <w:szCs w:val="24"/>
              </w:rPr>
            </w:pPr>
            <w:r w:rsidRPr="008E40A0">
              <w:rPr>
                <w:rFonts w:ascii="Times New Roman" w:hAnsi="Times New Roman" w:cs="Times New Roman"/>
                <w:i/>
                <w:sz w:val="24"/>
                <w:szCs w:val="24"/>
              </w:rPr>
              <w:t>Денежный рынок</w:t>
            </w:r>
          </w:p>
        </w:tc>
        <w:tc>
          <w:tcPr>
            <w:tcW w:w="709" w:type="dxa"/>
            <w:vAlign w:val="center"/>
          </w:tcPr>
          <w:p w14:paraId="57E166EF" w14:textId="77777777" w:rsidR="00207A4A" w:rsidRPr="003B57EC" w:rsidRDefault="003B57EC" w:rsidP="00123AEA">
            <w:pPr>
              <w:pStyle w:val="21"/>
              <w:widowControl w:val="0"/>
              <w:tabs>
                <w:tab w:val="left" w:pos="317"/>
              </w:tabs>
              <w:spacing w:before="0"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22</w:t>
            </w:r>
          </w:p>
        </w:tc>
      </w:tr>
      <w:tr w:rsidR="00207A4A" w:rsidRPr="003B57EC" w14:paraId="26D30E13" w14:textId="77777777">
        <w:trPr>
          <w:trHeight w:val="300"/>
        </w:trPr>
        <w:tc>
          <w:tcPr>
            <w:tcW w:w="8897" w:type="dxa"/>
            <w:vAlign w:val="center"/>
          </w:tcPr>
          <w:p w14:paraId="36DB88FE" w14:textId="77777777" w:rsidR="00207A4A" w:rsidRPr="008E40A0" w:rsidRDefault="00207A4A" w:rsidP="00123AEA">
            <w:pPr>
              <w:pStyle w:val="21"/>
              <w:spacing w:before="0" w:after="0" w:line="240" w:lineRule="auto"/>
              <w:ind w:left="595"/>
              <w:rPr>
                <w:rFonts w:ascii="Times New Roman" w:hAnsi="Times New Roman" w:cs="Times New Roman"/>
                <w:sz w:val="24"/>
                <w:szCs w:val="24"/>
              </w:rPr>
            </w:pPr>
            <w:r w:rsidRPr="008E40A0">
              <w:rPr>
                <w:rFonts w:ascii="Times New Roman" w:hAnsi="Times New Roman" w:cs="Times New Roman"/>
                <w:i/>
                <w:sz w:val="24"/>
                <w:szCs w:val="24"/>
              </w:rPr>
              <w:t>Валютный рынок</w:t>
            </w:r>
          </w:p>
        </w:tc>
        <w:tc>
          <w:tcPr>
            <w:tcW w:w="709" w:type="dxa"/>
            <w:vAlign w:val="center"/>
          </w:tcPr>
          <w:p w14:paraId="1F234321" w14:textId="77777777" w:rsidR="00207A4A" w:rsidRPr="003B57EC" w:rsidRDefault="003B57EC" w:rsidP="00123AEA">
            <w:pPr>
              <w:pStyle w:val="21"/>
              <w:widowControl w:val="0"/>
              <w:tabs>
                <w:tab w:val="left" w:pos="317"/>
              </w:tabs>
              <w:spacing w:before="0"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23</w:t>
            </w:r>
          </w:p>
        </w:tc>
      </w:tr>
      <w:tr w:rsidR="00207A4A" w:rsidRPr="003B57EC" w14:paraId="1EABC194" w14:textId="77777777">
        <w:trPr>
          <w:trHeight w:val="300"/>
        </w:trPr>
        <w:tc>
          <w:tcPr>
            <w:tcW w:w="8897" w:type="dxa"/>
            <w:vAlign w:val="center"/>
          </w:tcPr>
          <w:p w14:paraId="09CFB484" w14:textId="77777777" w:rsidR="00207A4A" w:rsidRPr="008E40A0" w:rsidRDefault="00207A4A" w:rsidP="00123AEA">
            <w:pPr>
              <w:pStyle w:val="21"/>
              <w:spacing w:before="0" w:after="0" w:line="240" w:lineRule="auto"/>
              <w:ind w:left="595"/>
              <w:rPr>
                <w:rFonts w:ascii="Times New Roman" w:hAnsi="Times New Roman" w:cs="Times New Roman"/>
                <w:sz w:val="24"/>
                <w:szCs w:val="24"/>
              </w:rPr>
            </w:pPr>
            <w:r w:rsidRPr="008E40A0">
              <w:rPr>
                <w:rFonts w:ascii="Times New Roman" w:hAnsi="Times New Roman" w:cs="Times New Roman"/>
                <w:i/>
                <w:sz w:val="24"/>
                <w:szCs w:val="24"/>
              </w:rPr>
              <w:t>Банковская система</w:t>
            </w:r>
          </w:p>
        </w:tc>
        <w:tc>
          <w:tcPr>
            <w:tcW w:w="709" w:type="dxa"/>
            <w:vAlign w:val="center"/>
          </w:tcPr>
          <w:p w14:paraId="004CD59E" w14:textId="77777777" w:rsidR="00207A4A" w:rsidRPr="003B57EC" w:rsidRDefault="003B57EC" w:rsidP="00123AEA">
            <w:pPr>
              <w:pStyle w:val="21"/>
              <w:widowControl w:val="0"/>
              <w:tabs>
                <w:tab w:val="left" w:pos="317"/>
              </w:tabs>
              <w:spacing w:before="0"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24</w:t>
            </w:r>
          </w:p>
        </w:tc>
      </w:tr>
      <w:tr w:rsidR="00207A4A" w:rsidRPr="003B57EC" w14:paraId="5F95AB55" w14:textId="77777777" w:rsidTr="0002542F">
        <w:trPr>
          <w:trHeight w:val="329"/>
        </w:trPr>
        <w:tc>
          <w:tcPr>
            <w:tcW w:w="8897" w:type="dxa"/>
            <w:vAlign w:val="center"/>
          </w:tcPr>
          <w:p w14:paraId="3E2E0091" w14:textId="77777777" w:rsidR="00207A4A" w:rsidRPr="008E40A0" w:rsidRDefault="00207A4A" w:rsidP="00123AEA">
            <w:pPr>
              <w:pStyle w:val="21"/>
              <w:spacing w:before="0" w:after="0" w:line="240" w:lineRule="auto"/>
              <w:ind w:left="595"/>
              <w:rPr>
                <w:rFonts w:ascii="Times New Roman" w:hAnsi="Times New Roman" w:cs="Times New Roman"/>
                <w:i/>
                <w:sz w:val="24"/>
                <w:szCs w:val="24"/>
              </w:rPr>
            </w:pPr>
            <w:r w:rsidRPr="008E40A0">
              <w:rPr>
                <w:rFonts w:ascii="Times New Roman" w:hAnsi="Times New Roman" w:cs="Times New Roman"/>
                <w:i/>
                <w:sz w:val="24"/>
                <w:szCs w:val="24"/>
              </w:rPr>
              <w:t>Страховой рынок</w:t>
            </w:r>
          </w:p>
        </w:tc>
        <w:tc>
          <w:tcPr>
            <w:tcW w:w="709" w:type="dxa"/>
            <w:vAlign w:val="center"/>
          </w:tcPr>
          <w:p w14:paraId="05D88C94" w14:textId="77777777" w:rsidR="00207A4A" w:rsidRPr="003B57EC" w:rsidRDefault="003B57EC" w:rsidP="00123AEA">
            <w:pPr>
              <w:pStyle w:val="21"/>
              <w:widowControl w:val="0"/>
              <w:tabs>
                <w:tab w:val="left" w:pos="317"/>
              </w:tabs>
              <w:spacing w:before="0"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27</w:t>
            </w:r>
          </w:p>
        </w:tc>
      </w:tr>
      <w:tr w:rsidR="003C18BB" w:rsidRPr="003B57EC" w14:paraId="7DCD7D59" w14:textId="77777777">
        <w:trPr>
          <w:trHeight w:val="300"/>
        </w:trPr>
        <w:tc>
          <w:tcPr>
            <w:tcW w:w="8897" w:type="dxa"/>
            <w:vAlign w:val="center"/>
          </w:tcPr>
          <w:p w14:paraId="0BDAC41C" w14:textId="77777777" w:rsidR="003C18BB" w:rsidRPr="008E40A0" w:rsidRDefault="003C18BB" w:rsidP="00123AEA">
            <w:pPr>
              <w:pStyle w:val="21"/>
              <w:widowControl w:val="0"/>
              <w:spacing w:before="0"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w:t>
            </w:r>
            <w:r w:rsidR="00182680" w:rsidRPr="008E40A0">
              <w:rPr>
                <w:rFonts w:ascii="Times New Roman" w:hAnsi="Times New Roman" w:cs="Times New Roman"/>
                <w:sz w:val="24"/>
                <w:szCs w:val="24"/>
              </w:rPr>
              <w:t>6</w:t>
            </w:r>
            <w:r w:rsidRPr="008E40A0">
              <w:rPr>
                <w:rFonts w:ascii="Times New Roman" w:hAnsi="Times New Roman" w:cs="Times New Roman"/>
                <w:sz w:val="24"/>
                <w:szCs w:val="24"/>
              </w:rPr>
              <w:t>. Платёжная система</w:t>
            </w:r>
          </w:p>
        </w:tc>
        <w:tc>
          <w:tcPr>
            <w:tcW w:w="709" w:type="dxa"/>
            <w:vAlign w:val="center"/>
          </w:tcPr>
          <w:p w14:paraId="62A20CAF" w14:textId="77777777" w:rsidR="003C18BB" w:rsidRPr="003B57EC" w:rsidRDefault="003B57EC" w:rsidP="00123AEA">
            <w:pPr>
              <w:pStyle w:val="21"/>
              <w:widowControl w:val="0"/>
              <w:tabs>
                <w:tab w:val="left" w:pos="317"/>
              </w:tabs>
              <w:spacing w:before="0" w:after="0" w:line="240" w:lineRule="auto"/>
              <w:ind w:left="-108"/>
              <w:jc w:val="center"/>
              <w:rPr>
                <w:rFonts w:ascii="Times New Roman" w:hAnsi="Times New Roman" w:cs="Times New Roman"/>
                <w:sz w:val="24"/>
                <w:szCs w:val="24"/>
              </w:rPr>
            </w:pPr>
            <w:r w:rsidRPr="003B57EC">
              <w:rPr>
                <w:rFonts w:ascii="Times New Roman" w:hAnsi="Times New Roman" w:cs="Times New Roman"/>
                <w:sz w:val="24"/>
                <w:szCs w:val="24"/>
              </w:rPr>
              <w:t>28</w:t>
            </w:r>
          </w:p>
        </w:tc>
      </w:tr>
      <w:tr w:rsidR="003C18BB" w:rsidRPr="002B5F1D" w14:paraId="7C0B7E62" w14:textId="77777777">
        <w:trPr>
          <w:trHeight w:val="300"/>
        </w:trPr>
        <w:tc>
          <w:tcPr>
            <w:tcW w:w="8897" w:type="dxa"/>
            <w:vAlign w:val="center"/>
          </w:tcPr>
          <w:p w14:paraId="4F4EAF20" w14:textId="77777777" w:rsidR="003C18BB" w:rsidRPr="002B5F1D" w:rsidRDefault="003C18BB" w:rsidP="00123AEA">
            <w:pPr>
              <w:pStyle w:val="21"/>
              <w:widowControl w:val="0"/>
              <w:spacing w:before="0" w:after="0" w:line="240" w:lineRule="auto"/>
              <w:ind w:left="0"/>
              <w:rPr>
                <w:rFonts w:ascii="Times New Roman" w:hAnsi="Times New Roman" w:cs="Times New Roman"/>
                <w:sz w:val="24"/>
                <w:szCs w:val="24"/>
              </w:rPr>
            </w:pPr>
            <w:r w:rsidRPr="002B5F1D">
              <w:rPr>
                <w:rFonts w:ascii="Times New Roman" w:hAnsi="Times New Roman" w:cs="Times New Roman"/>
                <w:b/>
                <w:bCs/>
                <w:sz w:val="24"/>
                <w:szCs w:val="24"/>
              </w:rPr>
              <w:t>2. Деятельность Приднестровского республиканского банка в 201</w:t>
            </w:r>
            <w:r w:rsidR="00BF66C3" w:rsidRPr="002B5F1D">
              <w:rPr>
                <w:rFonts w:ascii="Times New Roman" w:hAnsi="Times New Roman" w:cs="Times New Roman"/>
                <w:b/>
                <w:bCs/>
                <w:sz w:val="24"/>
                <w:szCs w:val="24"/>
              </w:rPr>
              <w:t>9</w:t>
            </w:r>
            <w:r w:rsidRPr="002B5F1D">
              <w:rPr>
                <w:rFonts w:ascii="Times New Roman" w:hAnsi="Times New Roman" w:cs="Times New Roman"/>
                <w:b/>
                <w:bCs/>
                <w:sz w:val="24"/>
                <w:szCs w:val="24"/>
              </w:rPr>
              <w:t xml:space="preserve"> году</w:t>
            </w:r>
          </w:p>
        </w:tc>
        <w:tc>
          <w:tcPr>
            <w:tcW w:w="709" w:type="dxa"/>
            <w:vAlign w:val="center"/>
          </w:tcPr>
          <w:p w14:paraId="18A138C4" w14:textId="768204F3" w:rsidR="003C18BB" w:rsidRPr="002B5F1D" w:rsidRDefault="00660580" w:rsidP="00105F0B">
            <w:pPr>
              <w:pStyle w:val="21"/>
              <w:widowControl w:val="0"/>
              <w:tabs>
                <w:tab w:val="left" w:pos="317"/>
              </w:tabs>
              <w:spacing w:after="0" w:line="24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3</w:t>
            </w:r>
            <w:r w:rsidR="00105F0B">
              <w:rPr>
                <w:rFonts w:ascii="Times New Roman" w:hAnsi="Times New Roman" w:cs="Times New Roman"/>
                <w:b/>
                <w:bCs/>
                <w:sz w:val="24"/>
                <w:szCs w:val="24"/>
              </w:rPr>
              <w:t>0</w:t>
            </w:r>
          </w:p>
        </w:tc>
      </w:tr>
      <w:tr w:rsidR="003C18BB" w:rsidRPr="002B5F1D" w14:paraId="26918633" w14:textId="77777777">
        <w:trPr>
          <w:trHeight w:val="225"/>
        </w:trPr>
        <w:tc>
          <w:tcPr>
            <w:tcW w:w="8897" w:type="dxa"/>
            <w:vAlign w:val="center"/>
          </w:tcPr>
          <w:p w14:paraId="5FFC64DE"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2.1. Денежно-кредитная политика</w:t>
            </w:r>
          </w:p>
        </w:tc>
        <w:tc>
          <w:tcPr>
            <w:tcW w:w="709" w:type="dxa"/>
            <w:vAlign w:val="center"/>
          </w:tcPr>
          <w:p w14:paraId="70B68ECF" w14:textId="20C8F468"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0</w:t>
            </w:r>
          </w:p>
        </w:tc>
      </w:tr>
      <w:tr w:rsidR="003C18BB" w:rsidRPr="002B5F1D" w14:paraId="1CF6133B" w14:textId="77777777">
        <w:trPr>
          <w:trHeight w:val="258"/>
        </w:trPr>
        <w:tc>
          <w:tcPr>
            <w:tcW w:w="8897" w:type="dxa"/>
            <w:vAlign w:val="center"/>
          </w:tcPr>
          <w:p w14:paraId="37D614B1" w14:textId="77777777" w:rsidR="003C18BB" w:rsidRPr="002B5F1D" w:rsidRDefault="003C18BB"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Цели и</w:t>
            </w:r>
            <w:r w:rsidR="00207A4A" w:rsidRPr="002B5F1D">
              <w:rPr>
                <w:rFonts w:ascii="Times New Roman" w:hAnsi="Times New Roman" w:cs="Times New Roman"/>
                <w:i/>
                <w:iCs/>
                <w:sz w:val="24"/>
                <w:szCs w:val="24"/>
              </w:rPr>
              <w:t xml:space="preserve"> </w:t>
            </w:r>
            <w:r w:rsidR="00870351" w:rsidRPr="002B5F1D">
              <w:rPr>
                <w:rFonts w:ascii="Times New Roman" w:hAnsi="Times New Roman" w:cs="Times New Roman"/>
                <w:i/>
                <w:iCs/>
                <w:sz w:val="24"/>
                <w:szCs w:val="24"/>
              </w:rPr>
              <w:t>результаты</w:t>
            </w:r>
            <w:r w:rsidR="0057024D" w:rsidRPr="002B5F1D">
              <w:rPr>
                <w:rFonts w:ascii="Times New Roman" w:hAnsi="Times New Roman" w:cs="Times New Roman"/>
                <w:i/>
                <w:iCs/>
                <w:sz w:val="24"/>
                <w:szCs w:val="24"/>
              </w:rPr>
              <w:t xml:space="preserve"> </w:t>
            </w:r>
            <w:r w:rsidRPr="002B5F1D">
              <w:rPr>
                <w:rFonts w:ascii="Times New Roman" w:hAnsi="Times New Roman" w:cs="Times New Roman"/>
                <w:i/>
                <w:iCs/>
                <w:sz w:val="24"/>
                <w:szCs w:val="24"/>
              </w:rPr>
              <w:t>денежно-кредитной политики</w:t>
            </w:r>
          </w:p>
        </w:tc>
        <w:tc>
          <w:tcPr>
            <w:tcW w:w="709" w:type="dxa"/>
            <w:vAlign w:val="center"/>
          </w:tcPr>
          <w:p w14:paraId="2AE48CB0" w14:textId="1512E6F0"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0</w:t>
            </w:r>
          </w:p>
        </w:tc>
      </w:tr>
      <w:tr w:rsidR="003C18BB" w:rsidRPr="002B5F1D" w14:paraId="7EE17997" w14:textId="77777777">
        <w:trPr>
          <w:trHeight w:val="258"/>
        </w:trPr>
        <w:tc>
          <w:tcPr>
            <w:tcW w:w="8897" w:type="dxa"/>
            <w:vAlign w:val="center"/>
          </w:tcPr>
          <w:p w14:paraId="274C895D" w14:textId="77777777" w:rsidR="003C18BB" w:rsidRPr="002B5F1D" w:rsidRDefault="004C5696"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Инструменты</w:t>
            </w:r>
            <w:r w:rsidR="00E02B6B" w:rsidRPr="002B5F1D">
              <w:rPr>
                <w:rFonts w:ascii="Times New Roman" w:hAnsi="Times New Roman" w:cs="Times New Roman"/>
                <w:i/>
                <w:iCs/>
                <w:sz w:val="24"/>
                <w:szCs w:val="24"/>
              </w:rPr>
              <w:t xml:space="preserve"> </w:t>
            </w:r>
            <w:r w:rsidRPr="002B5F1D">
              <w:rPr>
                <w:rFonts w:ascii="Times New Roman" w:hAnsi="Times New Roman" w:cs="Times New Roman"/>
                <w:i/>
                <w:iCs/>
                <w:sz w:val="24"/>
                <w:szCs w:val="24"/>
              </w:rPr>
              <w:t>денежно-кредитной политики</w:t>
            </w:r>
          </w:p>
        </w:tc>
        <w:tc>
          <w:tcPr>
            <w:tcW w:w="709" w:type="dxa"/>
            <w:vAlign w:val="center"/>
          </w:tcPr>
          <w:p w14:paraId="3E3E80D6" w14:textId="7EA67149"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1</w:t>
            </w:r>
          </w:p>
        </w:tc>
      </w:tr>
      <w:tr w:rsidR="003C18BB" w:rsidRPr="002B5F1D" w14:paraId="7D31334B" w14:textId="77777777">
        <w:trPr>
          <w:trHeight w:val="135"/>
        </w:trPr>
        <w:tc>
          <w:tcPr>
            <w:tcW w:w="8897" w:type="dxa"/>
            <w:vAlign w:val="center"/>
          </w:tcPr>
          <w:p w14:paraId="2B028C9E"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2.2. Динамика золотовалютных резервов</w:t>
            </w:r>
          </w:p>
        </w:tc>
        <w:tc>
          <w:tcPr>
            <w:tcW w:w="709" w:type="dxa"/>
            <w:vAlign w:val="center"/>
          </w:tcPr>
          <w:p w14:paraId="1BD95F7E" w14:textId="1A1F8DE1"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1</w:t>
            </w:r>
          </w:p>
        </w:tc>
      </w:tr>
      <w:tr w:rsidR="003C18BB" w:rsidRPr="002B5F1D" w14:paraId="4674ADEB" w14:textId="77777777">
        <w:trPr>
          <w:trHeight w:val="258"/>
        </w:trPr>
        <w:tc>
          <w:tcPr>
            <w:tcW w:w="8897" w:type="dxa"/>
            <w:vAlign w:val="center"/>
          </w:tcPr>
          <w:p w14:paraId="6389D23C"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 xml:space="preserve">2.3. </w:t>
            </w:r>
            <w:r w:rsidR="0027181C" w:rsidRPr="002B5F1D">
              <w:rPr>
                <w:rFonts w:ascii="Times New Roman" w:hAnsi="Times New Roman" w:cs="Times New Roman"/>
                <w:sz w:val="24"/>
                <w:szCs w:val="24"/>
              </w:rPr>
              <w:t>Р</w:t>
            </w:r>
            <w:r w:rsidRPr="002B5F1D">
              <w:rPr>
                <w:rFonts w:ascii="Times New Roman" w:hAnsi="Times New Roman" w:cs="Times New Roman"/>
                <w:sz w:val="24"/>
                <w:szCs w:val="24"/>
              </w:rPr>
              <w:t xml:space="preserve">егулирование и надзор </w:t>
            </w:r>
            <w:r w:rsidR="0027181C" w:rsidRPr="002B5F1D">
              <w:rPr>
                <w:rFonts w:ascii="Times New Roman" w:hAnsi="Times New Roman" w:cs="Times New Roman"/>
                <w:sz w:val="24"/>
                <w:szCs w:val="24"/>
              </w:rPr>
              <w:t>в банковской и страховой сферах</w:t>
            </w:r>
          </w:p>
        </w:tc>
        <w:tc>
          <w:tcPr>
            <w:tcW w:w="709" w:type="dxa"/>
            <w:vAlign w:val="center"/>
          </w:tcPr>
          <w:p w14:paraId="395329BB" w14:textId="71E4A7F2" w:rsidR="003C18BB" w:rsidRPr="002B5F1D" w:rsidRDefault="00660580" w:rsidP="00E95790">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2</w:t>
            </w:r>
          </w:p>
        </w:tc>
      </w:tr>
      <w:tr w:rsidR="003C18BB" w:rsidRPr="002B5F1D" w14:paraId="7976359F" w14:textId="77777777">
        <w:trPr>
          <w:trHeight w:val="258"/>
        </w:trPr>
        <w:tc>
          <w:tcPr>
            <w:tcW w:w="8897" w:type="dxa"/>
            <w:vAlign w:val="center"/>
          </w:tcPr>
          <w:p w14:paraId="0540F90D" w14:textId="77777777" w:rsidR="003C18BB" w:rsidRPr="002B5F1D" w:rsidRDefault="003C18BB"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Регистрация и лицензирование банковской деятельности</w:t>
            </w:r>
          </w:p>
        </w:tc>
        <w:tc>
          <w:tcPr>
            <w:tcW w:w="709" w:type="dxa"/>
            <w:vAlign w:val="center"/>
          </w:tcPr>
          <w:p w14:paraId="289F11AF" w14:textId="5A4AAB3A"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2</w:t>
            </w:r>
          </w:p>
        </w:tc>
      </w:tr>
      <w:tr w:rsidR="003C18BB" w:rsidRPr="002B5F1D" w14:paraId="4C45F037" w14:textId="77777777">
        <w:trPr>
          <w:trHeight w:val="258"/>
        </w:trPr>
        <w:tc>
          <w:tcPr>
            <w:tcW w:w="8897" w:type="dxa"/>
            <w:vAlign w:val="center"/>
          </w:tcPr>
          <w:p w14:paraId="46F406CD" w14:textId="77777777" w:rsidR="003C18BB" w:rsidRPr="002B5F1D" w:rsidRDefault="003C18BB"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Дистанционный надзор</w:t>
            </w:r>
          </w:p>
        </w:tc>
        <w:tc>
          <w:tcPr>
            <w:tcW w:w="709" w:type="dxa"/>
            <w:vAlign w:val="center"/>
          </w:tcPr>
          <w:p w14:paraId="1AB5D1FF" w14:textId="3F3B9AB5" w:rsidR="003C18BB" w:rsidRPr="002B5F1D" w:rsidRDefault="00660580" w:rsidP="009E186B">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3</w:t>
            </w:r>
          </w:p>
        </w:tc>
      </w:tr>
      <w:tr w:rsidR="003C18BB" w:rsidRPr="002B5F1D" w14:paraId="5D5D0B18" w14:textId="77777777">
        <w:trPr>
          <w:trHeight w:val="258"/>
        </w:trPr>
        <w:tc>
          <w:tcPr>
            <w:tcW w:w="8897" w:type="dxa"/>
            <w:vAlign w:val="center"/>
          </w:tcPr>
          <w:p w14:paraId="321D39E2" w14:textId="77777777" w:rsidR="003C18BB" w:rsidRPr="002B5F1D" w:rsidRDefault="003C18BB"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Банковское регулирование</w:t>
            </w:r>
          </w:p>
        </w:tc>
        <w:tc>
          <w:tcPr>
            <w:tcW w:w="709" w:type="dxa"/>
            <w:vAlign w:val="center"/>
          </w:tcPr>
          <w:p w14:paraId="26426D04" w14:textId="0FF2220B"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3</w:t>
            </w:r>
          </w:p>
        </w:tc>
      </w:tr>
      <w:tr w:rsidR="003C18BB" w:rsidRPr="002B5F1D" w14:paraId="4BA50DD2" w14:textId="77777777">
        <w:trPr>
          <w:trHeight w:val="258"/>
        </w:trPr>
        <w:tc>
          <w:tcPr>
            <w:tcW w:w="8897" w:type="dxa"/>
            <w:vAlign w:val="center"/>
          </w:tcPr>
          <w:p w14:paraId="557F6CFC" w14:textId="591CC225" w:rsidR="003C18BB" w:rsidRPr="002B5F1D" w:rsidRDefault="003C18BB"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 xml:space="preserve">Инспектирование кредитных </w:t>
            </w:r>
            <w:r w:rsidR="00660580">
              <w:rPr>
                <w:rFonts w:ascii="Times New Roman" w:hAnsi="Times New Roman" w:cs="Times New Roman"/>
                <w:i/>
                <w:iCs/>
                <w:sz w:val="24"/>
                <w:szCs w:val="24"/>
              </w:rPr>
              <w:t xml:space="preserve">и страховых </w:t>
            </w:r>
            <w:r w:rsidRPr="002B5F1D">
              <w:rPr>
                <w:rFonts w:ascii="Times New Roman" w:hAnsi="Times New Roman" w:cs="Times New Roman"/>
                <w:i/>
                <w:iCs/>
                <w:sz w:val="24"/>
                <w:szCs w:val="24"/>
              </w:rPr>
              <w:t>организаций</w:t>
            </w:r>
          </w:p>
        </w:tc>
        <w:tc>
          <w:tcPr>
            <w:tcW w:w="709" w:type="dxa"/>
            <w:vAlign w:val="center"/>
          </w:tcPr>
          <w:p w14:paraId="1484F483" w14:textId="5012C90E"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5</w:t>
            </w:r>
          </w:p>
        </w:tc>
      </w:tr>
      <w:tr w:rsidR="006E78A2" w:rsidRPr="002B5F1D" w14:paraId="59912919" w14:textId="77777777">
        <w:trPr>
          <w:trHeight w:val="258"/>
        </w:trPr>
        <w:tc>
          <w:tcPr>
            <w:tcW w:w="8897" w:type="dxa"/>
            <w:vAlign w:val="center"/>
          </w:tcPr>
          <w:p w14:paraId="16100F07" w14:textId="77777777" w:rsidR="006E78A2" w:rsidRPr="002B5F1D" w:rsidRDefault="006E78A2" w:rsidP="00123AEA">
            <w:pPr>
              <w:pStyle w:val="21"/>
              <w:widowControl w:val="0"/>
              <w:spacing w:before="0"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Регулирование страхового</w:t>
            </w:r>
            <w:r w:rsidR="00870351" w:rsidRPr="002B5F1D">
              <w:rPr>
                <w:rFonts w:ascii="Times New Roman" w:hAnsi="Times New Roman" w:cs="Times New Roman"/>
                <w:i/>
                <w:iCs/>
                <w:sz w:val="24"/>
                <w:szCs w:val="24"/>
              </w:rPr>
              <w:t xml:space="preserve"> рынка</w:t>
            </w:r>
          </w:p>
        </w:tc>
        <w:tc>
          <w:tcPr>
            <w:tcW w:w="709" w:type="dxa"/>
            <w:vAlign w:val="center"/>
          </w:tcPr>
          <w:p w14:paraId="011D3BF0" w14:textId="012C87AA" w:rsidR="006E78A2"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5</w:t>
            </w:r>
          </w:p>
        </w:tc>
      </w:tr>
      <w:tr w:rsidR="003C18BB" w:rsidRPr="002B5F1D" w14:paraId="3A4DE1E7" w14:textId="77777777">
        <w:trPr>
          <w:trHeight w:val="268"/>
        </w:trPr>
        <w:tc>
          <w:tcPr>
            <w:tcW w:w="8897" w:type="dxa"/>
            <w:vAlign w:val="center"/>
          </w:tcPr>
          <w:p w14:paraId="30E285CA"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2.4. Валютное регулирование и валютный контроль</w:t>
            </w:r>
          </w:p>
        </w:tc>
        <w:tc>
          <w:tcPr>
            <w:tcW w:w="709" w:type="dxa"/>
            <w:vAlign w:val="center"/>
          </w:tcPr>
          <w:p w14:paraId="7D33764A" w14:textId="56FD95F6"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7</w:t>
            </w:r>
          </w:p>
        </w:tc>
      </w:tr>
      <w:tr w:rsidR="003C18BB" w:rsidRPr="002B5F1D" w14:paraId="0C446B04" w14:textId="77777777">
        <w:trPr>
          <w:trHeight w:val="268"/>
        </w:trPr>
        <w:tc>
          <w:tcPr>
            <w:tcW w:w="8897" w:type="dxa"/>
            <w:vAlign w:val="center"/>
          </w:tcPr>
          <w:p w14:paraId="58E03FD8"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 xml:space="preserve">2.5. </w:t>
            </w:r>
            <w:r w:rsidR="00870351" w:rsidRPr="002B5F1D">
              <w:rPr>
                <w:rFonts w:ascii="Times New Roman" w:hAnsi="Times New Roman" w:cs="Times New Roman"/>
                <w:sz w:val="24"/>
                <w:szCs w:val="24"/>
              </w:rPr>
              <w:t>П</w:t>
            </w:r>
            <w:r w:rsidRPr="002B5F1D">
              <w:rPr>
                <w:rFonts w:ascii="Times New Roman" w:hAnsi="Times New Roman" w:cs="Times New Roman"/>
                <w:sz w:val="24"/>
                <w:szCs w:val="24"/>
              </w:rPr>
              <w:t>ротиводействи</w:t>
            </w:r>
            <w:r w:rsidR="00870351" w:rsidRPr="002B5F1D">
              <w:rPr>
                <w:rFonts w:ascii="Times New Roman" w:hAnsi="Times New Roman" w:cs="Times New Roman"/>
                <w:sz w:val="24"/>
                <w:szCs w:val="24"/>
              </w:rPr>
              <w:t>е</w:t>
            </w:r>
            <w:r w:rsidRPr="002B5F1D">
              <w:rPr>
                <w:rFonts w:ascii="Times New Roman" w:hAnsi="Times New Roman" w:cs="Times New Roman"/>
                <w:sz w:val="24"/>
                <w:szCs w:val="24"/>
              </w:rPr>
              <w:t xml:space="preserve"> легализации (отмыванию) доходов, полученных преступным путём, и финансированию терроризма </w:t>
            </w:r>
          </w:p>
        </w:tc>
        <w:tc>
          <w:tcPr>
            <w:tcW w:w="709" w:type="dxa"/>
            <w:vAlign w:val="center"/>
          </w:tcPr>
          <w:p w14:paraId="2DFE3502" w14:textId="5713B485" w:rsidR="003C18BB" w:rsidRPr="002B5F1D" w:rsidRDefault="00660580" w:rsidP="009E186B">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105F0B">
              <w:rPr>
                <w:rFonts w:ascii="Times New Roman" w:hAnsi="Times New Roman" w:cs="Times New Roman"/>
                <w:sz w:val="24"/>
                <w:szCs w:val="24"/>
              </w:rPr>
              <w:t>8</w:t>
            </w:r>
          </w:p>
        </w:tc>
      </w:tr>
      <w:tr w:rsidR="003C18BB" w:rsidRPr="002B5F1D" w14:paraId="44A5F2C2" w14:textId="77777777">
        <w:trPr>
          <w:trHeight w:val="258"/>
        </w:trPr>
        <w:tc>
          <w:tcPr>
            <w:tcW w:w="8897" w:type="dxa"/>
            <w:vAlign w:val="center"/>
          </w:tcPr>
          <w:p w14:paraId="37CA3166"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2.6. Функционирование платёжной системы Приднестровского республиканского банка</w:t>
            </w:r>
          </w:p>
        </w:tc>
        <w:tc>
          <w:tcPr>
            <w:tcW w:w="709" w:type="dxa"/>
            <w:vAlign w:val="center"/>
          </w:tcPr>
          <w:p w14:paraId="62D5F1B1" w14:textId="102DA7C8" w:rsidR="003C18BB" w:rsidRPr="002B5F1D" w:rsidRDefault="00660580" w:rsidP="00E95790">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0</w:t>
            </w:r>
          </w:p>
        </w:tc>
      </w:tr>
      <w:tr w:rsidR="003C18BB" w:rsidRPr="002B5F1D" w14:paraId="6AB67C82" w14:textId="77777777">
        <w:trPr>
          <w:trHeight w:val="258"/>
        </w:trPr>
        <w:tc>
          <w:tcPr>
            <w:tcW w:w="8897" w:type="dxa"/>
            <w:vAlign w:val="center"/>
          </w:tcPr>
          <w:p w14:paraId="2D5EE60D"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2.7. Организация наличного денежного обращения</w:t>
            </w:r>
          </w:p>
        </w:tc>
        <w:tc>
          <w:tcPr>
            <w:tcW w:w="709" w:type="dxa"/>
            <w:vAlign w:val="center"/>
          </w:tcPr>
          <w:p w14:paraId="2CAC57F1" w14:textId="1D5ECF8A"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1</w:t>
            </w:r>
          </w:p>
        </w:tc>
      </w:tr>
      <w:tr w:rsidR="003C18BB" w:rsidRPr="002B5F1D" w14:paraId="237CBC6C" w14:textId="77777777">
        <w:trPr>
          <w:trHeight w:val="312"/>
        </w:trPr>
        <w:tc>
          <w:tcPr>
            <w:tcW w:w="8897" w:type="dxa"/>
            <w:vAlign w:val="center"/>
          </w:tcPr>
          <w:p w14:paraId="75D37DC3"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2.8.</w:t>
            </w:r>
            <w:r w:rsidR="0057024D" w:rsidRPr="002B5F1D">
              <w:rPr>
                <w:rFonts w:ascii="Times New Roman" w:hAnsi="Times New Roman" w:cs="Times New Roman"/>
                <w:sz w:val="24"/>
                <w:szCs w:val="24"/>
              </w:rPr>
              <w:t xml:space="preserve"> </w:t>
            </w:r>
            <w:r w:rsidR="00870351" w:rsidRPr="002B5F1D">
              <w:rPr>
                <w:rFonts w:ascii="Times New Roman" w:hAnsi="Times New Roman" w:cs="Times New Roman"/>
                <w:sz w:val="24"/>
                <w:szCs w:val="24"/>
              </w:rPr>
              <w:t>Совершенствование бухгалтерского учёта и отчётности кредитных и страховых организаций</w:t>
            </w:r>
          </w:p>
        </w:tc>
        <w:tc>
          <w:tcPr>
            <w:tcW w:w="709" w:type="dxa"/>
            <w:vAlign w:val="center"/>
          </w:tcPr>
          <w:p w14:paraId="4D8C8951" w14:textId="0D67D6C5" w:rsidR="003C18BB" w:rsidRPr="002B5F1D" w:rsidRDefault="00660580" w:rsidP="00E95790">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2</w:t>
            </w:r>
          </w:p>
        </w:tc>
      </w:tr>
      <w:tr w:rsidR="003C18BB" w:rsidRPr="002B5F1D" w14:paraId="4C2DB71D" w14:textId="77777777">
        <w:trPr>
          <w:trHeight w:val="312"/>
        </w:trPr>
        <w:tc>
          <w:tcPr>
            <w:tcW w:w="8897" w:type="dxa"/>
            <w:vAlign w:val="center"/>
          </w:tcPr>
          <w:p w14:paraId="03554677" w14:textId="77777777" w:rsidR="003C18BB" w:rsidRPr="002B5F1D" w:rsidRDefault="003C18BB" w:rsidP="00123AEA">
            <w:pPr>
              <w:pStyle w:val="21"/>
              <w:widowControl w:val="0"/>
              <w:spacing w:before="0"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2.9.</w:t>
            </w:r>
            <w:r w:rsidR="0057024D" w:rsidRPr="002B5F1D">
              <w:rPr>
                <w:rFonts w:ascii="Times New Roman" w:hAnsi="Times New Roman" w:cs="Times New Roman"/>
                <w:sz w:val="24"/>
                <w:szCs w:val="24"/>
              </w:rPr>
              <w:t xml:space="preserve"> </w:t>
            </w:r>
            <w:r w:rsidR="00870351" w:rsidRPr="002B5F1D">
              <w:rPr>
                <w:rFonts w:ascii="Times New Roman" w:hAnsi="Times New Roman" w:cs="Times New Roman"/>
                <w:sz w:val="24"/>
                <w:szCs w:val="24"/>
              </w:rPr>
              <w:t>Взаимодействие Приднестровского республиканского банка с органами государственной власти</w:t>
            </w:r>
          </w:p>
        </w:tc>
        <w:tc>
          <w:tcPr>
            <w:tcW w:w="709" w:type="dxa"/>
            <w:vAlign w:val="center"/>
          </w:tcPr>
          <w:p w14:paraId="797D04CA" w14:textId="7B4B7FF7"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4</w:t>
            </w:r>
          </w:p>
        </w:tc>
      </w:tr>
      <w:tr w:rsidR="003C18BB" w:rsidRPr="002B5F1D" w14:paraId="4A921B2A" w14:textId="77777777">
        <w:trPr>
          <w:trHeight w:val="312"/>
        </w:trPr>
        <w:tc>
          <w:tcPr>
            <w:tcW w:w="8897" w:type="dxa"/>
            <w:vAlign w:val="center"/>
          </w:tcPr>
          <w:p w14:paraId="10D6BC83" w14:textId="77777777" w:rsidR="003C18BB" w:rsidRPr="002B5F1D" w:rsidRDefault="003C18BB" w:rsidP="00123AEA">
            <w:pPr>
              <w:pStyle w:val="21"/>
              <w:widowControl w:val="0"/>
              <w:spacing w:before="0" w:after="0" w:line="240" w:lineRule="auto"/>
              <w:ind w:left="686" w:hanging="406"/>
              <w:rPr>
                <w:rFonts w:ascii="Times New Roman" w:hAnsi="Times New Roman" w:cs="Times New Roman"/>
                <w:i/>
                <w:iCs/>
                <w:sz w:val="24"/>
                <w:szCs w:val="24"/>
              </w:rPr>
            </w:pPr>
            <w:r w:rsidRPr="002B5F1D">
              <w:rPr>
                <w:rFonts w:ascii="Times New Roman" w:hAnsi="Times New Roman" w:cs="Times New Roman"/>
                <w:sz w:val="24"/>
                <w:szCs w:val="24"/>
              </w:rPr>
              <w:t>2.1</w:t>
            </w:r>
            <w:r w:rsidR="00FC53FA" w:rsidRPr="002B5F1D">
              <w:rPr>
                <w:rFonts w:ascii="Times New Roman" w:hAnsi="Times New Roman" w:cs="Times New Roman"/>
                <w:sz w:val="24"/>
                <w:szCs w:val="24"/>
              </w:rPr>
              <w:t>0</w:t>
            </w:r>
            <w:r w:rsidRPr="002B5F1D">
              <w:rPr>
                <w:rFonts w:ascii="Times New Roman" w:hAnsi="Times New Roman" w:cs="Times New Roman"/>
                <w:sz w:val="24"/>
                <w:szCs w:val="24"/>
              </w:rPr>
              <w:t>. Организация внутренней деятельности Приднестровского республиканского банка</w:t>
            </w:r>
          </w:p>
        </w:tc>
        <w:tc>
          <w:tcPr>
            <w:tcW w:w="709" w:type="dxa"/>
            <w:vAlign w:val="center"/>
          </w:tcPr>
          <w:p w14:paraId="190AB36D" w14:textId="11F03E99" w:rsidR="003C18BB" w:rsidRPr="002B5F1D" w:rsidRDefault="00660580" w:rsidP="00E95790">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6</w:t>
            </w:r>
          </w:p>
        </w:tc>
      </w:tr>
      <w:tr w:rsidR="003C18BB" w:rsidRPr="002B5F1D" w14:paraId="735DC1FA" w14:textId="77777777">
        <w:trPr>
          <w:trHeight w:val="312"/>
        </w:trPr>
        <w:tc>
          <w:tcPr>
            <w:tcW w:w="8897" w:type="dxa"/>
            <w:vAlign w:val="center"/>
          </w:tcPr>
          <w:p w14:paraId="6228E76F" w14:textId="77777777" w:rsidR="003C18BB" w:rsidRPr="002B5F1D" w:rsidRDefault="003C18BB" w:rsidP="00123AEA">
            <w:pPr>
              <w:widowControl w:val="0"/>
              <w:spacing w:before="0" w:after="0" w:line="240" w:lineRule="auto"/>
              <w:ind w:left="728" w:hanging="14"/>
              <w:jc w:val="both"/>
              <w:rPr>
                <w:rFonts w:ascii="Times New Roman" w:hAnsi="Times New Roman" w:cs="Times New Roman"/>
                <w:sz w:val="24"/>
                <w:szCs w:val="24"/>
              </w:rPr>
            </w:pPr>
            <w:r w:rsidRPr="002B5F1D">
              <w:rPr>
                <w:rFonts w:ascii="Times New Roman" w:hAnsi="Times New Roman" w:cs="Times New Roman"/>
                <w:i/>
                <w:iCs/>
                <w:sz w:val="24"/>
                <w:szCs w:val="24"/>
              </w:rPr>
              <w:lastRenderedPageBreak/>
              <w:t>Организационная структура</w:t>
            </w:r>
            <w:r w:rsidR="00870351" w:rsidRPr="002B5F1D">
              <w:rPr>
                <w:rFonts w:ascii="Times New Roman" w:hAnsi="Times New Roman" w:cs="Times New Roman"/>
                <w:i/>
                <w:iCs/>
                <w:sz w:val="24"/>
                <w:szCs w:val="24"/>
              </w:rPr>
              <w:t xml:space="preserve"> банка</w:t>
            </w:r>
            <w:r w:rsidRPr="002B5F1D">
              <w:rPr>
                <w:rFonts w:ascii="Times New Roman" w:hAnsi="Times New Roman" w:cs="Times New Roman"/>
                <w:i/>
                <w:iCs/>
                <w:sz w:val="24"/>
                <w:szCs w:val="24"/>
              </w:rPr>
              <w:t>, кадровое обеспечение и обучение персонала</w:t>
            </w:r>
          </w:p>
        </w:tc>
        <w:tc>
          <w:tcPr>
            <w:tcW w:w="709" w:type="dxa"/>
            <w:vAlign w:val="center"/>
          </w:tcPr>
          <w:p w14:paraId="56436A9C" w14:textId="7633796B"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6</w:t>
            </w:r>
          </w:p>
        </w:tc>
      </w:tr>
      <w:tr w:rsidR="003C18BB" w:rsidRPr="002B5F1D" w14:paraId="470700E8" w14:textId="77777777">
        <w:trPr>
          <w:trHeight w:val="312"/>
        </w:trPr>
        <w:tc>
          <w:tcPr>
            <w:tcW w:w="8897" w:type="dxa"/>
            <w:vAlign w:val="center"/>
          </w:tcPr>
          <w:p w14:paraId="6EE795D2" w14:textId="77777777" w:rsidR="003C18BB" w:rsidRPr="002B5F1D" w:rsidRDefault="003C18BB" w:rsidP="00123AEA">
            <w:pPr>
              <w:widowControl w:val="0"/>
              <w:spacing w:before="0" w:after="0" w:line="240" w:lineRule="auto"/>
              <w:ind w:left="728" w:hanging="14"/>
              <w:jc w:val="both"/>
              <w:rPr>
                <w:rFonts w:ascii="Times New Roman" w:hAnsi="Times New Roman" w:cs="Times New Roman"/>
                <w:sz w:val="24"/>
                <w:szCs w:val="24"/>
              </w:rPr>
            </w:pPr>
            <w:r w:rsidRPr="002B5F1D">
              <w:rPr>
                <w:rFonts w:ascii="Times New Roman" w:hAnsi="Times New Roman" w:cs="Times New Roman"/>
                <w:i/>
                <w:iCs/>
                <w:sz w:val="24"/>
                <w:szCs w:val="24"/>
              </w:rPr>
              <w:t>Техническое обеспечение</w:t>
            </w:r>
          </w:p>
        </w:tc>
        <w:tc>
          <w:tcPr>
            <w:tcW w:w="709" w:type="dxa"/>
            <w:vAlign w:val="center"/>
          </w:tcPr>
          <w:p w14:paraId="456B78D3" w14:textId="57FFFA81"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7</w:t>
            </w:r>
          </w:p>
        </w:tc>
      </w:tr>
      <w:tr w:rsidR="003C18BB" w:rsidRPr="002B5F1D" w14:paraId="100BD3F7" w14:textId="77777777">
        <w:trPr>
          <w:trHeight w:val="312"/>
        </w:trPr>
        <w:tc>
          <w:tcPr>
            <w:tcW w:w="8897" w:type="dxa"/>
            <w:vAlign w:val="center"/>
          </w:tcPr>
          <w:p w14:paraId="72BA9E58" w14:textId="77777777" w:rsidR="003C18BB" w:rsidRPr="002B5F1D" w:rsidRDefault="00870351" w:rsidP="00123AEA">
            <w:pPr>
              <w:widowControl w:val="0"/>
              <w:spacing w:before="0" w:after="0" w:line="240" w:lineRule="auto"/>
              <w:ind w:left="728" w:hanging="14"/>
              <w:rPr>
                <w:rFonts w:ascii="Times New Roman" w:hAnsi="Times New Roman" w:cs="Times New Roman"/>
                <w:sz w:val="24"/>
                <w:szCs w:val="24"/>
              </w:rPr>
            </w:pPr>
            <w:r w:rsidRPr="002B5F1D">
              <w:rPr>
                <w:rFonts w:ascii="Times New Roman" w:hAnsi="Times New Roman" w:cs="Times New Roman"/>
                <w:i/>
                <w:iCs/>
                <w:sz w:val="24"/>
                <w:szCs w:val="24"/>
              </w:rPr>
              <w:t>С</w:t>
            </w:r>
            <w:r w:rsidR="003C18BB" w:rsidRPr="002B5F1D">
              <w:rPr>
                <w:rFonts w:ascii="Times New Roman" w:hAnsi="Times New Roman" w:cs="Times New Roman"/>
                <w:i/>
                <w:iCs/>
                <w:sz w:val="24"/>
                <w:szCs w:val="24"/>
              </w:rPr>
              <w:t>овершенствовани</w:t>
            </w:r>
            <w:r w:rsidRPr="002B5F1D">
              <w:rPr>
                <w:rFonts w:ascii="Times New Roman" w:hAnsi="Times New Roman" w:cs="Times New Roman"/>
                <w:i/>
                <w:iCs/>
                <w:sz w:val="24"/>
                <w:szCs w:val="24"/>
              </w:rPr>
              <w:t>е</w:t>
            </w:r>
            <w:r w:rsidR="0027181C" w:rsidRPr="002B5F1D">
              <w:rPr>
                <w:rFonts w:ascii="Times New Roman" w:hAnsi="Times New Roman" w:cs="Times New Roman"/>
                <w:i/>
                <w:iCs/>
                <w:sz w:val="24"/>
                <w:szCs w:val="24"/>
              </w:rPr>
              <w:t xml:space="preserve"> </w:t>
            </w:r>
            <w:r w:rsidR="003C18BB" w:rsidRPr="002B5F1D">
              <w:rPr>
                <w:rFonts w:ascii="Times New Roman" w:hAnsi="Times New Roman" w:cs="Times New Roman"/>
                <w:i/>
                <w:iCs/>
                <w:sz w:val="24"/>
                <w:szCs w:val="24"/>
              </w:rPr>
              <w:t>законодательства. Претензионно-исковая работа</w:t>
            </w:r>
          </w:p>
        </w:tc>
        <w:tc>
          <w:tcPr>
            <w:tcW w:w="709" w:type="dxa"/>
            <w:vAlign w:val="center"/>
          </w:tcPr>
          <w:p w14:paraId="7C597C8B" w14:textId="5CA173F4"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7</w:t>
            </w:r>
          </w:p>
        </w:tc>
      </w:tr>
      <w:tr w:rsidR="00870351" w:rsidRPr="002B5F1D" w14:paraId="43169E84" w14:textId="77777777">
        <w:trPr>
          <w:trHeight w:val="312"/>
        </w:trPr>
        <w:tc>
          <w:tcPr>
            <w:tcW w:w="8897" w:type="dxa"/>
            <w:vAlign w:val="center"/>
          </w:tcPr>
          <w:p w14:paraId="30CF5AC3" w14:textId="77777777" w:rsidR="00870351" w:rsidRPr="002B5F1D" w:rsidRDefault="00870351" w:rsidP="00123AEA">
            <w:pPr>
              <w:widowControl w:val="0"/>
              <w:spacing w:before="0" w:after="0" w:line="240" w:lineRule="auto"/>
              <w:ind w:left="728"/>
              <w:jc w:val="both"/>
              <w:rPr>
                <w:rFonts w:ascii="Times New Roman" w:hAnsi="Times New Roman" w:cs="Times New Roman"/>
                <w:i/>
                <w:iCs/>
                <w:sz w:val="24"/>
                <w:szCs w:val="24"/>
              </w:rPr>
            </w:pPr>
            <w:r w:rsidRPr="002B5F1D">
              <w:rPr>
                <w:rFonts w:ascii="Times New Roman" w:hAnsi="Times New Roman" w:cs="Times New Roman"/>
                <w:i/>
                <w:iCs/>
                <w:sz w:val="24"/>
                <w:szCs w:val="24"/>
              </w:rPr>
              <w:t>Управление рисками банковских операций</w:t>
            </w:r>
          </w:p>
        </w:tc>
        <w:tc>
          <w:tcPr>
            <w:tcW w:w="709" w:type="dxa"/>
            <w:vAlign w:val="center"/>
          </w:tcPr>
          <w:p w14:paraId="1DD9AEE1" w14:textId="166A4AE2" w:rsidR="00870351" w:rsidRPr="002B5F1D" w:rsidRDefault="00660580" w:rsidP="00EA0A5D">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105F0B">
              <w:rPr>
                <w:rFonts w:ascii="Times New Roman" w:hAnsi="Times New Roman" w:cs="Times New Roman"/>
                <w:sz w:val="24"/>
                <w:szCs w:val="24"/>
              </w:rPr>
              <w:t>8</w:t>
            </w:r>
          </w:p>
        </w:tc>
      </w:tr>
      <w:tr w:rsidR="00870351" w:rsidRPr="002B5F1D" w14:paraId="512B1260" w14:textId="77777777">
        <w:trPr>
          <w:trHeight w:val="312"/>
        </w:trPr>
        <w:tc>
          <w:tcPr>
            <w:tcW w:w="8897" w:type="dxa"/>
            <w:vAlign w:val="center"/>
          </w:tcPr>
          <w:p w14:paraId="55CC114F" w14:textId="77777777" w:rsidR="00870351" w:rsidRPr="002B5F1D" w:rsidRDefault="00870351" w:rsidP="00123AEA">
            <w:pPr>
              <w:widowControl w:val="0"/>
              <w:spacing w:before="0" w:after="0" w:line="240" w:lineRule="auto"/>
              <w:ind w:left="728"/>
              <w:jc w:val="both"/>
              <w:rPr>
                <w:rFonts w:ascii="Times New Roman" w:hAnsi="Times New Roman" w:cs="Times New Roman"/>
                <w:i/>
                <w:iCs/>
                <w:sz w:val="24"/>
                <w:szCs w:val="24"/>
              </w:rPr>
            </w:pPr>
            <w:r w:rsidRPr="002B5F1D">
              <w:rPr>
                <w:rFonts w:ascii="Times New Roman" w:hAnsi="Times New Roman" w:cs="Times New Roman"/>
                <w:i/>
                <w:iCs/>
                <w:sz w:val="24"/>
                <w:szCs w:val="24"/>
              </w:rPr>
              <w:t>Контроль и внутренний аудит</w:t>
            </w:r>
          </w:p>
        </w:tc>
        <w:tc>
          <w:tcPr>
            <w:tcW w:w="709" w:type="dxa"/>
            <w:vAlign w:val="center"/>
          </w:tcPr>
          <w:p w14:paraId="10C0D7FF" w14:textId="064340AC" w:rsidR="00870351" w:rsidRPr="002B5F1D" w:rsidRDefault="00105F0B" w:rsidP="009E186B">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49</w:t>
            </w:r>
          </w:p>
        </w:tc>
      </w:tr>
      <w:tr w:rsidR="003C18BB" w:rsidRPr="002B5F1D" w14:paraId="62AD7134" w14:textId="77777777">
        <w:trPr>
          <w:trHeight w:val="312"/>
        </w:trPr>
        <w:tc>
          <w:tcPr>
            <w:tcW w:w="8897" w:type="dxa"/>
            <w:vAlign w:val="center"/>
          </w:tcPr>
          <w:p w14:paraId="7C6CC450" w14:textId="77777777" w:rsidR="003C18BB" w:rsidRPr="002B5F1D" w:rsidRDefault="00182680" w:rsidP="00123AEA">
            <w:pPr>
              <w:widowControl w:val="0"/>
              <w:spacing w:before="0" w:after="0" w:line="240" w:lineRule="auto"/>
              <w:ind w:left="728"/>
              <w:jc w:val="both"/>
              <w:rPr>
                <w:rFonts w:ascii="Times New Roman" w:hAnsi="Times New Roman" w:cs="Times New Roman"/>
                <w:i/>
                <w:iCs/>
                <w:sz w:val="24"/>
                <w:szCs w:val="24"/>
              </w:rPr>
            </w:pPr>
            <w:r w:rsidRPr="002B5F1D">
              <w:rPr>
                <w:rFonts w:ascii="Times New Roman" w:hAnsi="Times New Roman" w:cs="Times New Roman"/>
                <w:i/>
                <w:iCs/>
                <w:sz w:val="24"/>
                <w:szCs w:val="24"/>
              </w:rPr>
              <w:t>Информационно-разъяснительная деятельность</w:t>
            </w:r>
          </w:p>
        </w:tc>
        <w:tc>
          <w:tcPr>
            <w:tcW w:w="709" w:type="dxa"/>
            <w:vAlign w:val="center"/>
          </w:tcPr>
          <w:p w14:paraId="73B4304A" w14:textId="3703AAD6" w:rsidR="003C18BB" w:rsidRPr="002B5F1D" w:rsidRDefault="00660580" w:rsidP="009E186B">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5</w:t>
            </w:r>
            <w:r w:rsidR="00105F0B">
              <w:rPr>
                <w:rFonts w:ascii="Times New Roman" w:hAnsi="Times New Roman" w:cs="Times New Roman"/>
                <w:sz w:val="24"/>
                <w:szCs w:val="24"/>
              </w:rPr>
              <w:t>0</w:t>
            </w:r>
          </w:p>
        </w:tc>
      </w:tr>
      <w:tr w:rsidR="003C18BB" w:rsidRPr="002B5F1D" w14:paraId="5F76FDB6" w14:textId="77777777">
        <w:trPr>
          <w:trHeight w:val="312"/>
        </w:trPr>
        <w:tc>
          <w:tcPr>
            <w:tcW w:w="8897" w:type="dxa"/>
            <w:vAlign w:val="center"/>
          </w:tcPr>
          <w:p w14:paraId="32DCCE81" w14:textId="77777777" w:rsidR="003C18BB" w:rsidRPr="002B5F1D" w:rsidRDefault="003C18BB" w:rsidP="00123AEA">
            <w:pPr>
              <w:pStyle w:val="21"/>
              <w:widowControl w:val="0"/>
              <w:spacing w:before="0" w:after="0" w:line="240" w:lineRule="auto"/>
              <w:ind w:left="0"/>
              <w:rPr>
                <w:rFonts w:ascii="Times New Roman" w:hAnsi="Times New Roman" w:cs="Times New Roman"/>
                <w:b/>
                <w:bCs/>
                <w:sz w:val="24"/>
                <w:szCs w:val="24"/>
              </w:rPr>
            </w:pPr>
            <w:r w:rsidRPr="002B5F1D">
              <w:rPr>
                <w:rFonts w:ascii="Times New Roman" w:hAnsi="Times New Roman" w:cs="Times New Roman"/>
                <w:b/>
                <w:bCs/>
                <w:sz w:val="24"/>
                <w:szCs w:val="24"/>
              </w:rPr>
              <w:t xml:space="preserve">3. Основные </w:t>
            </w:r>
            <w:r w:rsidR="00D20A31" w:rsidRPr="002B5F1D">
              <w:rPr>
                <w:rFonts w:ascii="Times New Roman" w:hAnsi="Times New Roman" w:cs="Times New Roman"/>
                <w:b/>
                <w:bCs/>
                <w:sz w:val="24"/>
                <w:szCs w:val="24"/>
              </w:rPr>
              <w:t>нормативно-правовые акты</w:t>
            </w:r>
            <w:r w:rsidRPr="002B5F1D">
              <w:rPr>
                <w:rFonts w:ascii="Times New Roman" w:hAnsi="Times New Roman" w:cs="Times New Roman"/>
                <w:b/>
                <w:bCs/>
                <w:sz w:val="24"/>
                <w:szCs w:val="24"/>
              </w:rPr>
              <w:t xml:space="preserve"> Приднестровского республиканского банка, </w:t>
            </w:r>
            <w:r w:rsidR="00D20A31" w:rsidRPr="002B5F1D">
              <w:rPr>
                <w:rFonts w:ascii="Times New Roman" w:hAnsi="Times New Roman" w:cs="Times New Roman"/>
                <w:b/>
                <w:bCs/>
                <w:sz w:val="24"/>
                <w:szCs w:val="24"/>
              </w:rPr>
              <w:t>принятые</w:t>
            </w:r>
            <w:r w:rsidRPr="002B5F1D">
              <w:rPr>
                <w:rFonts w:ascii="Times New Roman" w:hAnsi="Times New Roman" w:cs="Times New Roman"/>
                <w:b/>
                <w:bCs/>
                <w:sz w:val="24"/>
                <w:szCs w:val="24"/>
              </w:rPr>
              <w:t xml:space="preserve"> в 201</w:t>
            </w:r>
            <w:r w:rsidR="00BF66C3" w:rsidRPr="002B5F1D">
              <w:rPr>
                <w:rFonts w:ascii="Times New Roman" w:hAnsi="Times New Roman" w:cs="Times New Roman"/>
                <w:b/>
                <w:bCs/>
                <w:sz w:val="24"/>
                <w:szCs w:val="24"/>
              </w:rPr>
              <w:t>9</w:t>
            </w:r>
            <w:r w:rsidRPr="002B5F1D">
              <w:rPr>
                <w:rFonts w:ascii="Times New Roman" w:hAnsi="Times New Roman" w:cs="Times New Roman"/>
                <w:b/>
                <w:bCs/>
                <w:sz w:val="24"/>
                <w:szCs w:val="24"/>
              </w:rPr>
              <w:t xml:space="preserve"> году</w:t>
            </w:r>
          </w:p>
        </w:tc>
        <w:tc>
          <w:tcPr>
            <w:tcW w:w="709" w:type="dxa"/>
            <w:vAlign w:val="center"/>
          </w:tcPr>
          <w:p w14:paraId="5BEAF2F1" w14:textId="4AA926A3" w:rsidR="003C18BB" w:rsidRPr="002B5F1D" w:rsidRDefault="00660580" w:rsidP="008512DA">
            <w:pPr>
              <w:pStyle w:val="21"/>
              <w:widowControl w:val="0"/>
              <w:tabs>
                <w:tab w:val="left" w:pos="317"/>
              </w:tabs>
              <w:spacing w:after="0" w:line="24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5</w:t>
            </w:r>
            <w:r w:rsidR="00105F0B">
              <w:rPr>
                <w:rFonts w:ascii="Times New Roman" w:hAnsi="Times New Roman" w:cs="Times New Roman"/>
                <w:b/>
                <w:bCs/>
                <w:sz w:val="24"/>
                <w:szCs w:val="24"/>
              </w:rPr>
              <w:t>2</w:t>
            </w:r>
          </w:p>
        </w:tc>
      </w:tr>
      <w:tr w:rsidR="003C18BB" w:rsidRPr="008E40A0" w14:paraId="67B02F46" w14:textId="77777777" w:rsidTr="00A24EAB">
        <w:trPr>
          <w:trHeight w:val="250"/>
        </w:trPr>
        <w:tc>
          <w:tcPr>
            <w:tcW w:w="8897" w:type="dxa"/>
            <w:vAlign w:val="center"/>
          </w:tcPr>
          <w:p w14:paraId="72F01A1D" w14:textId="77777777" w:rsidR="003C18BB" w:rsidRPr="002B5F1D" w:rsidRDefault="003C18BB" w:rsidP="00123AEA">
            <w:pPr>
              <w:pStyle w:val="21"/>
              <w:widowControl w:val="0"/>
              <w:spacing w:before="0" w:after="0" w:line="240" w:lineRule="auto"/>
              <w:ind w:left="-30"/>
              <w:rPr>
                <w:rFonts w:ascii="Times New Roman" w:hAnsi="Times New Roman" w:cs="Times New Roman"/>
                <w:b/>
                <w:bCs/>
                <w:sz w:val="24"/>
                <w:szCs w:val="24"/>
              </w:rPr>
            </w:pPr>
            <w:r w:rsidRPr="002B5F1D">
              <w:rPr>
                <w:rFonts w:ascii="Times New Roman" w:hAnsi="Times New Roman" w:cs="Times New Roman"/>
                <w:b/>
                <w:bCs/>
                <w:sz w:val="24"/>
                <w:szCs w:val="24"/>
              </w:rPr>
              <w:t>Приложени</w:t>
            </w:r>
            <w:r w:rsidR="00BF66C3" w:rsidRPr="002B5F1D">
              <w:rPr>
                <w:rFonts w:ascii="Times New Roman" w:hAnsi="Times New Roman" w:cs="Times New Roman"/>
                <w:b/>
                <w:bCs/>
                <w:sz w:val="24"/>
                <w:szCs w:val="24"/>
              </w:rPr>
              <w:t xml:space="preserve">е. </w:t>
            </w:r>
            <w:r w:rsidR="00811120" w:rsidRPr="002B5F1D">
              <w:rPr>
                <w:rFonts w:ascii="Times New Roman" w:hAnsi="Times New Roman" w:cs="Times New Roman"/>
                <w:b/>
                <w:bCs/>
                <w:sz w:val="24"/>
                <w:szCs w:val="24"/>
              </w:rPr>
              <w:t>Отчёт об исполнении сметы доходов и расходов Приднестровског</w:t>
            </w:r>
            <w:r w:rsidR="00BF66C3" w:rsidRPr="002B5F1D">
              <w:rPr>
                <w:rFonts w:ascii="Times New Roman" w:hAnsi="Times New Roman" w:cs="Times New Roman"/>
                <w:b/>
                <w:bCs/>
                <w:sz w:val="24"/>
                <w:szCs w:val="24"/>
              </w:rPr>
              <w:t>о республиканского банка за 2019</w:t>
            </w:r>
            <w:r w:rsidR="00811120" w:rsidRPr="002B5F1D">
              <w:rPr>
                <w:rFonts w:ascii="Times New Roman" w:hAnsi="Times New Roman" w:cs="Times New Roman"/>
                <w:b/>
                <w:bCs/>
                <w:sz w:val="24"/>
                <w:szCs w:val="24"/>
              </w:rPr>
              <w:t xml:space="preserve"> год</w:t>
            </w:r>
          </w:p>
        </w:tc>
        <w:tc>
          <w:tcPr>
            <w:tcW w:w="709" w:type="dxa"/>
            <w:vAlign w:val="center"/>
          </w:tcPr>
          <w:p w14:paraId="0026B310" w14:textId="0E617483" w:rsidR="003C18BB" w:rsidRPr="002B5F1D" w:rsidRDefault="00660580" w:rsidP="00A24EAB">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6</w:t>
            </w:r>
            <w:r w:rsidR="00105F0B">
              <w:rPr>
                <w:rFonts w:ascii="Times New Roman" w:hAnsi="Times New Roman" w:cs="Times New Roman"/>
                <w:sz w:val="24"/>
                <w:szCs w:val="24"/>
              </w:rPr>
              <w:t>4</w:t>
            </w:r>
          </w:p>
        </w:tc>
      </w:tr>
    </w:tbl>
    <w:p w14:paraId="6D126EB0" w14:textId="77777777" w:rsidR="008E40A0" w:rsidRDefault="008E40A0" w:rsidP="002D2B0D">
      <w:pPr>
        <w:jc w:val="center"/>
        <w:rPr>
          <w:b/>
          <w:bCs/>
          <w:sz w:val="28"/>
          <w:szCs w:val="28"/>
        </w:rPr>
      </w:pPr>
    </w:p>
    <w:p w14:paraId="772D517E" w14:textId="77777777" w:rsidR="008E40A0" w:rsidRDefault="008E40A0">
      <w:pPr>
        <w:rPr>
          <w:b/>
          <w:bCs/>
          <w:sz w:val="28"/>
          <w:szCs w:val="28"/>
        </w:rPr>
      </w:pPr>
      <w:r>
        <w:rPr>
          <w:b/>
          <w:bCs/>
          <w:sz w:val="28"/>
          <w:szCs w:val="28"/>
        </w:rPr>
        <w:br w:type="page"/>
      </w:r>
    </w:p>
    <w:p w14:paraId="209C3CD8" w14:textId="77777777" w:rsidR="00E71708" w:rsidRDefault="00E71708" w:rsidP="00E550E7">
      <w:pPr>
        <w:spacing w:line="240" w:lineRule="auto"/>
        <w:jc w:val="center"/>
        <w:rPr>
          <w:rFonts w:ascii="Times New Roman" w:hAnsi="Times New Roman" w:cs="Times New Roman"/>
          <w:b/>
          <w:bCs/>
          <w:sz w:val="24"/>
          <w:szCs w:val="24"/>
        </w:rPr>
      </w:pPr>
    </w:p>
    <w:p w14:paraId="24D6FDDE" w14:textId="77777777" w:rsidR="00E71708" w:rsidRDefault="00E71708" w:rsidP="00E550E7">
      <w:pPr>
        <w:spacing w:line="240" w:lineRule="auto"/>
        <w:jc w:val="center"/>
        <w:rPr>
          <w:rFonts w:ascii="Times New Roman" w:hAnsi="Times New Roman" w:cs="Times New Roman"/>
          <w:b/>
          <w:bCs/>
          <w:sz w:val="24"/>
          <w:szCs w:val="24"/>
        </w:rPr>
      </w:pPr>
    </w:p>
    <w:p w14:paraId="66D5E77E" w14:textId="77777777" w:rsidR="00E71708" w:rsidRDefault="00E71708" w:rsidP="00E550E7">
      <w:pPr>
        <w:spacing w:line="240" w:lineRule="auto"/>
        <w:jc w:val="center"/>
        <w:rPr>
          <w:rFonts w:ascii="Times New Roman" w:hAnsi="Times New Roman" w:cs="Times New Roman"/>
          <w:b/>
          <w:bCs/>
          <w:sz w:val="24"/>
          <w:szCs w:val="24"/>
        </w:rPr>
      </w:pPr>
    </w:p>
    <w:p w14:paraId="371EAF4E" w14:textId="77777777" w:rsidR="00E71708" w:rsidRDefault="00E71708" w:rsidP="00E550E7">
      <w:pPr>
        <w:spacing w:line="240" w:lineRule="auto"/>
        <w:jc w:val="center"/>
        <w:rPr>
          <w:rFonts w:ascii="Times New Roman" w:hAnsi="Times New Roman" w:cs="Times New Roman"/>
          <w:b/>
          <w:bCs/>
          <w:sz w:val="24"/>
          <w:szCs w:val="24"/>
        </w:rPr>
      </w:pPr>
    </w:p>
    <w:p w14:paraId="2F3817B5" w14:textId="77777777" w:rsidR="00E71708" w:rsidRDefault="00E71708" w:rsidP="00E550E7">
      <w:pPr>
        <w:spacing w:line="240" w:lineRule="auto"/>
        <w:jc w:val="center"/>
        <w:rPr>
          <w:rFonts w:ascii="Times New Roman" w:hAnsi="Times New Roman" w:cs="Times New Roman"/>
          <w:b/>
          <w:bCs/>
          <w:sz w:val="24"/>
          <w:szCs w:val="24"/>
        </w:rPr>
      </w:pPr>
    </w:p>
    <w:p w14:paraId="15F24277" w14:textId="41356BA8" w:rsidR="00E71708" w:rsidRDefault="00E71708" w:rsidP="00E550E7">
      <w:pPr>
        <w:spacing w:line="240" w:lineRule="auto"/>
        <w:jc w:val="center"/>
        <w:rPr>
          <w:rFonts w:ascii="Times New Roman" w:hAnsi="Times New Roman" w:cs="Times New Roman"/>
          <w:b/>
          <w:bCs/>
          <w:sz w:val="24"/>
          <w:szCs w:val="24"/>
        </w:rPr>
      </w:pPr>
    </w:p>
    <w:p w14:paraId="396FD3F7" w14:textId="3151B5B7" w:rsidR="00604578" w:rsidRDefault="00604578" w:rsidP="00E550E7">
      <w:pPr>
        <w:spacing w:line="240" w:lineRule="auto"/>
        <w:jc w:val="center"/>
        <w:rPr>
          <w:rFonts w:ascii="Times New Roman" w:hAnsi="Times New Roman" w:cs="Times New Roman"/>
          <w:b/>
          <w:bCs/>
          <w:sz w:val="24"/>
          <w:szCs w:val="24"/>
        </w:rPr>
      </w:pPr>
    </w:p>
    <w:p w14:paraId="26B50047" w14:textId="77777777" w:rsidR="00604578" w:rsidRDefault="00604578" w:rsidP="00E550E7">
      <w:pPr>
        <w:spacing w:line="240" w:lineRule="auto"/>
        <w:jc w:val="center"/>
        <w:rPr>
          <w:rFonts w:ascii="Times New Roman" w:hAnsi="Times New Roman" w:cs="Times New Roman"/>
          <w:b/>
          <w:bCs/>
          <w:sz w:val="24"/>
          <w:szCs w:val="24"/>
        </w:rPr>
      </w:pPr>
    </w:p>
    <w:p w14:paraId="09EC7C31" w14:textId="77777777" w:rsidR="003C18BB" w:rsidRPr="008E40A0" w:rsidRDefault="003C18BB" w:rsidP="008E40A0">
      <w:pPr>
        <w:spacing w:before="0" w:after="0" w:line="240" w:lineRule="auto"/>
        <w:jc w:val="center"/>
        <w:rPr>
          <w:rFonts w:ascii="Times New Roman" w:hAnsi="Times New Roman" w:cs="Times New Roman"/>
          <w:b/>
          <w:bCs/>
          <w:sz w:val="24"/>
          <w:szCs w:val="24"/>
        </w:rPr>
      </w:pPr>
      <w:r w:rsidRPr="00971C13">
        <w:rPr>
          <w:b/>
          <w:bCs/>
          <w:noProof/>
          <w:sz w:val="28"/>
          <w:szCs w:val="28"/>
        </w:rPr>
        <w:t>ВВЕДЕНИЕ</w:t>
      </w:r>
    </w:p>
    <w:p w14:paraId="506516AD" w14:textId="77777777" w:rsidR="00851EAB" w:rsidRPr="008E40A0" w:rsidRDefault="006E5A3E" w:rsidP="009012B2">
      <w:pPr>
        <w:widowControl w:val="0"/>
        <w:spacing w:before="12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Отчёт Приднестровского республиканского банка за 201</w:t>
      </w:r>
      <w:r w:rsidR="00851EAB" w:rsidRPr="008E40A0">
        <w:rPr>
          <w:rFonts w:ascii="Times New Roman" w:hAnsi="Times New Roman" w:cs="Times New Roman"/>
          <w:sz w:val="24"/>
          <w:szCs w:val="24"/>
        </w:rPr>
        <w:t>9</w:t>
      </w:r>
      <w:r w:rsidRPr="008E40A0">
        <w:rPr>
          <w:rFonts w:ascii="Times New Roman" w:hAnsi="Times New Roman" w:cs="Times New Roman"/>
          <w:sz w:val="24"/>
          <w:szCs w:val="24"/>
        </w:rPr>
        <w:t xml:space="preserve"> год подготовлен в соответствии со статьёй 23 Закона Приднес</w:t>
      </w:r>
      <w:r w:rsidR="00BB3A18">
        <w:rPr>
          <w:rFonts w:ascii="Times New Roman" w:hAnsi="Times New Roman" w:cs="Times New Roman"/>
          <w:sz w:val="24"/>
          <w:szCs w:val="24"/>
        </w:rPr>
        <w:t xml:space="preserve">тровской Молдавской Республики </w:t>
      </w:r>
      <w:r w:rsidRPr="008E40A0">
        <w:rPr>
          <w:rFonts w:ascii="Times New Roman" w:hAnsi="Times New Roman" w:cs="Times New Roman"/>
          <w:sz w:val="24"/>
          <w:szCs w:val="24"/>
        </w:rPr>
        <w:t xml:space="preserve">от 7 мая 2007 года </w:t>
      </w:r>
      <w:r w:rsidR="009012B2">
        <w:rPr>
          <w:rFonts w:ascii="Times New Roman" w:hAnsi="Times New Roman" w:cs="Times New Roman"/>
          <w:sz w:val="24"/>
          <w:szCs w:val="24"/>
        </w:rPr>
        <w:br/>
      </w:r>
      <w:r w:rsidRPr="008E40A0">
        <w:rPr>
          <w:rFonts w:ascii="Times New Roman" w:hAnsi="Times New Roman" w:cs="Times New Roman"/>
          <w:sz w:val="24"/>
          <w:szCs w:val="24"/>
        </w:rPr>
        <w:t>№ 212-З-</w:t>
      </w:r>
      <w:r w:rsidRPr="008E40A0">
        <w:rPr>
          <w:rFonts w:ascii="Times New Roman" w:hAnsi="Times New Roman" w:cs="Times New Roman"/>
          <w:sz w:val="24"/>
          <w:szCs w:val="24"/>
          <w:lang w:val="en-US"/>
        </w:rPr>
        <w:t>IV</w:t>
      </w:r>
      <w:r w:rsidRPr="008E40A0">
        <w:rPr>
          <w:rFonts w:ascii="Times New Roman" w:hAnsi="Times New Roman" w:cs="Times New Roman"/>
          <w:sz w:val="24"/>
          <w:szCs w:val="24"/>
        </w:rPr>
        <w:t xml:space="preserve"> </w:t>
      </w:r>
      <w:r w:rsidR="00842545" w:rsidRPr="008E40A0">
        <w:rPr>
          <w:rFonts w:ascii="Times New Roman" w:hAnsi="Times New Roman" w:cs="Times New Roman"/>
          <w:sz w:val="24"/>
          <w:szCs w:val="24"/>
        </w:rPr>
        <w:t>«</w:t>
      </w:r>
      <w:r w:rsidRPr="008E40A0">
        <w:rPr>
          <w:rFonts w:ascii="Times New Roman" w:hAnsi="Times New Roman" w:cs="Times New Roman"/>
          <w:sz w:val="24"/>
          <w:szCs w:val="24"/>
        </w:rPr>
        <w:t>О центральном банке Приднестровской Молдавской Республики</w:t>
      </w:r>
      <w:r w:rsidR="00842545" w:rsidRPr="008E40A0">
        <w:rPr>
          <w:rFonts w:ascii="Times New Roman" w:hAnsi="Times New Roman" w:cs="Times New Roman"/>
          <w:sz w:val="24"/>
          <w:szCs w:val="24"/>
        </w:rPr>
        <w:t>»</w:t>
      </w:r>
      <w:r w:rsidR="00805BBA" w:rsidRPr="008E40A0">
        <w:rPr>
          <w:rFonts w:ascii="Times New Roman" w:hAnsi="Times New Roman" w:cs="Times New Roman"/>
          <w:sz w:val="24"/>
          <w:szCs w:val="24"/>
        </w:rPr>
        <w:t>,</w:t>
      </w:r>
      <w:r w:rsidRPr="008E40A0">
        <w:rPr>
          <w:rFonts w:ascii="Times New Roman" w:hAnsi="Times New Roman" w:cs="Times New Roman"/>
          <w:sz w:val="24"/>
          <w:szCs w:val="24"/>
        </w:rPr>
        <w:t xml:space="preserve"> содержит анализ </w:t>
      </w:r>
      <w:r w:rsidR="00851EAB" w:rsidRPr="008E40A0">
        <w:rPr>
          <w:rFonts w:ascii="Times New Roman" w:hAnsi="Times New Roman" w:cs="Times New Roman"/>
          <w:sz w:val="24"/>
          <w:szCs w:val="24"/>
        </w:rPr>
        <w:t>внешних и внутренних</w:t>
      </w:r>
      <w:r w:rsidRPr="008E40A0">
        <w:rPr>
          <w:rFonts w:ascii="Times New Roman" w:hAnsi="Times New Roman" w:cs="Times New Roman"/>
          <w:sz w:val="24"/>
          <w:szCs w:val="24"/>
        </w:rPr>
        <w:t xml:space="preserve"> условий проведения денежно-кредитной политики и отражает основные результаты деятельности </w:t>
      </w:r>
      <w:r w:rsidR="00807D71" w:rsidRPr="008E40A0">
        <w:rPr>
          <w:rFonts w:ascii="Times New Roman" w:hAnsi="Times New Roman" w:cs="Times New Roman"/>
          <w:sz w:val="24"/>
          <w:szCs w:val="24"/>
        </w:rPr>
        <w:t xml:space="preserve">Приднестровского республиканского банка </w:t>
      </w:r>
      <w:r w:rsidRPr="008E40A0">
        <w:rPr>
          <w:rFonts w:ascii="Times New Roman" w:hAnsi="Times New Roman" w:cs="Times New Roman"/>
          <w:sz w:val="24"/>
          <w:szCs w:val="24"/>
        </w:rPr>
        <w:t>за отчётный период, включая годовую финансовую отчётность и аудиторское заключение по ней.</w:t>
      </w:r>
    </w:p>
    <w:p w14:paraId="5123D180" w14:textId="6334BA68" w:rsidR="00827FA9" w:rsidRPr="008E40A0" w:rsidRDefault="00851EAB" w:rsidP="008E40A0">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соответствии с «Основными направлениями единой государственной денежно-кредитной политики на 2019 год» денежно-кредитная политика </w:t>
      </w:r>
      <w:r w:rsidR="00827FA9" w:rsidRPr="008E40A0">
        <w:rPr>
          <w:rFonts w:ascii="Times New Roman" w:hAnsi="Times New Roman" w:cs="Times New Roman"/>
          <w:sz w:val="24"/>
          <w:szCs w:val="24"/>
        </w:rPr>
        <w:t>была основана на таргетировании валютного курса в рамках валютного коридора</w:t>
      </w:r>
      <w:r w:rsidR="005A642B" w:rsidRPr="008E40A0">
        <w:rPr>
          <w:rFonts w:ascii="Times New Roman" w:hAnsi="Times New Roman" w:cs="Times New Roman"/>
          <w:sz w:val="24"/>
          <w:szCs w:val="24"/>
        </w:rPr>
        <w:t xml:space="preserve"> </w:t>
      </w:r>
      <w:r w:rsidR="00827FA9" w:rsidRPr="008E40A0">
        <w:rPr>
          <w:rFonts w:ascii="Times New Roman" w:hAnsi="Times New Roman" w:cs="Times New Roman"/>
          <w:sz w:val="24"/>
          <w:szCs w:val="24"/>
        </w:rPr>
        <w:t xml:space="preserve">16,1-16,5 руб./долл. Официальный курс доллара США в течение года сохранялся на нижней границе </w:t>
      </w:r>
      <w:r w:rsidR="00971C13">
        <w:rPr>
          <w:rFonts w:ascii="Times New Roman" w:hAnsi="Times New Roman" w:cs="Times New Roman"/>
          <w:sz w:val="24"/>
          <w:szCs w:val="24"/>
        </w:rPr>
        <w:t xml:space="preserve">целевого диапазона </w:t>
      </w:r>
      <w:r w:rsidR="00827FA9" w:rsidRPr="008E40A0">
        <w:rPr>
          <w:rFonts w:ascii="Times New Roman" w:hAnsi="Times New Roman" w:cs="Times New Roman"/>
          <w:sz w:val="24"/>
          <w:szCs w:val="24"/>
        </w:rPr>
        <w:t xml:space="preserve">– 16,1 руб. ПМР. </w:t>
      </w:r>
      <w:r w:rsidR="005A642B" w:rsidRPr="008E40A0">
        <w:rPr>
          <w:rFonts w:ascii="Times New Roman" w:hAnsi="Times New Roman" w:cs="Times New Roman"/>
          <w:sz w:val="24"/>
          <w:szCs w:val="24"/>
        </w:rPr>
        <w:t>В результате</w:t>
      </w:r>
      <w:r w:rsidR="00827FA9" w:rsidRPr="008E40A0">
        <w:rPr>
          <w:rFonts w:ascii="Times New Roman" w:hAnsi="Times New Roman" w:cs="Times New Roman"/>
          <w:sz w:val="24"/>
          <w:szCs w:val="24"/>
        </w:rPr>
        <w:t xml:space="preserve"> его средневзвешенное значение (16,1000 руб. ПМР) превысило показатель 2018 года всего на 0,3%. </w:t>
      </w:r>
    </w:p>
    <w:p w14:paraId="6628EF7E" w14:textId="7BE1429A" w:rsidR="00851EAB" w:rsidRPr="00596112" w:rsidRDefault="00827FA9" w:rsidP="00596112">
      <w:pPr>
        <w:pStyle w:val="aff4"/>
        <w:spacing w:before="0" w:after="0" w:line="240" w:lineRule="auto"/>
        <w:ind w:left="0" w:firstLine="425"/>
        <w:jc w:val="both"/>
        <w:rPr>
          <w:rFonts w:ascii="Times New Roman" w:hAnsi="Times New Roman" w:cs="Times New Roman"/>
          <w:sz w:val="24"/>
          <w:szCs w:val="24"/>
        </w:rPr>
      </w:pPr>
      <w:r w:rsidRPr="008E40A0">
        <w:rPr>
          <w:rFonts w:ascii="Times New Roman" w:hAnsi="Times New Roman" w:cs="Times New Roman"/>
          <w:sz w:val="24"/>
          <w:szCs w:val="24"/>
        </w:rPr>
        <w:t>В условиях</w:t>
      </w:r>
      <w:r w:rsidR="00596112">
        <w:rPr>
          <w:rFonts w:ascii="Times New Roman" w:hAnsi="Times New Roman" w:cs="Times New Roman"/>
          <w:sz w:val="24"/>
          <w:szCs w:val="24"/>
        </w:rPr>
        <w:t xml:space="preserve"> </w:t>
      </w:r>
      <w:r w:rsidRPr="008E40A0">
        <w:rPr>
          <w:rFonts w:ascii="Times New Roman" w:hAnsi="Times New Roman" w:cs="Times New Roman"/>
          <w:sz w:val="24"/>
          <w:szCs w:val="24"/>
        </w:rPr>
        <w:t xml:space="preserve">гипероткрытости экономики республики одним из основных индикаторов </w:t>
      </w:r>
      <w:r w:rsidR="005A642B" w:rsidRPr="008E40A0">
        <w:rPr>
          <w:rFonts w:ascii="Times New Roman" w:hAnsi="Times New Roman" w:cs="Times New Roman"/>
          <w:sz w:val="24"/>
          <w:szCs w:val="24"/>
        </w:rPr>
        <w:t>курсовой политики Банк Приднестровья определил</w:t>
      </w:r>
      <w:r w:rsidRPr="008E40A0">
        <w:rPr>
          <w:rFonts w:ascii="Times New Roman" w:hAnsi="Times New Roman" w:cs="Times New Roman"/>
          <w:sz w:val="24"/>
          <w:szCs w:val="24"/>
        </w:rPr>
        <w:t xml:space="preserve"> динамик</w:t>
      </w:r>
      <w:r w:rsidR="005A642B" w:rsidRPr="008E40A0">
        <w:rPr>
          <w:rFonts w:ascii="Times New Roman" w:hAnsi="Times New Roman" w:cs="Times New Roman"/>
          <w:sz w:val="24"/>
          <w:szCs w:val="24"/>
        </w:rPr>
        <w:t>у</w:t>
      </w:r>
      <w:r w:rsidRPr="008E40A0">
        <w:rPr>
          <w:rFonts w:ascii="Times New Roman" w:hAnsi="Times New Roman" w:cs="Times New Roman"/>
          <w:sz w:val="24"/>
          <w:szCs w:val="24"/>
        </w:rPr>
        <w:t xml:space="preserve"> индекса реального эффективного курса приднестровского рубля, отражающ</w:t>
      </w:r>
      <w:r w:rsidR="002355E4" w:rsidRPr="008E40A0">
        <w:rPr>
          <w:rFonts w:ascii="Times New Roman" w:hAnsi="Times New Roman" w:cs="Times New Roman"/>
          <w:sz w:val="24"/>
          <w:szCs w:val="24"/>
        </w:rPr>
        <w:t>ую</w:t>
      </w:r>
      <w:r w:rsidRPr="008E40A0">
        <w:rPr>
          <w:rFonts w:ascii="Times New Roman" w:hAnsi="Times New Roman" w:cs="Times New Roman"/>
          <w:sz w:val="24"/>
          <w:szCs w:val="24"/>
        </w:rPr>
        <w:t xml:space="preserve"> </w:t>
      </w:r>
      <w:r w:rsidRPr="00650064">
        <w:rPr>
          <w:rFonts w:ascii="Times New Roman" w:hAnsi="Times New Roman" w:cs="Times New Roman"/>
          <w:sz w:val="24"/>
          <w:szCs w:val="24"/>
        </w:rPr>
        <w:t xml:space="preserve">относительную ценовую конкурентоспособность приднестровского экспорта на внешних рынках. </w:t>
      </w:r>
      <w:r w:rsidR="00971C13">
        <w:rPr>
          <w:rFonts w:ascii="Times New Roman" w:hAnsi="Times New Roman" w:cs="Times New Roman"/>
          <w:sz w:val="24"/>
          <w:szCs w:val="24"/>
        </w:rPr>
        <w:t xml:space="preserve">Укрепление национальных валют ряда стран </w:t>
      </w:r>
      <w:r w:rsidR="00971C13" w:rsidRPr="00650064">
        <w:rPr>
          <w:rFonts w:ascii="Times New Roman" w:hAnsi="Times New Roman" w:cs="Times New Roman"/>
          <w:sz w:val="24"/>
          <w:szCs w:val="24"/>
        </w:rPr>
        <w:t>–</w:t>
      </w:r>
      <w:r w:rsidR="00971C13">
        <w:rPr>
          <w:rFonts w:ascii="Times New Roman" w:hAnsi="Times New Roman" w:cs="Times New Roman"/>
          <w:sz w:val="24"/>
          <w:szCs w:val="24"/>
        </w:rPr>
        <w:t xml:space="preserve"> </w:t>
      </w:r>
      <w:r w:rsidR="00971C13" w:rsidRPr="00650064">
        <w:rPr>
          <w:rFonts w:ascii="Times New Roman" w:hAnsi="Times New Roman" w:cs="Times New Roman"/>
          <w:sz w:val="24"/>
          <w:szCs w:val="24"/>
        </w:rPr>
        <w:t>основных торговых партнёров</w:t>
      </w:r>
      <w:r w:rsidR="00971C13">
        <w:rPr>
          <w:rFonts w:ascii="Times New Roman" w:hAnsi="Times New Roman" w:cs="Times New Roman"/>
          <w:sz w:val="24"/>
          <w:szCs w:val="24"/>
        </w:rPr>
        <w:t xml:space="preserve"> </w:t>
      </w:r>
      <w:r w:rsidR="00971C13" w:rsidRPr="00650064">
        <w:rPr>
          <w:rFonts w:ascii="Times New Roman" w:hAnsi="Times New Roman" w:cs="Times New Roman"/>
          <w:sz w:val="24"/>
          <w:szCs w:val="24"/>
        </w:rPr>
        <w:t xml:space="preserve">(в частности, рубля РФ и гривны) в условиях </w:t>
      </w:r>
      <w:r w:rsidR="00971C13">
        <w:rPr>
          <w:rFonts w:ascii="Times New Roman" w:hAnsi="Times New Roman" w:cs="Times New Roman"/>
          <w:sz w:val="24"/>
          <w:szCs w:val="24"/>
        </w:rPr>
        <w:t>д</w:t>
      </w:r>
      <w:r w:rsidR="002355E4" w:rsidRPr="00650064">
        <w:rPr>
          <w:rFonts w:ascii="Times New Roman" w:hAnsi="Times New Roman" w:cs="Times New Roman"/>
          <w:sz w:val="24"/>
          <w:szCs w:val="24"/>
        </w:rPr>
        <w:t>остаточно</w:t>
      </w:r>
      <w:r w:rsidR="00851EAB" w:rsidRPr="00650064">
        <w:rPr>
          <w:rFonts w:ascii="Times New Roman" w:hAnsi="Times New Roman" w:cs="Times New Roman"/>
          <w:sz w:val="24"/>
          <w:szCs w:val="24"/>
        </w:rPr>
        <w:t xml:space="preserve"> умеренн</w:t>
      </w:r>
      <w:r w:rsidR="00971C13">
        <w:rPr>
          <w:rFonts w:ascii="Times New Roman" w:hAnsi="Times New Roman" w:cs="Times New Roman"/>
          <w:sz w:val="24"/>
          <w:szCs w:val="24"/>
        </w:rPr>
        <w:t>ой</w:t>
      </w:r>
      <w:r w:rsidR="00851EAB" w:rsidRPr="00650064">
        <w:rPr>
          <w:rFonts w:ascii="Times New Roman" w:hAnsi="Times New Roman" w:cs="Times New Roman"/>
          <w:sz w:val="24"/>
          <w:szCs w:val="24"/>
        </w:rPr>
        <w:t xml:space="preserve"> динамик</w:t>
      </w:r>
      <w:r w:rsidR="00971C13">
        <w:rPr>
          <w:rFonts w:ascii="Times New Roman" w:hAnsi="Times New Roman" w:cs="Times New Roman"/>
          <w:sz w:val="24"/>
          <w:szCs w:val="24"/>
        </w:rPr>
        <w:t>и</w:t>
      </w:r>
      <w:r w:rsidR="00851EAB" w:rsidRPr="00650064">
        <w:rPr>
          <w:rFonts w:ascii="Times New Roman" w:hAnsi="Times New Roman" w:cs="Times New Roman"/>
          <w:sz w:val="24"/>
          <w:szCs w:val="24"/>
        </w:rPr>
        <w:t xml:space="preserve"> инфляционных процессов в Приднестровье и в большинстве стран </w:t>
      </w:r>
      <w:r w:rsidR="002355E4" w:rsidRPr="00650064">
        <w:rPr>
          <w:rFonts w:ascii="Times New Roman" w:hAnsi="Times New Roman" w:cs="Times New Roman"/>
          <w:sz w:val="24"/>
          <w:szCs w:val="24"/>
        </w:rPr>
        <w:t>сказал</w:t>
      </w:r>
      <w:r w:rsidR="00971C13">
        <w:rPr>
          <w:rFonts w:ascii="Times New Roman" w:hAnsi="Times New Roman" w:cs="Times New Roman"/>
          <w:sz w:val="24"/>
          <w:szCs w:val="24"/>
        </w:rPr>
        <w:t>о</w:t>
      </w:r>
      <w:r w:rsidR="002355E4" w:rsidRPr="00650064">
        <w:rPr>
          <w:rFonts w:ascii="Times New Roman" w:hAnsi="Times New Roman" w:cs="Times New Roman"/>
          <w:sz w:val="24"/>
          <w:szCs w:val="24"/>
        </w:rPr>
        <w:t>сь на</w:t>
      </w:r>
      <w:r w:rsidR="00851EAB" w:rsidRPr="00650064">
        <w:rPr>
          <w:rFonts w:ascii="Times New Roman" w:hAnsi="Times New Roman" w:cs="Times New Roman"/>
          <w:sz w:val="24"/>
          <w:szCs w:val="24"/>
        </w:rPr>
        <w:t xml:space="preserve"> </w:t>
      </w:r>
      <w:r w:rsidRPr="00650064">
        <w:rPr>
          <w:rFonts w:ascii="Times New Roman" w:hAnsi="Times New Roman" w:cs="Times New Roman"/>
          <w:sz w:val="24"/>
          <w:szCs w:val="24"/>
        </w:rPr>
        <w:t>укреплени</w:t>
      </w:r>
      <w:r w:rsidR="002355E4" w:rsidRPr="00650064">
        <w:rPr>
          <w:rFonts w:ascii="Times New Roman" w:hAnsi="Times New Roman" w:cs="Times New Roman"/>
          <w:sz w:val="24"/>
          <w:szCs w:val="24"/>
        </w:rPr>
        <w:t>и</w:t>
      </w:r>
      <w:r w:rsidRPr="00650064">
        <w:rPr>
          <w:rFonts w:ascii="Times New Roman" w:hAnsi="Times New Roman" w:cs="Times New Roman"/>
          <w:sz w:val="24"/>
          <w:szCs w:val="24"/>
        </w:rPr>
        <w:t xml:space="preserve"> ценовых конкурентных позиций приднестровских товаров на внешних рынках – </w:t>
      </w:r>
      <w:r w:rsidR="00851EAB" w:rsidRPr="00650064">
        <w:rPr>
          <w:rFonts w:ascii="Times New Roman" w:hAnsi="Times New Roman" w:cs="Times New Roman"/>
          <w:sz w:val="24"/>
          <w:szCs w:val="24"/>
        </w:rPr>
        <w:t xml:space="preserve">индекс реального эффективного курса приднестровского рубля за 2019 год </w:t>
      </w:r>
      <w:r w:rsidRPr="00650064">
        <w:rPr>
          <w:rFonts w:ascii="Times New Roman" w:hAnsi="Times New Roman" w:cs="Times New Roman"/>
          <w:sz w:val="24"/>
          <w:szCs w:val="24"/>
        </w:rPr>
        <w:t xml:space="preserve">сложился на </w:t>
      </w:r>
      <w:r w:rsidR="00851EAB" w:rsidRPr="00650064">
        <w:rPr>
          <w:rFonts w:ascii="Times New Roman" w:hAnsi="Times New Roman" w:cs="Times New Roman"/>
          <w:sz w:val="24"/>
          <w:szCs w:val="24"/>
        </w:rPr>
        <w:t>уровне 0,9655.</w:t>
      </w:r>
      <w:r w:rsidR="00851EAB" w:rsidRPr="00650064">
        <w:rPr>
          <w:rFonts w:ascii="Times New Roman" w:hAnsi="Times New Roman" w:cs="Times New Roman"/>
          <w:color w:val="000000"/>
          <w:sz w:val="24"/>
          <w:szCs w:val="24"/>
        </w:rPr>
        <w:t xml:space="preserve"> </w:t>
      </w:r>
    </w:p>
    <w:p w14:paraId="4B78A65D" w14:textId="197FAF81" w:rsidR="00851EAB" w:rsidRPr="008E40A0" w:rsidRDefault="00851EAB" w:rsidP="008E40A0">
      <w:pPr>
        <w:pStyle w:val="affd"/>
        <w:spacing w:before="0" w:after="0" w:line="240" w:lineRule="auto"/>
        <w:ind w:firstLine="425"/>
        <w:rPr>
          <w:rFonts w:ascii="Times New Roman" w:hAnsi="Times New Roman" w:cs="Times New Roman"/>
        </w:rPr>
      </w:pPr>
      <w:r w:rsidRPr="00650064">
        <w:rPr>
          <w:rFonts w:ascii="Times New Roman" w:hAnsi="Times New Roman" w:cs="Times New Roman"/>
        </w:rPr>
        <w:t xml:space="preserve">В </w:t>
      </w:r>
      <w:r w:rsidR="00971C13">
        <w:rPr>
          <w:rFonts w:ascii="Times New Roman" w:hAnsi="Times New Roman" w:cs="Times New Roman"/>
        </w:rPr>
        <w:t>отчётном</w:t>
      </w:r>
      <w:r w:rsidRPr="00650064">
        <w:rPr>
          <w:rFonts w:ascii="Times New Roman" w:hAnsi="Times New Roman" w:cs="Times New Roman"/>
        </w:rPr>
        <w:t xml:space="preserve"> году ситуация на валютном рынке республики характериз</w:t>
      </w:r>
      <w:r w:rsidR="00827FA9" w:rsidRPr="00650064">
        <w:rPr>
          <w:rFonts w:ascii="Times New Roman" w:hAnsi="Times New Roman" w:cs="Times New Roman"/>
        </w:rPr>
        <w:t>овалась</w:t>
      </w:r>
      <w:r w:rsidRPr="00650064">
        <w:rPr>
          <w:rFonts w:ascii="Times New Roman" w:hAnsi="Times New Roman" w:cs="Times New Roman"/>
        </w:rPr>
        <w:t xml:space="preserve"> относительной</w:t>
      </w:r>
      <w:r w:rsidRPr="008E40A0">
        <w:rPr>
          <w:rFonts w:ascii="Times New Roman" w:hAnsi="Times New Roman" w:cs="Times New Roman"/>
        </w:rPr>
        <w:t xml:space="preserve"> стабильностью. С учётом основной цели монетарной политики главным инструментом являлись валютные интервенции центрального банка</w:t>
      </w:r>
      <w:r w:rsidR="00971C13">
        <w:rPr>
          <w:rFonts w:ascii="Times New Roman" w:hAnsi="Times New Roman" w:cs="Times New Roman"/>
        </w:rPr>
        <w:t>, проводимые</w:t>
      </w:r>
      <w:r w:rsidRPr="008E40A0">
        <w:rPr>
          <w:rFonts w:ascii="Times New Roman" w:hAnsi="Times New Roman" w:cs="Times New Roman"/>
        </w:rPr>
        <w:t xml:space="preserve"> посредством продажи иностранной валюты на открытом рынке, с обеспечением доступа к ним всех хозяйствующих субъектов. </w:t>
      </w:r>
      <w:r w:rsidR="00827FA9" w:rsidRPr="008E40A0">
        <w:rPr>
          <w:rFonts w:ascii="Times New Roman" w:hAnsi="Times New Roman" w:cs="Times New Roman"/>
        </w:rPr>
        <w:t>При этом о</w:t>
      </w:r>
      <w:r w:rsidRPr="008E40A0">
        <w:rPr>
          <w:rFonts w:ascii="Times New Roman" w:hAnsi="Times New Roman" w:cs="Times New Roman"/>
        </w:rPr>
        <w:t xml:space="preserve">бщая сумма безналичных </w:t>
      </w:r>
      <w:r w:rsidRPr="00123AEA">
        <w:rPr>
          <w:rFonts w:ascii="Times New Roman" w:hAnsi="Times New Roman" w:cs="Times New Roman"/>
        </w:rPr>
        <w:t xml:space="preserve">интервенций </w:t>
      </w:r>
      <w:r w:rsidR="00827FA9" w:rsidRPr="00123AEA">
        <w:rPr>
          <w:rFonts w:ascii="Times New Roman" w:hAnsi="Times New Roman" w:cs="Times New Roman"/>
        </w:rPr>
        <w:t xml:space="preserve">сократилась на </w:t>
      </w:r>
      <w:r w:rsidRPr="00123AEA">
        <w:rPr>
          <w:rFonts w:ascii="Times New Roman" w:hAnsi="Times New Roman" w:cs="Times New Roman"/>
        </w:rPr>
        <w:t>1</w:t>
      </w:r>
      <w:r w:rsidR="00BB3A18" w:rsidRPr="00123AEA">
        <w:rPr>
          <w:rFonts w:ascii="Times New Roman" w:hAnsi="Times New Roman" w:cs="Times New Roman"/>
        </w:rPr>
        <w:t>1,9</w:t>
      </w:r>
      <w:r w:rsidRPr="00123AEA">
        <w:rPr>
          <w:rFonts w:ascii="Times New Roman" w:hAnsi="Times New Roman" w:cs="Times New Roman"/>
        </w:rPr>
        <w:t>% к уровн</w:t>
      </w:r>
      <w:r w:rsidRPr="008E40A0">
        <w:rPr>
          <w:rFonts w:ascii="Times New Roman" w:hAnsi="Times New Roman" w:cs="Times New Roman"/>
        </w:rPr>
        <w:t>ю 2018 года.</w:t>
      </w:r>
      <w:r w:rsidR="00827FA9" w:rsidRPr="008E40A0">
        <w:rPr>
          <w:rFonts w:ascii="Times New Roman" w:hAnsi="Times New Roman" w:cs="Times New Roman"/>
        </w:rPr>
        <w:t xml:space="preserve"> </w:t>
      </w:r>
    </w:p>
    <w:p w14:paraId="6E9325B5" w14:textId="77777777" w:rsidR="00905926" w:rsidRPr="008E40A0" w:rsidRDefault="00851EAB" w:rsidP="008E40A0">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совокупности и снижение спроса на валютные интервенции, и легализация наличного валютного рынка позволили Приднестровскому республиканскому банку не только удержать валютный курс в рамках целевого ориентира, но исполнить свои обязательства по ранее заключенным сделкам с банками – резидентами с целью изъятия излишней ликвидности на денежном рынке в 2017 году. </w:t>
      </w:r>
    </w:p>
    <w:p w14:paraId="1E1A8E7C" w14:textId="638197CD" w:rsidR="00194285" w:rsidRPr="008E40A0" w:rsidRDefault="002355E4" w:rsidP="008E40A0">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lastRenderedPageBreak/>
        <w:t xml:space="preserve">Меры государственного регулирования стоимости коммунальных услуг и отдельных товаров, а также уменьшение влияния монетарных факторов на инфляцию обусловили </w:t>
      </w:r>
      <w:r w:rsidR="00851EAB" w:rsidRPr="008E40A0">
        <w:rPr>
          <w:rFonts w:ascii="Times New Roman" w:hAnsi="Times New Roman" w:cs="Times New Roman"/>
          <w:sz w:val="24"/>
          <w:szCs w:val="24"/>
        </w:rPr>
        <w:t xml:space="preserve">существенное замедление инфляционных процессов в </w:t>
      </w:r>
      <w:r w:rsidR="00905926" w:rsidRPr="008E40A0">
        <w:rPr>
          <w:rFonts w:ascii="Times New Roman" w:hAnsi="Times New Roman" w:cs="Times New Roman"/>
          <w:sz w:val="24"/>
          <w:szCs w:val="24"/>
        </w:rPr>
        <w:t>2019</w:t>
      </w:r>
      <w:r w:rsidRPr="008E40A0">
        <w:rPr>
          <w:rFonts w:ascii="Times New Roman" w:hAnsi="Times New Roman" w:cs="Times New Roman"/>
          <w:sz w:val="24"/>
          <w:szCs w:val="24"/>
        </w:rPr>
        <w:t xml:space="preserve"> году. Сводный </w:t>
      </w:r>
      <w:r w:rsidR="00905926" w:rsidRPr="008E40A0">
        <w:rPr>
          <w:rFonts w:ascii="Times New Roman" w:hAnsi="Times New Roman" w:cs="Times New Roman"/>
          <w:sz w:val="24"/>
          <w:szCs w:val="24"/>
        </w:rPr>
        <w:t>индекс потребительских цен сложился на уровне 104,7% (</w:t>
      </w:r>
      <w:r w:rsidRPr="008E40A0">
        <w:rPr>
          <w:rFonts w:ascii="Times New Roman" w:hAnsi="Times New Roman" w:cs="Times New Roman"/>
          <w:sz w:val="24"/>
          <w:szCs w:val="24"/>
        </w:rPr>
        <w:t xml:space="preserve">против </w:t>
      </w:r>
      <w:r w:rsidR="00905926" w:rsidRPr="008E40A0">
        <w:rPr>
          <w:rFonts w:ascii="Times New Roman" w:hAnsi="Times New Roman" w:cs="Times New Roman"/>
          <w:sz w:val="24"/>
          <w:szCs w:val="24"/>
        </w:rPr>
        <w:t xml:space="preserve">107,0% годом ранее), что было приближено к нижней границе прогнозного диапазона </w:t>
      </w:r>
      <w:r w:rsidR="005F4E3E">
        <w:rPr>
          <w:rFonts w:ascii="Times New Roman" w:hAnsi="Times New Roman" w:cs="Times New Roman"/>
          <w:sz w:val="24"/>
          <w:szCs w:val="24"/>
        </w:rPr>
        <w:t>П</w:t>
      </w:r>
      <w:r w:rsidR="00905926" w:rsidRPr="008E40A0">
        <w:rPr>
          <w:rFonts w:ascii="Times New Roman" w:hAnsi="Times New Roman" w:cs="Times New Roman"/>
          <w:sz w:val="24"/>
          <w:szCs w:val="24"/>
        </w:rPr>
        <w:t xml:space="preserve">риднестровского республиканского банка, </w:t>
      </w:r>
      <w:r w:rsidRPr="008E40A0">
        <w:rPr>
          <w:rFonts w:ascii="Times New Roman" w:hAnsi="Times New Roman" w:cs="Times New Roman"/>
          <w:sz w:val="24"/>
          <w:szCs w:val="24"/>
        </w:rPr>
        <w:t>обозначенного</w:t>
      </w:r>
      <w:r w:rsidR="00905926" w:rsidRPr="008E40A0">
        <w:rPr>
          <w:rFonts w:ascii="Times New Roman" w:hAnsi="Times New Roman" w:cs="Times New Roman"/>
          <w:sz w:val="24"/>
          <w:szCs w:val="24"/>
        </w:rPr>
        <w:t xml:space="preserve"> в «Основных направлениях единой государственной денежно-кредитной политики на 2019 год». Основное влияние на </w:t>
      </w:r>
      <w:r w:rsidRPr="008E40A0">
        <w:rPr>
          <w:rFonts w:ascii="Times New Roman" w:hAnsi="Times New Roman" w:cs="Times New Roman"/>
          <w:sz w:val="24"/>
          <w:szCs w:val="24"/>
        </w:rPr>
        <w:t>инфляцию</w:t>
      </w:r>
      <w:r w:rsidR="00905926" w:rsidRPr="008E40A0">
        <w:rPr>
          <w:rFonts w:ascii="Times New Roman" w:hAnsi="Times New Roman" w:cs="Times New Roman"/>
          <w:sz w:val="24"/>
          <w:szCs w:val="24"/>
        </w:rPr>
        <w:t xml:space="preserve"> в отчётном периоде оказывали нерыночные факторы</w:t>
      </w:r>
      <w:r w:rsidR="00194285" w:rsidRPr="008E40A0">
        <w:rPr>
          <w:rFonts w:ascii="Times New Roman" w:hAnsi="Times New Roman" w:cs="Times New Roman"/>
          <w:sz w:val="24"/>
          <w:szCs w:val="24"/>
        </w:rPr>
        <w:t>, тогда как</w:t>
      </w:r>
      <w:r w:rsidR="00905926" w:rsidRPr="008E40A0">
        <w:rPr>
          <w:rFonts w:ascii="Times New Roman" w:hAnsi="Times New Roman" w:cs="Times New Roman"/>
          <w:sz w:val="24"/>
          <w:szCs w:val="24"/>
        </w:rPr>
        <w:t xml:space="preserve"> влияние монетарных факторов было значительно ниже</w:t>
      </w:r>
      <w:r w:rsidRPr="008E40A0">
        <w:rPr>
          <w:rFonts w:ascii="Times New Roman" w:hAnsi="Times New Roman" w:cs="Times New Roman"/>
          <w:sz w:val="24"/>
          <w:szCs w:val="24"/>
        </w:rPr>
        <w:t>:</w:t>
      </w:r>
      <w:r w:rsidR="00905926" w:rsidRPr="008E40A0">
        <w:rPr>
          <w:rFonts w:ascii="Times New Roman" w:hAnsi="Times New Roman" w:cs="Times New Roman"/>
          <w:sz w:val="24"/>
          <w:szCs w:val="24"/>
        </w:rPr>
        <w:t xml:space="preserve"> </w:t>
      </w:r>
      <w:r w:rsidR="00194285" w:rsidRPr="008E40A0">
        <w:rPr>
          <w:rFonts w:ascii="Times New Roman" w:hAnsi="Times New Roman" w:cs="Times New Roman"/>
          <w:sz w:val="24"/>
          <w:szCs w:val="24"/>
        </w:rPr>
        <w:t xml:space="preserve">базовая инфляция, отражающая воздействие монетарных факторов, составила 2,9% против 4,4% годом ранее. Несмотря на превалирующее </w:t>
      </w:r>
      <w:r w:rsidR="00942A93">
        <w:rPr>
          <w:rFonts w:ascii="Times New Roman" w:hAnsi="Times New Roman" w:cs="Times New Roman"/>
          <w:sz w:val="24"/>
          <w:szCs w:val="24"/>
        </w:rPr>
        <w:t>влияние</w:t>
      </w:r>
      <w:r w:rsidR="00194285" w:rsidRPr="008E40A0">
        <w:rPr>
          <w:rFonts w:ascii="Times New Roman" w:hAnsi="Times New Roman" w:cs="Times New Roman"/>
          <w:sz w:val="24"/>
          <w:szCs w:val="24"/>
        </w:rPr>
        <w:t xml:space="preserve"> сезонных и административных факторов, небазовая инфляция также сократилась, составив 7,7% против 11,1% в 2018 году.</w:t>
      </w:r>
    </w:p>
    <w:p w14:paraId="7BD8FD17" w14:textId="77777777" w:rsidR="009C16AA" w:rsidRPr="00FC4B89" w:rsidRDefault="009C16AA" w:rsidP="009C16AA">
      <w:pPr>
        <w:spacing w:before="0" w:after="0" w:line="240" w:lineRule="auto"/>
        <w:ind w:firstLine="567"/>
        <w:jc w:val="both"/>
        <w:rPr>
          <w:rFonts w:ascii="Times New Roman" w:hAnsi="Times New Roman" w:cs="Times New Roman"/>
          <w:sz w:val="24"/>
          <w:szCs w:val="24"/>
        </w:rPr>
      </w:pPr>
      <w:r w:rsidRPr="00FC4B89">
        <w:rPr>
          <w:rFonts w:ascii="Times New Roman" w:hAnsi="Times New Roman" w:cs="Times New Roman"/>
          <w:sz w:val="24"/>
          <w:szCs w:val="24"/>
        </w:rPr>
        <w:t xml:space="preserve">В 2019 году </w:t>
      </w:r>
      <w:r w:rsidR="00041331" w:rsidRPr="00FC4B89">
        <w:rPr>
          <w:rFonts w:ascii="Times New Roman" w:hAnsi="Times New Roman" w:cs="Times New Roman"/>
          <w:sz w:val="24"/>
          <w:szCs w:val="24"/>
        </w:rPr>
        <w:t xml:space="preserve">Приднестровский республиканский банк продолжил работу, направленную на поддержание стабильности банковского сектора ПМР, защиту интересов кредиторов и вкладчиков. В течение года был внесён ряд изменений и дополнений в нормативные акты центрального банка, регулирующие банковские риски. Продолжилась разработка и внедрение нормативно-правовой базы, касающейся страхового дела. </w:t>
      </w:r>
    </w:p>
    <w:p w14:paraId="4E725796" w14:textId="77777777" w:rsidR="009C16AA" w:rsidRPr="009C16AA" w:rsidRDefault="009C16AA" w:rsidP="009C16AA">
      <w:pPr>
        <w:spacing w:before="0" w:after="0" w:line="240" w:lineRule="auto"/>
        <w:ind w:firstLine="567"/>
        <w:jc w:val="both"/>
        <w:rPr>
          <w:rFonts w:ascii="Times New Roman" w:hAnsi="Times New Roman" w:cs="Times New Roman"/>
          <w:sz w:val="24"/>
          <w:szCs w:val="24"/>
        </w:rPr>
      </w:pPr>
      <w:r w:rsidRPr="00FC4B89">
        <w:rPr>
          <w:rFonts w:ascii="Times New Roman" w:hAnsi="Times New Roman" w:cs="Times New Roman"/>
          <w:sz w:val="24"/>
          <w:szCs w:val="24"/>
        </w:rPr>
        <w:t>С целью стимулирования честного и непредвзятого функционирования субъектов финансового рынка Приднестровья, учитывающего законные права и интересы всех заинтересованных лиц, были задекларированы «Основные принципы добросовестного поведения на финансовом рынке (Кодекс добросовестного поведения)», к которым присоединились все субъекты финансового рынка.</w:t>
      </w:r>
    </w:p>
    <w:p w14:paraId="1396F5A1" w14:textId="77777777" w:rsidR="00807D71" w:rsidRPr="008E40A0" w:rsidRDefault="004572C1" w:rsidP="008E40A0">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Функционирование системы расчётов и платежей</w:t>
      </w:r>
      <w:r w:rsidR="00807D71" w:rsidRPr="008E40A0">
        <w:rPr>
          <w:rFonts w:ascii="Times New Roman" w:hAnsi="Times New Roman" w:cs="Times New Roman"/>
          <w:sz w:val="24"/>
          <w:szCs w:val="24"/>
        </w:rPr>
        <w:t xml:space="preserve"> в 2019 году </w:t>
      </w:r>
      <w:r w:rsidRPr="008E40A0">
        <w:rPr>
          <w:rFonts w:ascii="Times New Roman" w:hAnsi="Times New Roman" w:cs="Times New Roman"/>
          <w:sz w:val="24"/>
          <w:szCs w:val="24"/>
        </w:rPr>
        <w:t xml:space="preserve">было осложнено ограничительными действиями со стороны Республики Молдова, в результате которых хозяйствующие субъекты и банки испытывали сложности с проведением расчётных операций через молдавские коммерческие банки. В то же время внутренняя платёжная система республики успешно развивалась, что </w:t>
      </w:r>
      <w:r w:rsidR="00807D71" w:rsidRPr="008E40A0">
        <w:rPr>
          <w:rFonts w:ascii="Times New Roman" w:hAnsi="Times New Roman" w:cs="Times New Roman"/>
          <w:sz w:val="24"/>
          <w:szCs w:val="24"/>
        </w:rPr>
        <w:t xml:space="preserve">способствовало повышению доступности платёжных услуг, предоставляемых банковской системой, расширению безналичных розничных платежей. </w:t>
      </w:r>
    </w:p>
    <w:p w14:paraId="2159D6B1" w14:textId="5DBFD1DB" w:rsidR="00194285" w:rsidRPr="008E40A0" w:rsidRDefault="004572C1" w:rsidP="008E40A0">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С целью</w:t>
      </w:r>
      <w:r w:rsidR="00194285" w:rsidRPr="008E40A0">
        <w:rPr>
          <w:rFonts w:ascii="Times New Roman" w:hAnsi="Times New Roman" w:cs="Times New Roman"/>
          <w:sz w:val="24"/>
          <w:szCs w:val="24"/>
        </w:rPr>
        <w:t xml:space="preserve"> </w:t>
      </w:r>
      <w:r w:rsidRPr="008E40A0">
        <w:rPr>
          <w:rFonts w:ascii="Times New Roman" w:hAnsi="Times New Roman" w:cs="Times New Roman"/>
          <w:sz w:val="24"/>
          <w:szCs w:val="24"/>
        </w:rPr>
        <w:t>анализа</w:t>
      </w:r>
      <w:r w:rsidR="00194285" w:rsidRPr="008E40A0">
        <w:rPr>
          <w:rFonts w:ascii="Times New Roman" w:hAnsi="Times New Roman" w:cs="Times New Roman"/>
          <w:sz w:val="24"/>
          <w:szCs w:val="24"/>
        </w:rPr>
        <w:t xml:space="preserve"> доступности, востребованности и качества финансовых услуг в республике </w:t>
      </w:r>
      <w:r w:rsidRPr="008E40A0">
        <w:rPr>
          <w:rFonts w:ascii="Times New Roman" w:hAnsi="Times New Roman" w:cs="Times New Roman"/>
          <w:sz w:val="24"/>
          <w:szCs w:val="24"/>
        </w:rPr>
        <w:t xml:space="preserve">Банком Приднестровья при помощи </w:t>
      </w:r>
      <w:r w:rsidR="0067196F">
        <w:rPr>
          <w:rFonts w:ascii="Times New Roman" w:hAnsi="Times New Roman" w:cs="Times New Roman"/>
          <w:sz w:val="24"/>
          <w:szCs w:val="24"/>
        </w:rPr>
        <w:t>Р</w:t>
      </w:r>
      <w:r w:rsidRPr="008E40A0">
        <w:rPr>
          <w:rFonts w:ascii="Times New Roman" w:hAnsi="Times New Roman" w:cs="Times New Roman"/>
          <w:sz w:val="24"/>
          <w:szCs w:val="24"/>
        </w:rPr>
        <w:t>ОО НЦА</w:t>
      </w:r>
      <w:r w:rsidR="0067196F">
        <w:rPr>
          <w:rFonts w:ascii="Times New Roman" w:hAnsi="Times New Roman" w:cs="Times New Roman"/>
          <w:sz w:val="24"/>
          <w:szCs w:val="24"/>
        </w:rPr>
        <w:t>И</w:t>
      </w:r>
      <w:r w:rsidRPr="008E40A0">
        <w:rPr>
          <w:rFonts w:ascii="Times New Roman" w:hAnsi="Times New Roman" w:cs="Times New Roman"/>
          <w:sz w:val="24"/>
          <w:szCs w:val="24"/>
        </w:rPr>
        <w:t xml:space="preserve"> «Новый век» и коммерческих банков </w:t>
      </w:r>
      <w:r w:rsidR="00194285" w:rsidRPr="008E40A0">
        <w:rPr>
          <w:rFonts w:ascii="Times New Roman" w:hAnsi="Times New Roman" w:cs="Times New Roman"/>
          <w:sz w:val="24"/>
          <w:szCs w:val="24"/>
        </w:rPr>
        <w:t>были организованы социологическ</w:t>
      </w:r>
      <w:r w:rsidR="00041331" w:rsidRPr="008E40A0">
        <w:rPr>
          <w:rFonts w:ascii="Times New Roman" w:hAnsi="Times New Roman" w:cs="Times New Roman"/>
          <w:sz w:val="24"/>
          <w:szCs w:val="24"/>
        </w:rPr>
        <w:t>ие</w:t>
      </w:r>
      <w:r w:rsidR="00194285" w:rsidRPr="008E40A0">
        <w:rPr>
          <w:rFonts w:ascii="Times New Roman" w:hAnsi="Times New Roman" w:cs="Times New Roman"/>
          <w:sz w:val="24"/>
          <w:szCs w:val="24"/>
        </w:rPr>
        <w:t xml:space="preserve"> опро</w:t>
      </w:r>
      <w:r w:rsidR="00041331" w:rsidRPr="008E40A0">
        <w:rPr>
          <w:rFonts w:ascii="Times New Roman" w:hAnsi="Times New Roman" w:cs="Times New Roman"/>
          <w:sz w:val="24"/>
          <w:szCs w:val="24"/>
        </w:rPr>
        <w:t xml:space="preserve">сы в части потребительских настроений и инфляционных ожиданий населения, финансовой доступности, получения дополнительной информации о денежных переводах в/из ПМР. </w:t>
      </w:r>
    </w:p>
    <w:p w14:paraId="0E8DF66E" w14:textId="77777777" w:rsidR="002355E4" w:rsidRPr="008E40A0" w:rsidRDefault="00041331" w:rsidP="008E40A0">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Для оценки сложившейся экономической конъюнктуры, а также определения основных тенденций её изменения на краткосрочную перспективу Приднестровским республиканским банком проводил</w:t>
      </w:r>
      <w:r w:rsidR="004572C1" w:rsidRPr="008E40A0">
        <w:rPr>
          <w:rFonts w:ascii="Times New Roman" w:hAnsi="Times New Roman" w:cs="Times New Roman"/>
          <w:sz w:val="24"/>
          <w:szCs w:val="24"/>
        </w:rPr>
        <w:t xml:space="preserve">ся регулярный </w:t>
      </w:r>
      <w:r w:rsidRPr="008E40A0">
        <w:rPr>
          <w:rFonts w:ascii="Times New Roman" w:hAnsi="Times New Roman" w:cs="Times New Roman"/>
          <w:sz w:val="24"/>
          <w:szCs w:val="24"/>
        </w:rPr>
        <w:t xml:space="preserve">мониторинг крупных предприятий промышленности, сельского хозяйства, организаций малого и среднего бизнеса. </w:t>
      </w:r>
    </w:p>
    <w:p w14:paraId="7733A14A" w14:textId="187AA6B1" w:rsidR="0054657D" w:rsidRPr="0054657D" w:rsidRDefault="002355E4" w:rsidP="0054657D">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целях обеспечения прозрачности деятельности центрального банка и повышения информированности всех заинтересованных лиц о социально-экономической ситуации в Приднестровье и мире в 2019 году продолжилась публикация аналитических и статистических материалов в информационно-аналитическом издании «Вестник ПРБ» и размещение </w:t>
      </w:r>
      <w:r w:rsidR="00942A93" w:rsidRPr="00FC4B89">
        <w:rPr>
          <w:rFonts w:ascii="Times New Roman" w:hAnsi="Times New Roman" w:cs="Times New Roman"/>
          <w:sz w:val="24"/>
          <w:szCs w:val="24"/>
        </w:rPr>
        <w:t>на официальном сайте ПРБ</w:t>
      </w:r>
      <w:r w:rsidR="00942A93" w:rsidRPr="008E40A0">
        <w:rPr>
          <w:rFonts w:ascii="Times New Roman" w:hAnsi="Times New Roman" w:cs="Times New Roman"/>
          <w:sz w:val="24"/>
          <w:szCs w:val="24"/>
        </w:rPr>
        <w:t xml:space="preserve"> </w:t>
      </w:r>
      <w:r w:rsidRPr="008E40A0">
        <w:rPr>
          <w:rFonts w:ascii="Times New Roman" w:hAnsi="Times New Roman" w:cs="Times New Roman"/>
          <w:sz w:val="24"/>
          <w:szCs w:val="24"/>
        </w:rPr>
        <w:t>пресс-</w:t>
      </w:r>
      <w:r w:rsidRPr="00FC4B89">
        <w:rPr>
          <w:rFonts w:ascii="Times New Roman" w:hAnsi="Times New Roman" w:cs="Times New Roman"/>
          <w:sz w:val="24"/>
          <w:szCs w:val="24"/>
        </w:rPr>
        <w:t>релизов и выступлений в СМИ руководителей банка.</w:t>
      </w:r>
      <w:r w:rsidR="0054657D" w:rsidRPr="00FC4B89">
        <w:rPr>
          <w:rFonts w:ascii="Times New Roman" w:hAnsi="Times New Roman" w:cs="Times New Roman"/>
          <w:sz w:val="24"/>
          <w:szCs w:val="24"/>
        </w:rPr>
        <w:t xml:space="preserve"> С целью </w:t>
      </w:r>
      <w:r w:rsidR="00FC4B89" w:rsidRPr="00FC4B89">
        <w:rPr>
          <w:rFonts w:ascii="Times New Roman" w:hAnsi="Times New Roman" w:cs="Times New Roman"/>
          <w:sz w:val="24"/>
          <w:szCs w:val="24"/>
        </w:rPr>
        <w:t xml:space="preserve">расширения взаимодействия центрального банка с представителями бизнеса и гражданами республики, </w:t>
      </w:r>
      <w:r w:rsidR="0054657D" w:rsidRPr="00FC4B89">
        <w:rPr>
          <w:rFonts w:ascii="Times New Roman" w:hAnsi="Times New Roman" w:cs="Times New Roman"/>
          <w:sz w:val="24"/>
          <w:szCs w:val="24"/>
        </w:rPr>
        <w:t xml:space="preserve">анализа доступности финансовых услуг, предоставляемых в банковском </w:t>
      </w:r>
      <w:r w:rsidR="00FC4B89" w:rsidRPr="00FC4B89">
        <w:rPr>
          <w:rFonts w:ascii="Times New Roman" w:hAnsi="Times New Roman" w:cs="Times New Roman"/>
          <w:sz w:val="24"/>
          <w:szCs w:val="24"/>
        </w:rPr>
        <w:t xml:space="preserve">и страховом </w:t>
      </w:r>
      <w:r w:rsidR="0054657D" w:rsidRPr="00FC4B89">
        <w:rPr>
          <w:rFonts w:ascii="Times New Roman" w:hAnsi="Times New Roman" w:cs="Times New Roman"/>
          <w:sz w:val="24"/>
          <w:szCs w:val="24"/>
        </w:rPr>
        <w:t>сектор</w:t>
      </w:r>
      <w:r w:rsidR="00FC4B89" w:rsidRPr="00FC4B89">
        <w:rPr>
          <w:rFonts w:ascii="Times New Roman" w:hAnsi="Times New Roman" w:cs="Times New Roman"/>
          <w:sz w:val="24"/>
          <w:szCs w:val="24"/>
        </w:rPr>
        <w:t>ах</w:t>
      </w:r>
      <w:r w:rsidR="00AD0801">
        <w:rPr>
          <w:rFonts w:ascii="Times New Roman" w:hAnsi="Times New Roman" w:cs="Times New Roman"/>
          <w:sz w:val="24"/>
          <w:szCs w:val="24"/>
        </w:rPr>
        <w:t>,</w:t>
      </w:r>
      <w:r w:rsidR="00FC4B89" w:rsidRPr="00FC4B89">
        <w:rPr>
          <w:rFonts w:ascii="Times New Roman" w:hAnsi="Times New Roman" w:cs="Times New Roman"/>
          <w:sz w:val="24"/>
          <w:szCs w:val="24"/>
        </w:rPr>
        <w:t xml:space="preserve"> Банк Приднестровья</w:t>
      </w:r>
      <w:r w:rsidR="0054657D" w:rsidRPr="00FC4B89">
        <w:rPr>
          <w:rFonts w:ascii="Times New Roman" w:hAnsi="Times New Roman" w:cs="Times New Roman"/>
          <w:sz w:val="24"/>
          <w:szCs w:val="24"/>
        </w:rPr>
        <w:t xml:space="preserve"> запустил в 2019 году дополнительный канал обратной связи через мессенджеры Viber, Telegram, WhatsApp.</w:t>
      </w:r>
    </w:p>
    <w:p w14:paraId="12BF9117" w14:textId="77777777" w:rsidR="002355E4" w:rsidRPr="008E40A0" w:rsidRDefault="002355E4" w:rsidP="0054657D">
      <w:pPr>
        <w:spacing w:before="0" w:after="0" w:line="240" w:lineRule="auto"/>
        <w:ind w:firstLine="425"/>
        <w:jc w:val="both"/>
        <w:rPr>
          <w:rFonts w:ascii="Times New Roman" w:hAnsi="Times New Roman" w:cs="Times New Roman"/>
          <w:sz w:val="24"/>
          <w:szCs w:val="24"/>
        </w:rPr>
      </w:pPr>
    </w:p>
    <w:p w14:paraId="5A2DE6E9" w14:textId="77777777" w:rsidR="00041331" w:rsidRDefault="00041331" w:rsidP="00041331">
      <w:pPr>
        <w:ind w:firstLine="425"/>
        <w:jc w:val="both"/>
        <w:rPr>
          <w:sz w:val="24"/>
        </w:rPr>
      </w:pPr>
    </w:p>
    <w:p w14:paraId="2D709B20" w14:textId="77777777" w:rsidR="004D7D79" w:rsidRDefault="004D7D79" w:rsidP="000D5444">
      <w:pPr>
        <w:widowControl w:val="0"/>
        <w:ind w:firstLine="425"/>
        <w:jc w:val="center"/>
        <w:rPr>
          <w:b/>
          <w:bCs/>
          <w:noProof/>
          <w:sz w:val="28"/>
          <w:szCs w:val="28"/>
        </w:rPr>
      </w:pPr>
    </w:p>
    <w:p w14:paraId="53FBD871" w14:textId="77777777" w:rsidR="004D7D79" w:rsidRDefault="004D7D79" w:rsidP="000D5444">
      <w:pPr>
        <w:widowControl w:val="0"/>
        <w:ind w:firstLine="425"/>
        <w:jc w:val="center"/>
        <w:rPr>
          <w:b/>
          <w:bCs/>
          <w:noProof/>
          <w:sz w:val="28"/>
          <w:szCs w:val="28"/>
        </w:rPr>
      </w:pPr>
    </w:p>
    <w:p w14:paraId="7FAB3B44" w14:textId="77777777" w:rsidR="004D7D79" w:rsidRDefault="004D7D79" w:rsidP="000D5444">
      <w:pPr>
        <w:widowControl w:val="0"/>
        <w:ind w:firstLine="425"/>
        <w:jc w:val="center"/>
        <w:rPr>
          <w:b/>
          <w:bCs/>
          <w:noProof/>
          <w:sz w:val="28"/>
          <w:szCs w:val="28"/>
        </w:rPr>
      </w:pPr>
    </w:p>
    <w:p w14:paraId="670DA633" w14:textId="77777777" w:rsidR="004D7D79" w:rsidRDefault="004D7D79" w:rsidP="000D5444">
      <w:pPr>
        <w:widowControl w:val="0"/>
        <w:ind w:firstLine="425"/>
        <w:jc w:val="center"/>
        <w:rPr>
          <w:b/>
          <w:bCs/>
          <w:noProof/>
          <w:sz w:val="28"/>
          <w:szCs w:val="28"/>
        </w:rPr>
      </w:pPr>
    </w:p>
    <w:p w14:paraId="11ADCE2B" w14:textId="77777777" w:rsidR="004D7D79" w:rsidRDefault="004D7D79" w:rsidP="000D5444">
      <w:pPr>
        <w:widowControl w:val="0"/>
        <w:ind w:firstLine="425"/>
        <w:jc w:val="center"/>
        <w:rPr>
          <w:b/>
          <w:bCs/>
          <w:noProof/>
          <w:sz w:val="28"/>
          <w:szCs w:val="28"/>
        </w:rPr>
      </w:pPr>
    </w:p>
    <w:p w14:paraId="53CB00B7" w14:textId="77777777" w:rsidR="007F6F20" w:rsidRDefault="007F6F20" w:rsidP="000D5444">
      <w:pPr>
        <w:widowControl w:val="0"/>
        <w:ind w:firstLine="425"/>
        <w:jc w:val="center"/>
        <w:rPr>
          <w:b/>
          <w:bCs/>
          <w:noProof/>
          <w:sz w:val="28"/>
          <w:szCs w:val="28"/>
        </w:rPr>
      </w:pPr>
    </w:p>
    <w:p w14:paraId="2DE7560E" w14:textId="77777777" w:rsidR="007F6F20" w:rsidRDefault="007F6F20" w:rsidP="000D5444">
      <w:pPr>
        <w:widowControl w:val="0"/>
        <w:ind w:firstLine="425"/>
        <w:jc w:val="center"/>
        <w:rPr>
          <w:b/>
          <w:bCs/>
          <w:noProof/>
          <w:sz w:val="28"/>
          <w:szCs w:val="28"/>
        </w:rPr>
      </w:pPr>
    </w:p>
    <w:p w14:paraId="1EDD2E4E" w14:textId="77777777" w:rsidR="002B5F1D" w:rsidRDefault="002B5F1D" w:rsidP="000D5444">
      <w:pPr>
        <w:widowControl w:val="0"/>
        <w:ind w:firstLine="425"/>
        <w:jc w:val="center"/>
        <w:rPr>
          <w:b/>
          <w:bCs/>
          <w:noProof/>
          <w:sz w:val="28"/>
          <w:szCs w:val="28"/>
        </w:rPr>
      </w:pPr>
    </w:p>
    <w:p w14:paraId="26462A4C" w14:textId="77777777" w:rsidR="003C18BB" w:rsidRDefault="003C18BB" w:rsidP="00E550E7">
      <w:pPr>
        <w:widowControl w:val="0"/>
        <w:jc w:val="center"/>
        <w:rPr>
          <w:b/>
          <w:bCs/>
          <w:noProof/>
          <w:sz w:val="28"/>
          <w:szCs w:val="28"/>
        </w:rPr>
      </w:pPr>
      <w:r w:rsidRPr="00E85DD7">
        <w:rPr>
          <w:b/>
          <w:bCs/>
          <w:noProof/>
          <w:sz w:val="28"/>
          <w:szCs w:val="28"/>
        </w:rPr>
        <w:t>РАЗДЕЛ 1. ЭКОНОМИЧЕСКОЕ И ФИНАНСОВОЕ ПОЛОЖЕНИЕ ПРИДНЕСТРОВСКОЙ МОЛДАВСКОЙ РЕСПУБЛИКИ В 201</w:t>
      </w:r>
      <w:r w:rsidR="00BF66C3">
        <w:rPr>
          <w:b/>
          <w:bCs/>
          <w:noProof/>
          <w:sz w:val="28"/>
          <w:szCs w:val="28"/>
        </w:rPr>
        <w:t>9</w:t>
      </w:r>
      <w:r w:rsidRPr="00E85DD7">
        <w:rPr>
          <w:b/>
          <w:bCs/>
          <w:noProof/>
          <w:sz w:val="28"/>
          <w:szCs w:val="28"/>
        </w:rPr>
        <w:t xml:space="preserve"> ГОДУ </w:t>
      </w:r>
    </w:p>
    <w:p w14:paraId="6CD175C8" w14:textId="77777777" w:rsidR="004D7D79" w:rsidRPr="004D7D79" w:rsidRDefault="004D7D79" w:rsidP="000D5444">
      <w:pPr>
        <w:widowControl w:val="0"/>
        <w:ind w:firstLine="425"/>
        <w:jc w:val="center"/>
        <w:rPr>
          <w:b/>
          <w:bCs/>
          <w:noProof/>
          <w:sz w:val="24"/>
          <w:szCs w:val="24"/>
        </w:rPr>
      </w:pPr>
    </w:p>
    <w:p w14:paraId="3AA06122" w14:textId="77777777" w:rsidR="003C18BB" w:rsidRPr="004D7D79" w:rsidRDefault="008B243B" w:rsidP="00450C0C">
      <w:pPr>
        <w:pStyle w:val="1"/>
        <w:widowControl w:val="0"/>
        <w:numPr>
          <w:ilvl w:val="1"/>
          <w:numId w:val="1"/>
        </w:numPr>
        <w:spacing w:before="0" w:line="240" w:lineRule="auto"/>
        <w:rPr>
          <w:b/>
          <w:bCs/>
          <w:noProof/>
          <w:sz w:val="24"/>
          <w:szCs w:val="24"/>
        </w:rPr>
      </w:pPr>
      <w:r>
        <w:rPr>
          <w:b/>
          <w:bCs/>
          <w:noProof/>
          <w:sz w:val="24"/>
          <w:szCs w:val="24"/>
        </w:rPr>
        <w:t xml:space="preserve"> </w:t>
      </w:r>
      <w:r w:rsidR="003248C9" w:rsidRPr="004D7D79">
        <w:rPr>
          <w:b/>
          <w:bCs/>
          <w:noProof/>
          <w:sz w:val="24"/>
          <w:szCs w:val="24"/>
        </w:rPr>
        <w:t xml:space="preserve">ВНЕШНИЕ УСЛОВИЯ: </w:t>
      </w:r>
      <w:r w:rsidR="003C18BB" w:rsidRPr="004D7D79">
        <w:rPr>
          <w:b/>
          <w:bCs/>
          <w:noProof/>
          <w:sz w:val="24"/>
          <w:szCs w:val="24"/>
        </w:rPr>
        <w:t xml:space="preserve">МИРОВАЯ ЭКОНОМИКА И </w:t>
      </w:r>
      <w:r w:rsidR="003248C9" w:rsidRPr="004D7D79">
        <w:rPr>
          <w:b/>
          <w:bCs/>
          <w:noProof/>
          <w:sz w:val="24"/>
          <w:szCs w:val="24"/>
        </w:rPr>
        <w:t xml:space="preserve">МЕЖДУНАРОДНЫЕ </w:t>
      </w:r>
      <w:r w:rsidR="003C18BB" w:rsidRPr="004D7D79">
        <w:rPr>
          <w:b/>
          <w:bCs/>
          <w:noProof/>
          <w:sz w:val="24"/>
          <w:szCs w:val="24"/>
        </w:rPr>
        <w:t>РЫНКИ</w:t>
      </w:r>
    </w:p>
    <w:p w14:paraId="35BB2959" w14:textId="77777777" w:rsidR="004D7D79" w:rsidRDefault="004D7D79" w:rsidP="00D26C44">
      <w:pPr>
        <w:spacing w:before="0" w:after="0" w:line="240" w:lineRule="auto"/>
        <w:ind w:firstLine="425"/>
        <w:jc w:val="both"/>
        <w:rPr>
          <w:rFonts w:ascii="Times New Roman" w:hAnsi="Times New Roman" w:cs="Times New Roman"/>
          <w:sz w:val="24"/>
          <w:szCs w:val="24"/>
        </w:rPr>
      </w:pPr>
    </w:p>
    <w:p w14:paraId="682E068F" w14:textId="30BFADDD" w:rsidR="00446566" w:rsidRPr="008E40A0" w:rsidRDefault="00446566" w:rsidP="00071AA5">
      <w:pPr>
        <w:spacing w:before="12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Мировая экономика в 2019 году характеризовал</w:t>
      </w:r>
      <w:r w:rsidR="003A0DFD">
        <w:rPr>
          <w:rFonts w:ascii="Times New Roman" w:hAnsi="Times New Roman" w:cs="Times New Roman"/>
          <w:sz w:val="24"/>
          <w:szCs w:val="24"/>
        </w:rPr>
        <w:t>а</w:t>
      </w:r>
      <w:r w:rsidRPr="008E40A0">
        <w:rPr>
          <w:rFonts w:ascii="Times New Roman" w:hAnsi="Times New Roman" w:cs="Times New Roman"/>
          <w:sz w:val="24"/>
          <w:szCs w:val="24"/>
        </w:rPr>
        <w:t>сь самым слабым за последнее десятилетие экономическим ростом и низкой инфляцией. Расхождение в динамике финансовых рынков и темпах роста экономики во многом обусловлено стремительным разворотом денежно-кредитной политики ключевых центральных банков мира. С целью недопущения резкого спада в национальных экономиках монетарные власти перешли к мягкой денежно-кредитной политике. Ставки снижали, в частности, ФРС, ЕЦБ, Народный банк Китая, Банк России</w:t>
      </w:r>
      <w:r w:rsidR="0081436F">
        <w:rPr>
          <w:rFonts w:ascii="Times New Roman" w:hAnsi="Times New Roman" w:cs="Times New Roman"/>
          <w:sz w:val="24"/>
          <w:szCs w:val="24"/>
        </w:rPr>
        <w:t>,</w:t>
      </w:r>
      <w:r w:rsidRPr="008E40A0">
        <w:rPr>
          <w:rFonts w:ascii="Times New Roman" w:hAnsi="Times New Roman" w:cs="Times New Roman"/>
          <w:sz w:val="24"/>
          <w:szCs w:val="24"/>
        </w:rPr>
        <w:t xml:space="preserve"> Банк Бразилии. Впервые за десятилетие данный инструмент применили более половины центральных банков мира.</w:t>
      </w:r>
    </w:p>
    <w:p w14:paraId="48BE83E0"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Согласно предварительным оценкам Международного валютного фонда, темпы мирового экономического роста в 2019 году снизились до 2,9% – самого низкого показателя со времени глобального мирового кризиса десятилетней давности. В 2017-2018 годах он достигал </w:t>
      </w:r>
      <w:r w:rsidR="009012B2">
        <w:rPr>
          <w:rFonts w:ascii="Times New Roman" w:hAnsi="Times New Roman" w:cs="Times New Roman"/>
          <w:sz w:val="24"/>
          <w:szCs w:val="24"/>
        </w:rPr>
        <w:br/>
      </w:r>
      <w:r w:rsidRPr="008E40A0">
        <w:rPr>
          <w:rFonts w:ascii="Times New Roman" w:hAnsi="Times New Roman" w:cs="Times New Roman"/>
          <w:sz w:val="24"/>
          <w:szCs w:val="24"/>
        </w:rPr>
        <w:t xml:space="preserve">3,6%-3,8%. Синхронизированное замедление мировой экономики стало следствием повышения торговых барьеров, роста неопределённости в отношении торговли и геополитики, специфических факторов, создающих макроэкономические трудности в ряде стран с формирующимся рынком, и структурных условий, таких как низкие темпы роста производительности и старение населения в странах с развитой экономикой. </w:t>
      </w:r>
    </w:p>
    <w:p w14:paraId="4FD5FFBE"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Глобальный индекс PMI, отражающий деловую конъюнктуру в мировой экономике, в течение 2019 года характеризовался разнонаправленной динамикой</w:t>
      </w:r>
      <w:r w:rsidR="0081436F" w:rsidRPr="008E40A0">
        <w:rPr>
          <w:rFonts w:ascii="Times New Roman" w:hAnsi="Times New Roman" w:cs="Times New Roman"/>
          <w:sz w:val="24"/>
          <w:szCs w:val="24"/>
          <w:vertAlign w:val="superscript"/>
        </w:rPr>
        <w:footnoteReference w:id="1"/>
      </w:r>
      <w:r w:rsidRPr="008E40A0">
        <w:rPr>
          <w:rFonts w:ascii="Times New Roman" w:hAnsi="Times New Roman" w:cs="Times New Roman"/>
          <w:sz w:val="24"/>
          <w:szCs w:val="24"/>
        </w:rPr>
        <w:t xml:space="preserve"> – после его снижения в октябре до самого низкого уровня с февраля 2016 года (до 50,8 п.), наблюдалось его </w:t>
      </w:r>
      <w:r w:rsidRPr="008E40A0">
        <w:rPr>
          <w:rFonts w:ascii="Times New Roman" w:hAnsi="Times New Roman" w:cs="Times New Roman"/>
          <w:sz w:val="24"/>
          <w:szCs w:val="24"/>
        </w:rPr>
        <w:lastRenderedPageBreak/>
        <w:t>восстановление. В декабре отчётного года индекс сложился на восьмимесячном максимуме – 51,7 пунктов (+0,3 п.п. к ноябрю</w:t>
      </w:r>
      <w:r w:rsidR="00F0633C" w:rsidRPr="008E40A0">
        <w:rPr>
          <w:rFonts w:ascii="Times New Roman" w:hAnsi="Times New Roman" w:cs="Times New Roman"/>
          <w:sz w:val="24"/>
          <w:szCs w:val="24"/>
        </w:rPr>
        <w:t>)</w:t>
      </w:r>
      <w:r w:rsidRPr="008E40A0">
        <w:rPr>
          <w:rFonts w:ascii="Times New Roman" w:hAnsi="Times New Roman" w:cs="Times New Roman"/>
          <w:sz w:val="24"/>
          <w:szCs w:val="24"/>
        </w:rPr>
        <w:t>, что в большей части было обеспечено уменьшением обеспокоенности на мировых рынках относительно торговых войн.</w:t>
      </w:r>
    </w:p>
    <w:p w14:paraId="5FC0EDEB"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Динамика стоимости продуктов на потребительских рынках во многом определялась высокой волатильностью цен на мировом рынке сельскохозяйственной продукции. По итогам 2019 года среднее значение индекса продовольственных цен ФАО составило 171,</w:t>
      </w:r>
      <w:r w:rsidR="00E67676">
        <w:rPr>
          <w:rFonts w:ascii="Times New Roman" w:hAnsi="Times New Roman" w:cs="Times New Roman"/>
          <w:sz w:val="24"/>
          <w:szCs w:val="24"/>
        </w:rPr>
        <w:t>4</w:t>
      </w:r>
      <w:r w:rsidRPr="008E40A0">
        <w:rPr>
          <w:rFonts w:ascii="Times New Roman" w:hAnsi="Times New Roman" w:cs="Times New Roman"/>
          <w:sz w:val="24"/>
          <w:szCs w:val="24"/>
        </w:rPr>
        <w:t xml:space="preserve"> пункта, что на 1,8% превысило показатель предыдущего года. В наибольшей степени повысились цены на мясную продукцию, что обусловлено падением производства ввиду африканской чумы свиней </w:t>
      </w:r>
      <w:r w:rsidR="009D417F">
        <w:rPr>
          <w:rFonts w:ascii="Times New Roman" w:hAnsi="Times New Roman" w:cs="Times New Roman"/>
          <w:sz w:val="24"/>
          <w:szCs w:val="24"/>
        </w:rPr>
        <w:t>(</w:t>
      </w:r>
      <w:r w:rsidR="00E67676">
        <w:rPr>
          <w:rFonts w:ascii="Times New Roman" w:hAnsi="Times New Roman" w:cs="Times New Roman"/>
          <w:sz w:val="24"/>
          <w:szCs w:val="24"/>
        </w:rPr>
        <w:t>индекс ФАО возрос на 5,6</w:t>
      </w:r>
      <w:r w:rsidRPr="008E40A0">
        <w:rPr>
          <w:rFonts w:ascii="Times New Roman" w:hAnsi="Times New Roman" w:cs="Times New Roman"/>
          <w:sz w:val="24"/>
          <w:szCs w:val="24"/>
        </w:rPr>
        <w:t>%</w:t>
      </w:r>
      <w:r w:rsidR="009D417F">
        <w:rPr>
          <w:rFonts w:ascii="Times New Roman" w:hAnsi="Times New Roman" w:cs="Times New Roman"/>
          <w:sz w:val="24"/>
          <w:szCs w:val="24"/>
        </w:rPr>
        <w:t>)</w:t>
      </w:r>
      <w:r w:rsidRPr="008E40A0">
        <w:rPr>
          <w:rFonts w:ascii="Times New Roman" w:hAnsi="Times New Roman" w:cs="Times New Roman"/>
          <w:sz w:val="24"/>
          <w:szCs w:val="24"/>
        </w:rPr>
        <w:t xml:space="preserve">. Индекс цен на молочную продукцию ФАО увеличился </w:t>
      </w:r>
      <w:r w:rsidR="009D417F">
        <w:rPr>
          <w:rFonts w:ascii="Times New Roman" w:hAnsi="Times New Roman" w:cs="Times New Roman"/>
          <w:sz w:val="24"/>
          <w:szCs w:val="24"/>
        </w:rPr>
        <w:t xml:space="preserve">на </w:t>
      </w:r>
      <w:r w:rsidRPr="008E40A0">
        <w:rPr>
          <w:rFonts w:ascii="Times New Roman" w:hAnsi="Times New Roman" w:cs="Times New Roman"/>
          <w:sz w:val="24"/>
          <w:szCs w:val="24"/>
        </w:rPr>
        <w:t>3,0%</w:t>
      </w:r>
      <w:r w:rsidR="009D417F">
        <w:rPr>
          <w:rFonts w:ascii="Times New Roman" w:hAnsi="Times New Roman" w:cs="Times New Roman"/>
          <w:sz w:val="24"/>
          <w:szCs w:val="24"/>
        </w:rPr>
        <w:t xml:space="preserve"> (</w:t>
      </w:r>
      <w:r w:rsidRPr="008E40A0">
        <w:rPr>
          <w:rFonts w:ascii="Times New Roman" w:hAnsi="Times New Roman" w:cs="Times New Roman"/>
          <w:sz w:val="24"/>
          <w:szCs w:val="24"/>
        </w:rPr>
        <w:t>наибольший рост за год продемонстрировали цены на сухое обезжиренное молоко, а также на сыр и цельное сухое молоко</w:t>
      </w:r>
      <w:r w:rsidR="009D417F">
        <w:rPr>
          <w:rFonts w:ascii="Times New Roman" w:hAnsi="Times New Roman" w:cs="Times New Roman"/>
          <w:sz w:val="24"/>
          <w:szCs w:val="24"/>
        </w:rPr>
        <w:t>)</w:t>
      </w:r>
      <w:r w:rsidRPr="008E40A0">
        <w:rPr>
          <w:rFonts w:ascii="Times New Roman" w:hAnsi="Times New Roman" w:cs="Times New Roman"/>
          <w:sz w:val="24"/>
          <w:szCs w:val="24"/>
        </w:rPr>
        <w:t>. Сокращение глобального предложения вызвал</w:t>
      </w:r>
      <w:r w:rsidR="009D417F">
        <w:rPr>
          <w:rFonts w:ascii="Times New Roman" w:hAnsi="Times New Roman" w:cs="Times New Roman"/>
          <w:sz w:val="24"/>
          <w:szCs w:val="24"/>
        </w:rPr>
        <w:t>о рост индекса на сахар на 1,6%</w:t>
      </w:r>
      <w:r w:rsidRPr="008E40A0">
        <w:rPr>
          <w:rFonts w:ascii="Times New Roman" w:hAnsi="Times New Roman" w:cs="Times New Roman"/>
          <w:sz w:val="24"/>
          <w:szCs w:val="24"/>
        </w:rPr>
        <w:t>. В то же время по ряду продовольственных товаров, участвующих в расчёте индекса ФАО, отмечалось снижение цен. Так, индекс цен на растительное масло по итогам 2019 года опустился до минимального среднегодового значения с 2006 года</w:t>
      </w:r>
      <w:r w:rsidR="009D417F">
        <w:rPr>
          <w:rFonts w:ascii="Times New Roman" w:hAnsi="Times New Roman" w:cs="Times New Roman"/>
          <w:sz w:val="24"/>
          <w:szCs w:val="24"/>
        </w:rPr>
        <w:t xml:space="preserve"> </w:t>
      </w:r>
      <w:r w:rsidR="00E67676">
        <w:rPr>
          <w:rFonts w:ascii="Times New Roman" w:hAnsi="Times New Roman" w:cs="Times New Roman"/>
          <w:sz w:val="24"/>
          <w:szCs w:val="24"/>
        </w:rPr>
        <w:t>(-6,2</w:t>
      </w:r>
      <w:r w:rsidRPr="008E40A0">
        <w:rPr>
          <w:rFonts w:ascii="Times New Roman" w:hAnsi="Times New Roman" w:cs="Times New Roman"/>
          <w:sz w:val="24"/>
          <w:szCs w:val="24"/>
        </w:rPr>
        <w:t>% к уровню 2018 года). Достаточное предложение зерновых определило снижение и</w:t>
      </w:r>
      <w:r w:rsidR="009D417F">
        <w:rPr>
          <w:rFonts w:ascii="Times New Roman" w:hAnsi="Times New Roman" w:cs="Times New Roman"/>
          <w:sz w:val="24"/>
          <w:szCs w:val="24"/>
        </w:rPr>
        <w:t>ндекса по данной группе на 0,6%</w:t>
      </w:r>
      <w:r w:rsidRPr="008E40A0">
        <w:rPr>
          <w:rFonts w:ascii="Times New Roman" w:hAnsi="Times New Roman" w:cs="Times New Roman"/>
          <w:sz w:val="24"/>
          <w:szCs w:val="24"/>
        </w:rPr>
        <w:t>.</w:t>
      </w:r>
    </w:p>
    <w:p w14:paraId="07743EAB"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Ситуация в странах</w:t>
      </w:r>
      <w:r w:rsidR="009D417F">
        <w:rPr>
          <w:rFonts w:ascii="Times New Roman" w:hAnsi="Times New Roman" w:cs="Times New Roman"/>
          <w:sz w:val="24"/>
          <w:szCs w:val="24"/>
        </w:rPr>
        <w:t xml:space="preserve"> – </w:t>
      </w:r>
      <w:r w:rsidRPr="008E40A0">
        <w:rPr>
          <w:rFonts w:ascii="Times New Roman" w:hAnsi="Times New Roman" w:cs="Times New Roman"/>
          <w:sz w:val="24"/>
          <w:szCs w:val="24"/>
        </w:rPr>
        <w:t>ключевых партн</w:t>
      </w:r>
      <w:r w:rsidR="009D417F">
        <w:rPr>
          <w:rFonts w:ascii="Times New Roman" w:hAnsi="Times New Roman" w:cs="Times New Roman"/>
          <w:sz w:val="24"/>
          <w:szCs w:val="24"/>
        </w:rPr>
        <w:t>ё</w:t>
      </w:r>
      <w:r w:rsidRPr="008E40A0">
        <w:rPr>
          <w:rFonts w:ascii="Times New Roman" w:hAnsi="Times New Roman" w:cs="Times New Roman"/>
          <w:sz w:val="24"/>
          <w:szCs w:val="24"/>
        </w:rPr>
        <w:t xml:space="preserve">рах хозяйствующих субъектов республики </w:t>
      </w:r>
      <w:r w:rsidR="009D417F">
        <w:rPr>
          <w:rFonts w:ascii="Times New Roman" w:hAnsi="Times New Roman" w:cs="Times New Roman"/>
          <w:sz w:val="24"/>
          <w:szCs w:val="24"/>
        </w:rPr>
        <w:t xml:space="preserve">по внешней торговле </w:t>
      </w:r>
      <w:r w:rsidRPr="008E40A0">
        <w:rPr>
          <w:rFonts w:ascii="Times New Roman" w:hAnsi="Times New Roman" w:cs="Times New Roman"/>
          <w:sz w:val="24"/>
          <w:szCs w:val="24"/>
        </w:rPr>
        <w:t xml:space="preserve">характеризовалась следующим образом. </w:t>
      </w:r>
    </w:p>
    <w:p w14:paraId="1194E7FC"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Рост ВВП России по итогам 2019 года замедлился, составив 1,3% против 2,5% годом ранее. Главным образом на это повлияла неблагоприятная конъюнктура экспорта</w:t>
      </w:r>
      <w:r w:rsidR="001749BC">
        <w:rPr>
          <w:rFonts w:ascii="Times New Roman" w:hAnsi="Times New Roman" w:cs="Times New Roman"/>
          <w:sz w:val="24"/>
          <w:szCs w:val="24"/>
        </w:rPr>
        <w:t>, который</w:t>
      </w:r>
      <w:r w:rsidR="00AC416B">
        <w:rPr>
          <w:rFonts w:ascii="Times New Roman" w:hAnsi="Times New Roman" w:cs="Times New Roman"/>
          <w:sz w:val="24"/>
          <w:szCs w:val="24"/>
        </w:rPr>
        <w:t xml:space="preserve"> </w:t>
      </w:r>
      <w:r w:rsidRPr="008E40A0">
        <w:rPr>
          <w:rFonts w:ascii="Times New Roman" w:hAnsi="Times New Roman" w:cs="Times New Roman"/>
          <w:sz w:val="24"/>
          <w:szCs w:val="24"/>
        </w:rPr>
        <w:t>уменьш</w:t>
      </w:r>
      <w:r w:rsidR="001749BC">
        <w:rPr>
          <w:rFonts w:ascii="Times New Roman" w:hAnsi="Times New Roman" w:cs="Times New Roman"/>
          <w:sz w:val="24"/>
          <w:szCs w:val="24"/>
        </w:rPr>
        <w:t>ился</w:t>
      </w:r>
      <w:r w:rsidRPr="008E40A0">
        <w:rPr>
          <w:rFonts w:ascii="Times New Roman" w:hAnsi="Times New Roman" w:cs="Times New Roman"/>
          <w:sz w:val="24"/>
          <w:szCs w:val="24"/>
        </w:rPr>
        <w:t xml:space="preserve"> на 6,0%. В значительной степени ухудшилась </w:t>
      </w:r>
      <w:r w:rsidR="001749BC">
        <w:rPr>
          <w:rFonts w:ascii="Times New Roman" w:hAnsi="Times New Roman" w:cs="Times New Roman"/>
          <w:sz w:val="24"/>
          <w:szCs w:val="24"/>
        </w:rPr>
        <w:t>ценовая ситуация на рынке</w:t>
      </w:r>
      <w:r w:rsidRPr="008E40A0">
        <w:rPr>
          <w:rFonts w:ascii="Times New Roman" w:hAnsi="Times New Roman" w:cs="Times New Roman"/>
          <w:sz w:val="24"/>
          <w:szCs w:val="24"/>
        </w:rPr>
        <w:t xml:space="preserve"> металл</w:t>
      </w:r>
      <w:r w:rsidR="001749BC">
        <w:rPr>
          <w:rFonts w:ascii="Times New Roman" w:hAnsi="Times New Roman" w:cs="Times New Roman"/>
          <w:sz w:val="24"/>
          <w:szCs w:val="24"/>
        </w:rPr>
        <w:t>ов</w:t>
      </w:r>
      <w:r w:rsidRPr="008E40A0">
        <w:rPr>
          <w:rFonts w:ascii="Times New Roman" w:hAnsi="Times New Roman" w:cs="Times New Roman"/>
          <w:sz w:val="24"/>
          <w:szCs w:val="24"/>
        </w:rPr>
        <w:t xml:space="preserve">. Фактором, поддерживавшим динамику ВВП, стало наращивание промышленного производства на 2,4% и увеличение выпуска продукции сельского хозяйства </w:t>
      </w:r>
      <w:r w:rsidR="001C45F7">
        <w:rPr>
          <w:rFonts w:ascii="Times New Roman" w:hAnsi="Times New Roman" w:cs="Times New Roman"/>
          <w:sz w:val="24"/>
          <w:szCs w:val="24"/>
        </w:rPr>
        <w:t xml:space="preserve">на </w:t>
      </w:r>
      <w:r w:rsidRPr="008E40A0">
        <w:rPr>
          <w:rFonts w:ascii="Times New Roman" w:hAnsi="Times New Roman" w:cs="Times New Roman"/>
          <w:sz w:val="24"/>
          <w:szCs w:val="24"/>
        </w:rPr>
        <w:t>4,0%.</w:t>
      </w:r>
    </w:p>
    <w:p w14:paraId="18947B6D"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Повышение ставки НДС в начале 2019 года с 18% до 20% обусловило всплеск инфляции до максимума в марте 2019 года – 5,3% в годовом выражении. При этом эффект был кратковременным. В дельнейшем инфляционное давление последовательно снижалось. В целом за отчётный год рост цен сложился заметно ниже самых оптимистичных прогнозов – 3,0% против 4,3% годом ранее.</w:t>
      </w:r>
    </w:p>
    <w:p w14:paraId="134FC603" w14:textId="6D3FB38D" w:rsidR="00446566" w:rsidRPr="008E40A0" w:rsidRDefault="00446566" w:rsidP="0054657D">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Устойчивое снижение инфляции стало ведущим фактором в принятии решений о направленности денежно-кредитной политики. В совокупности за 2019 год Центральный банк Российской Федерации пять раз подряд понижал ставку, в результате она уменьшилась на </w:t>
      </w:r>
      <w:r w:rsidR="00123AEA">
        <w:rPr>
          <w:rFonts w:ascii="Times New Roman" w:hAnsi="Times New Roman" w:cs="Times New Roman"/>
          <w:sz w:val="24"/>
          <w:szCs w:val="24"/>
        </w:rPr>
        <w:br/>
      </w:r>
      <w:r w:rsidRPr="008E40A0">
        <w:rPr>
          <w:rFonts w:ascii="Times New Roman" w:hAnsi="Times New Roman" w:cs="Times New Roman"/>
          <w:sz w:val="24"/>
          <w:szCs w:val="24"/>
        </w:rPr>
        <w:t xml:space="preserve">1,5 п.п., до 6,25% на конец 2019 года. </w:t>
      </w:r>
      <w:r w:rsidR="0054657D">
        <w:rPr>
          <w:rFonts w:ascii="Times New Roman" w:hAnsi="Times New Roman" w:cs="Times New Roman"/>
          <w:sz w:val="24"/>
          <w:szCs w:val="24"/>
        </w:rPr>
        <w:t>К</w:t>
      </w:r>
      <w:r w:rsidRPr="008E40A0">
        <w:rPr>
          <w:rFonts w:ascii="Times New Roman" w:hAnsi="Times New Roman" w:cs="Times New Roman"/>
          <w:sz w:val="24"/>
          <w:szCs w:val="24"/>
        </w:rPr>
        <w:t xml:space="preserve"> концу отчётного года российский рубль укрепился на 12,2%, д</w:t>
      </w:r>
      <w:r w:rsidR="00E550E7">
        <w:rPr>
          <w:rFonts w:ascii="Times New Roman" w:hAnsi="Times New Roman" w:cs="Times New Roman"/>
          <w:sz w:val="24"/>
          <w:szCs w:val="24"/>
        </w:rPr>
        <w:t xml:space="preserve">о 61,9057 руб. РФ/долл. США на </w:t>
      </w:r>
      <w:r w:rsidRPr="008E40A0">
        <w:rPr>
          <w:rFonts w:ascii="Times New Roman" w:hAnsi="Times New Roman" w:cs="Times New Roman"/>
          <w:sz w:val="24"/>
          <w:szCs w:val="24"/>
        </w:rPr>
        <w:t>1</w:t>
      </w:r>
      <w:r w:rsidR="00E550E7">
        <w:rPr>
          <w:rFonts w:ascii="Times New Roman" w:hAnsi="Times New Roman" w:cs="Times New Roman"/>
          <w:sz w:val="24"/>
          <w:szCs w:val="24"/>
        </w:rPr>
        <w:t xml:space="preserve"> января </w:t>
      </w:r>
      <w:r w:rsidRPr="008E40A0">
        <w:rPr>
          <w:rFonts w:ascii="Times New Roman" w:hAnsi="Times New Roman" w:cs="Times New Roman"/>
          <w:sz w:val="24"/>
          <w:szCs w:val="24"/>
        </w:rPr>
        <w:t>2020</w:t>
      </w:r>
      <w:r w:rsidR="00E550E7">
        <w:rPr>
          <w:rFonts w:ascii="Times New Roman" w:hAnsi="Times New Roman" w:cs="Times New Roman"/>
          <w:sz w:val="24"/>
          <w:szCs w:val="24"/>
        </w:rPr>
        <w:t xml:space="preserve"> года</w:t>
      </w:r>
      <w:r w:rsidRPr="008E40A0">
        <w:rPr>
          <w:rFonts w:ascii="Times New Roman" w:hAnsi="Times New Roman" w:cs="Times New Roman"/>
          <w:sz w:val="24"/>
          <w:szCs w:val="24"/>
        </w:rPr>
        <w:t>.</w:t>
      </w:r>
    </w:p>
    <w:p w14:paraId="766C2A84"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Рост ВВП Украины в 2019 году, по оценкам Национального банка Украины, как и годом ранее, составил 3,3%. Основное влияние на его динамику оказало оживление частного потребления на фоне повышения зарплат, пенсий и улучшения потребительских настроений, что положительно сказалось на показателях торговли, транспорта, строительства и сектора услуг. Очередной рекордный урожай зерновых и масличных культур был весомым драйвером роста ВВП и экспорта. В то же время объём промышленного производства в Украине по итогам отчётного года сократился на 1,8%. Главным образом на это повлияла неблагоприятная внешняя ценовая конъюнктура, прежде всего на продукцию металлургической промышленности, торговые ограничения на товары машиностроения, тёплая зимняя погода как в начале, так и в конце года, определившая снижение выработки в энергетике. </w:t>
      </w:r>
    </w:p>
    <w:p w14:paraId="2EA80A75"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Потребительская инфляция сложилась в пределах целевого диапазона, установленного Национальным банком Украины (5% ± 1 п.п.), замедлившись в декабре до 4,1% в годовом выражении (самого низкого значения с апреля 2014 года). </w:t>
      </w:r>
    </w:p>
    <w:p w14:paraId="7FA5F1C2"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большей части динамику цен определило укрепление гривны (на 16,9%, до </w:t>
      </w:r>
      <w:r w:rsidRPr="008E40A0">
        <w:rPr>
          <w:rFonts w:ascii="Times New Roman" w:hAnsi="Times New Roman" w:cs="Times New Roman"/>
          <w:sz w:val="24"/>
          <w:szCs w:val="24"/>
        </w:rPr>
        <w:br/>
        <w:t xml:space="preserve">23,6862 грн/долл. США на 01.01.2020), что проявилось, прежде всего, в ослаблении фундаментального инфляционного давления – рост базовой инфляции снизился на 4,8 п.п., до </w:t>
      </w:r>
      <w:r w:rsidRPr="008E40A0">
        <w:rPr>
          <w:rFonts w:ascii="Times New Roman" w:hAnsi="Times New Roman" w:cs="Times New Roman"/>
          <w:sz w:val="24"/>
          <w:szCs w:val="24"/>
        </w:rPr>
        <w:lastRenderedPageBreak/>
        <w:t xml:space="preserve">3,9% в годовом выражении. В то же время такие факторы, как повышение потребительского спроса и заработных плат, оказывали проинфляционное влияние. </w:t>
      </w:r>
    </w:p>
    <w:p w14:paraId="1C3895B7"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Проводя в ускоренном режиме смягчение монетарной политики, НБУ снизил учётную ставку с 18% до 13,5% за 2019 год (с 31.01.2020 – 11% годовых). </w:t>
      </w:r>
    </w:p>
    <w:p w14:paraId="41D4593C"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В Республике Молдова прирост объёмов промышленного производства в 2019 году замедлился на 1,7 п.п., до 2,0%. Выпуск в сельском хозяйстве снизился на 1,9%.</w:t>
      </w:r>
      <w:r w:rsidR="001749BC">
        <w:rPr>
          <w:rFonts w:ascii="Times New Roman" w:hAnsi="Times New Roman" w:cs="Times New Roman"/>
          <w:sz w:val="24"/>
          <w:szCs w:val="24"/>
        </w:rPr>
        <w:t xml:space="preserve"> При этом инфляция зафиксирована в существенно более высоких параметрах, чем год назад: 7,5% (декабрь к декабрю)</w:t>
      </w:r>
      <w:r w:rsidRPr="008E40A0">
        <w:rPr>
          <w:rFonts w:ascii="Times New Roman" w:hAnsi="Times New Roman" w:cs="Times New Roman"/>
          <w:sz w:val="24"/>
          <w:szCs w:val="24"/>
        </w:rPr>
        <w:t xml:space="preserve">, тогда как в 2018 году рост цен составил 0,9%. </w:t>
      </w:r>
    </w:p>
    <w:p w14:paraId="0A701EC7"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Национальный банк Молдовы (НБМ) с целью снижения инфляции в условиях постоянного роста совокупного спроса дважды повышал базовую ставку на 0,5 п.п., до 7,5% (действовавшую вплоть до 11.12.2019). Принятые меры частично нивелировали разраставшееся инфляционное и девальвационное давление, способствуя формированию среднегодовой инфляции на уровне 4,8%, что соответствовало его нахождению в рамках целевого ориентира (5%), рассматриваемого как оптимальное значение для развития экономики Республики Молдова. В этих условиях регулятор в середине декабря снизил базовую ставку, применяемую по основным краткосрочным операциям денежной политики, на 2 п.п., до 5,5%.</w:t>
      </w:r>
    </w:p>
    <w:p w14:paraId="0A5972D1"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Приток валюты в рамках второго по значимости для Республики Молдова канала –денежных переводов – снизился впервые с 2016 года </w:t>
      </w:r>
      <w:r w:rsidRPr="003A0DFD">
        <w:rPr>
          <w:rFonts w:ascii="Times New Roman" w:hAnsi="Times New Roman" w:cs="Times New Roman"/>
          <w:sz w:val="24"/>
          <w:szCs w:val="24"/>
        </w:rPr>
        <w:t>до 1 129,7 млн в</w:t>
      </w:r>
      <w:r w:rsidRPr="008E40A0">
        <w:rPr>
          <w:rFonts w:ascii="Times New Roman" w:hAnsi="Times New Roman" w:cs="Times New Roman"/>
          <w:sz w:val="24"/>
          <w:szCs w:val="24"/>
        </w:rPr>
        <w:t xml:space="preserve"> долларовом эквиваленте</w:t>
      </w:r>
      <w:r w:rsidRPr="008E40A0">
        <w:rPr>
          <w:rFonts w:ascii="Times New Roman" w:hAnsi="Times New Roman" w:cs="Times New Roman"/>
          <w:sz w:val="24"/>
          <w:szCs w:val="24"/>
          <w:vertAlign w:val="superscript"/>
        </w:rPr>
        <w:footnoteReference w:id="2"/>
      </w:r>
      <w:r w:rsidRPr="008E40A0">
        <w:rPr>
          <w:rFonts w:ascii="Times New Roman" w:hAnsi="Times New Roman" w:cs="Times New Roman"/>
          <w:sz w:val="24"/>
          <w:szCs w:val="24"/>
        </w:rPr>
        <w:t xml:space="preserve"> (-2,8%). </w:t>
      </w:r>
    </w:p>
    <w:p w14:paraId="24966A15" w14:textId="08001507" w:rsidR="00446566" w:rsidRPr="008E40A0" w:rsidRDefault="003754EA" w:rsidP="0081436F">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 фоне </w:t>
      </w:r>
      <w:r w:rsidR="00446566" w:rsidRPr="008E40A0">
        <w:rPr>
          <w:rFonts w:ascii="Times New Roman" w:hAnsi="Times New Roman" w:cs="Times New Roman"/>
          <w:sz w:val="24"/>
          <w:szCs w:val="24"/>
        </w:rPr>
        <w:t xml:space="preserve">сокращения нетто-предложения иностранной валюты физическими лицами </w:t>
      </w:r>
      <w:r w:rsidR="00446566" w:rsidRPr="008E40A0">
        <w:rPr>
          <w:rFonts w:ascii="Times New Roman" w:hAnsi="Times New Roman" w:cs="Times New Roman"/>
          <w:sz w:val="24"/>
          <w:szCs w:val="24"/>
        </w:rPr>
        <w:br/>
        <w:t>и роста чистого спроса на неё со стороны хозяйствующих субъектов на валютном рынке фиксировалось ослабление молдавского лея, темпы которого к концу отчётного года замедлились. В результате к 1</w:t>
      </w:r>
      <w:r w:rsidR="00E550E7">
        <w:rPr>
          <w:rFonts w:ascii="Times New Roman" w:hAnsi="Times New Roman" w:cs="Times New Roman"/>
          <w:sz w:val="24"/>
          <w:szCs w:val="24"/>
        </w:rPr>
        <w:t xml:space="preserve"> января </w:t>
      </w:r>
      <w:r w:rsidR="00446566" w:rsidRPr="008E40A0">
        <w:rPr>
          <w:rFonts w:ascii="Times New Roman" w:hAnsi="Times New Roman" w:cs="Times New Roman"/>
          <w:sz w:val="24"/>
          <w:szCs w:val="24"/>
        </w:rPr>
        <w:t xml:space="preserve">2020 </w:t>
      </w:r>
      <w:r w:rsidR="00E550E7">
        <w:rPr>
          <w:rFonts w:ascii="Times New Roman" w:hAnsi="Times New Roman" w:cs="Times New Roman"/>
          <w:sz w:val="24"/>
          <w:szCs w:val="24"/>
        </w:rPr>
        <w:t xml:space="preserve">года </w:t>
      </w:r>
      <w:r w:rsidR="00446566" w:rsidRPr="008E40A0">
        <w:rPr>
          <w:rFonts w:ascii="Times New Roman" w:hAnsi="Times New Roman" w:cs="Times New Roman"/>
          <w:sz w:val="24"/>
          <w:szCs w:val="24"/>
        </w:rPr>
        <w:t xml:space="preserve">молдавский лей обесценился на 0,4% по отношению к доллару США и составил 17,2093 лей РМ за доллар США. </w:t>
      </w:r>
    </w:p>
    <w:p w14:paraId="39707D46"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условиях политической нестабильности, напряжённости в торговых отношениях и проблем в автомобильной промышленности прирост экономик стран Европейского союза за 2019 год, по предварительным данным, замедлился на 0,5 п.п. и составил 1,4%. Главным фактором динамики стал спад промышленного производства на 1,1%. </w:t>
      </w:r>
      <w:r w:rsidR="001749BC">
        <w:rPr>
          <w:rFonts w:ascii="Times New Roman" w:hAnsi="Times New Roman" w:cs="Times New Roman"/>
          <w:sz w:val="24"/>
          <w:szCs w:val="24"/>
        </w:rPr>
        <w:t>При этом</w:t>
      </w:r>
      <w:r w:rsidRPr="008E40A0">
        <w:rPr>
          <w:rFonts w:ascii="Times New Roman" w:hAnsi="Times New Roman" w:cs="Times New Roman"/>
          <w:sz w:val="24"/>
          <w:szCs w:val="24"/>
        </w:rPr>
        <w:t xml:space="preserve"> объём экспорта товаров из стран Европейского союза возрос на 3,5%, импорта – на 1,3%. </w:t>
      </w:r>
      <w:r w:rsidR="001749BC">
        <w:rPr>
          <w:rFonts w:ascii="Times New Roman" w:hAnsi="Times New Roman" w:cs="Times New Roman"/>
          <w:sz w:val="24"/>
          <w:szCs w:val="24"/>
        </w:rPr>
        <w:t>Потребительская инфляция</w:t>
      </w:r>
      <w:r w:rsidRPr="008E40A0">
        <w:rPr>
          <w:rFonts w:ascii="Times New Roman" w:hAnsi="Times New Roman" w:cs="Times New Roman"/>
          <w:sz w:val="24"/>
          <w:szCs w:val="24"/>
        </w:rPr>
        <w:t>, как и в 2018 году, сложил</w:t>
      </w:r>
      <w:r w:rsidR="001749BC">
        <w:rPr>
          <w:rFonts w:ascii="Times New Roman" w:hAnsi="Times New Roman" w:cs="Times New Roman"/>
          <w:sz w:val="24"/>
          <w:szCs w:val="24"/>
        </w:rPr>
        <w:t>ась</w:t>
      </w:r>
      <w:r w:rsidRPr="008E40A0">
        <w:rPr>
          <w:rFonts w:ascii="Times New Roman" w:hAnsi="Times New Roman" w:cs="Times New Roman"/>
          <w:sz w:val="24"/>
          <w:szCs w:val="24"/>
        </w:rPr>
        <w:t xml:space="preserve"> на уровне 1,6%. </w:t>
      </w:r>
    </w:p>
    <w:p w14:paraId="2B82B182"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С февраля 2019 </w:t>
      </w:r>
      <w:r w:rsidR="00434A81">
        <w:rPr>
          <w:rFonts w:ascii="Times New Roman" w:hAnsi="Times New Roman" w:cs="Times New Roman"/>
          <w:sz w:val="24"/>
          <w:szCs w:val="24"/>
        </w:rPr>
        <w:t xml:space="preserve">года </w:t>
      </w:r>
      <w:r w:rsidRPr="008E40A0">
        <w:rPr>
          <w:rFonts w:ascii="Times New Roman" w:hAnsi="Times New Roman" w:cs="Times New Roman"/>
          <w:sz w:val="24"/>
          <w:szCs w:val="24"/>
        </w:rPr>
        <w:t xml:space="preserve">индекс PMI в обрабатывающей промышленности еврозоны складывался ниже критической отметки – 50 п., </w:t>
      </w:r>
      <w:r w:rsidR="001749BC">
        <w:rPr>
          <w:rFonts w:ascii="Times New Roman" w:hAnsi="Times New Roman" w:cs="Times New Roman"/>
          <w:sz w:val="24"/>
          <w:szCs w:val="24"/>
        </w:rPr>
        <w:t>однако</w:t>
      </w:r>
      <w:r w:rsidRPr="008E40A0">
        <w:rPr>
          <w:rFonts w:ascii="Times New Roman" w:hAnsi="Times New Roman" w:cs="Times New Roman"/>
          <w:sz w:val="24"/>
          <w:szCs w:val="24"/>
        </w:rPr>
        <w:t xml:space="preserve"> данные последних месяцев года стали лучшими с апреля 2019 года. Индекс деловой активности в сфере услуг в течение первой половины отчётного года преимущественно повышался, достигнув к ию</w:t>
      </w:r>
      <w:r w:rsidR="00434A81">
        <w:rPr>
          <w:rFonts w:ascii="Times New Roman" w:hAnsi="Times New Roman" w:cs="Times New Roman"/>
          <w:sz w:val="24"/>
          <w:szCs w:val="24"/>
        </w:rPr>
        <w:t>ню 2019 года 53,6 п. (с 51,2 п.</w:t>
      </w:r>
      <w:r w:rsidRPr="008E40A0">
        <w:rPr>
          <w:rFonts w:ascii="Times New Roman" w:hAnsi="Times New Roman" w:cs="Times New Roman"/>
          <w:sz w:val="24"/>
          <w:szCs w:val="24"/>
        </w:rPr>
        <w:t xml:space="preserve"> в январе 2019 года). Однако в последующем его изменения были разнонаправленными и в</w:t>
      </w:r>
      <w:r w:rsidR="001749BC" w:rsidRPr="008E40A0">
        <w:rPr>
          <w:rFonts w:ascii="Times New Roman" w:hAnsi="Times New Roman" w:cs="Times New Roman"/>
          <w:sz w:val="24"/>
          <w:szCs w:val="24"/>
        </w:rPr>
        <w:t xml:space="preserve"> декабре </w:t>
      </w:r>
      <w:r w:rsidRPr="008E40A0">
        <w:rPr>
          <w:rFonts w:ascii="Times New Roman" w:hAnsi="Times New Roman" w:cs="Times New Roman"/>
          <w:sz w:val="24"/>
          <w:szCs w:val="24"/>
        </w:rPr>
        <w:t xml:space="preserve">он составил 52,8 п. </w:t>
      </w:r>
    </w:p>
    <w:p w14:paraId="4FE0A237"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течение года блок данных по деловой активности </w:t>
      </w:r>
      <w:r w:rsidR="001749BC">
        <w:rPr>
          <w:rFonts w:ascii="Times New Roman" w:hAnsi="Times New Roman" w:cs="Times New Roman"/>
          <w:sz w:val="24"/>
          <w:szCs w:val="24"/>
        </w:rPr>
        <w:t>(</w:t>
      </w:r>
      <w:r w:rsidRPr="008E40A0">
        <w:rPr>
          <w:rFonts w:ascii="Times New Roman" w:hAnsi="Times New Roman" w:cs="Times New Roman"/>
          <w:sz w:val="24"/>
          <w:szCs w:val="24"/>
        </w:rPr>
        <w:t>PMI</w:t>
      </w:r>
      <w:r w:rsidR="001749BC">
        <w:rPr>
          <w:rFonts w:ascii="Times New Roman" w:hAnsi="Times New Roman" w:cs="Times New Roman"/>
          <w:sz w:val="24"/>
          <w:szCs w:val="24"/>
        </w:rPr>
        <w:t>)</w:t>
      </w:r>
      <w:r w:rsidRPr="008E40A0">
        <w:rPr>
          <w:rFonts w:ascii="Times New Roman" w:hAnsi="Times New Roman" w:cs="Times New Roman"/>
          <w:sz w:val="24"/>
          <w:szCs w:val="24"/>
        </w:rPr>
        <w:t xml:space="preserve"> еврозоны являлся одним из ведущих факторов, задававших вектор курсовой котировки евро/доллар. В результате на фоне фиксировавшегося замедления экономического роста в данной группе стран курс по состоянию на 01.01.2020 составил 1,1234 долл., что на 1,9% ниже отметки на начало 2019 года. Кроме того, негативное влияние оказывали торговый конфликт США и КНР, а также неопределённость вокруг Brexit. </w:t>
      </w:r>
    </w:p>
    <w:p w14:paraId="77BBF796" w14:textId="77777777" w:rsidR="00446566" w:rsidRPr="008E40A0" w:rsidRDefault="00446566" w:rsidP="0081436F">
      <w:pPr>
        <w:widowControl w:val="0"/>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В сентябре 2019 года Европейский центральный банк понизил депозитную ставку на </w:t>
      </w:r>
      <w:r w:rsidR="003754EA">
        <w:rPr>
          <w:rFonts w:ascii="Times New Roman" w:hAnsi="Times New Roman" w:cs="Times New Roman"/>
          <w:sz w:val="24"/>
          <w:szCs w:val="24"/>
        </w:rPr>
        <w:br/>
      </w:r>
      <w:r w:rsidRPr="008E40A0">
        <w:rPr>
          <w:rFonts w:ascii="Times New Roman" w:hAnsi="Times New Roman" w:cs="Times New Roman"/>
          <w:sz w:val="24"/>
          <w:szCs w:val="24"/>
        </w:rPr>
        <w:t xml:space="preserve">0,1 п.п. (до -0,5%), сохранив базовую процентную ставку на нулевом уровне, а предельную ставку по кредитам – 0,25% и объявив о возобновлении программы денежного стимулирования с 1 ноября 2019 года, в ходе которой он будет ежемесячно покупать </w:t>
      </w:r>
      <w:r w:rsidRPr="008E40A0">
        <w:rPr>
          <w:rFonts w:ascii="Times New Roman" w:hAnsi="Times New Roman" w:cs="Times New Roman"/>
          <w:sz w:val="24"/>
          <w:szCs w:val="24"/>
        </w:rPr>
        <w:lastRenderedPageBreak/>
        <w:t xml:space="preserve">облигации на 20 млрд евро. </w:t>
      </w:r>
    </w:p>
    <w:p w14:paraId="01162D02" w14:textId="77777777" w:rsidR="00C41FE5" w:rsidRPr="008E40A0" w:rsidRDefault="00C41FE5" w:rsidP="0081436F">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Замедление мирового экономического роста негативно сказывается на ценах большинства сырьевых товаров. Во многих странах наблюдается спад в строительстве и промышленном производстве, соответственно, продолжается снижение цен на стальную продукцию под давлением недостаточного спроса и избытка предложения. По мнению аналитиков, в ближайшие годы ожидается стагнация в металлургии. Ж</w:t>
      </w:r>
      <w:r w:rsidR="00F0633C" w:rsidRPr="008E40A0">
        <w:rPr>
          <w:rFonts w:ascii="Times New Roman" w:hAnsi="Times New Roman" w:cs="Times New Roman"/>
          <w:sz w:val="24"/>
          <w:szCs w:val="24"/>
        </w:rPr>
        <w:t>ё</w:t>
      </w:r>
      <w:r w:rsidRPr="008E40A0">
        <w:rPr>
          <w:rFonts w:ascii="Times New Roman" w:hAnsi="Times New Roman" w:cs="Times New Roman"/>
          <w:sz w:val="24"/>
          <w:szCs w:val="24"/>
        </w:rPr>
        <w:t xml:space="preserve">сткие протекционистские меры стали причиной роста волатильности на рынках. </w:t>
      </w:r>
      <w:r w:rsidR="005B228D" w:rsidRPr="008E40A0">
        <w:rPr>
          <w:rFonts w:ascii="Times New Roman" w:hAnsi="Times New Roman" w:cs="Times New Roman"/>
          <w:sz w:val="24"/>
          <w:szCs w:val="24"/>
        </w:rPr>
        <w:t xml:space="preserve">Спреды между ценами на металлургическую продукцию и сырьё сузились до минимума за последние несколько лет. </w:t>
      </w:r>
      <w:r w:rsidRPr="008E40A0">
        <w:rPr>
          <w:rFonts w:ascii="Times New Roman" w:hAnsi="Times New Roman" w:cs="Times New Roman"/>
          <w:sz w:val="24"/>
          <w:szCs w:val="24"/>
        </w:rPr>
        <w:t xml:space="preserve">Высокая </w:t>
      </w:r>
      <w:r w:rsidR="00F0633C" w:rsidRPr="008E40A0">
        <w:rPr>
          <w:rFonts w:ascii="Times New Roman" w:hAnsi="Times New Roman" w:cs="Times New Roman"/>
          <w:sz w:val="24"/>
          <w:szCs w:val="24"/>
        </w:rPr>
        <w:t>степень неопределённости</w:t>
      </w:r>
      <w:r w:rsidRPr="008E40A0">
        <w:rPr>
          <w:rFonts w:ascii="Times New Roman" w:hAnsi="Times New Roman" w:cs="Times New Roman"/>
          <w:sz w:val="24"/>
          <w:szCs w:val="24"/>
        </w:rPr>
        <w:t xml:space="preserve"> и отсутствие ясных перспектив не да</w:t>
      </w:r>
      <w:r w:rsidR="005B228D">
        <w:rPr>
          <w:rFonts w:ascii="Times New Roman" w:hAnsi="Times New Roman" w:cs="Times New Roman"/>
          <w:sz w:val="24"/>
          <w:szCs w:val="24"/>
        </w:rPr>
        <w:t>ё</w:t>
      </w:r>
      <w:r w:rsidRPr="008E40A0">
        <w:rPr>
          <w:rFonts w:ascii="Times New Roman" w:hAnsi="Times New Roman" w:cs="Times New Roman"/>
          <w:sz w:val="24"/>
          <w:szCs w:val="24"/>
        </w:rPr>
        <w:t xml:space="preserve">т предприятиям отрасли возможности для уверенного планирования своей деятельности и инвестиций в производство. </w:t>
      </w:r>
    </w:p>
    <w:p w14:paraId="4AC94E6A" w14:textId="430A0714" w:rsidR="000A5B68" w:rsidRPr="008E40A0" w:rsidRDefault="005B228D" w:rsidP="0081436F">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Цен</w:t>
      </w:r>
      <w:r>
        <w:rPr>
          <w:rFonts w:ascii="Times New Roman" w:hAnsi="Times New Roman" w:cs="Times New Roman"/>
          <w:sz w:val="24"/>
          <w:szCs w:val="24"/>
        </w:rPr>
        <w:t>ы</w:t>
      </w:r>
      <w:r w:rsidRPr="008E40A0">
        <w:rPr>
          <w:rFonts w:ascii="Times New Roman" w:hAnsi="Times New Roman" w:cs="Times New Roman"/>
          <w:sz w:val="24"/>
          <w:szCs w:val="24"/>
        </w:rPr>
        <w:t xml:space="preserve"> на продукцию сталелитейных предприятий </w:t>
      </w:r>
      <w:r>
        <w:rPr>
          <w:rFonts w:ascii="Times New Roman" w:hAnsi="Times New Roman" w:cs="Times New Roman"/>
          <w:sz w:val="24"/>
          <w:szCs w:val="24"/>
        </w:rPr>
        <w:t xml:space="preserve">характеризовались </w:t>
      </w:r>
      <w:r w:rsidR="000A5B68" w:rsidRPr="008E40A0">
        <w:rPr>
          <w:rFonts w:ascii="Times New Roman" w:hAnsi="Times New Roman" w:cs="Times New Roman"/>
          <w:sz w:val="24"/>
          <w:szCs w:val="24"/>
        </w:rPr>
        <w:t xml:space="preserve">довольно резким падением, </w:t>
      </w:r>
      <w:r w:rsidR="009238A7" w:rsidRPr="009A6733">
        <w:rPr>
          <w:rFonts w:ascii="Times New Roman" w:hAnsi="Times New Roman" w:cs="Times New Roman"/>
          <w:sz w:val="24"/>
          <w:szCs w:val="24"/>
        </w:rPr>
        <w:t>притом,</w:t>
      </w:r>
      <w:r w:rsidR="000A5B68" w:rsidRPr="009A6733">
        <w:rPr>
          <w:rFonts w:ascii="Times New Roman" w:hAnsi="Times New Roman" w:cs="Times New Roman"/>
          <w:sz w:val="24"/>
          <w:szCs w:val="24"/>
        </w:rPr>
        <w:t xml:space="preserve"> что</w:t>
      </w:r>
      <w:r w:rsidR="000A5B68" w:rsidRPr="008E40A0">
        <w:rPr>
          <w:rFonts w:ascii="Times New Roman" w:hAnsi="Times New Roman" w:cs="Times New Roman"/>
          <w:sz w:val="24"/>
          <w:szCs w:val="24"/>
        </w:rPr>
        <w:t xml:space="preserve"> цены на железную руду вс</w:t>
      </w:r>
      <w:r w:rsidR="00EC3051" w:rsidRPr="008E40A0">
        <w:rPr>
          <w:rFonts w:ascii="Times New Roman" w:hAnsi="Times New Roman" w:cs="Times New Roman"/>
          <w:sz w:val="24"/>
          <w:szCs w:val="24"/>
        </w:rPr>
        <w:t>ё</w:t>
      </w:r>
      <w:r w:rsidR="000A5B68" w:rsidRPr="008E40A0">
        <w:rPr>
          <w:rFonts w:ascii="Times New Roman" w:hAnsi="Times New Roman" w:cs="Times New Roman"/>
          <w:sz w:val="24"/>
          <w:szCs w:val="24"/>
        </w:rPr>
        <w:t xml:space="preserve"> первое полугодие росли и только к ноябрю вернулись на уровень начала года. В первом квартале 2019 года цены на сталь корректировались после перегрева рынка в 2018 году, в дальнейшем они снижались из-за негативного влияния торговой войны США и Китая. В октябре 2019 года резко опустили экспортные котировки японские и корейские корпорации, которые обычно находились в верхнем ценовом сегменте. Некоторые европейские предприятия предлагали горячекатаный прокат в Турцию по демпинговым ценам. </w:t>
      </w:r>
    </w:p>
    <w:p w14:paraId="27D20430" w14:textId="34213C53" w:rsidR="000A5B68" w:rsidRPr="008E40A0" w:rsidRDefault="00AD0801" w:rsidP="0081436F">
      <w:pPr>
        <w:pStyle w:val="af9"/>
        <w:spacing w:before="0" w:beforeAutospacing="0" w:after="0" w:afterAutospacing="0" w:line="240" w:lineRule="auto"/>
        <w:ind w:firstLine="425"/>
        <w:jc w:val="both"/>
        <w:rPr>
          <w:rFonts w:ascii="Times New Roman" w:hAnsi="Times New Roman" w:cs="Times New Roman"/>
        </w:rPr>
      </w:pPr>
      <w:r>
        <w:rPr>
          <w:rFonts w:ascii="Times New Roman" w:hAnsi="Times New Roman" w:cs="Times New Roman"/>
          <w:bCs/>
        </w:rPr>
        <w:t>Средние цены на арматуру и катанку на рынке Турции были</w:t>
      </w:r>
      <w:r w:rsidR="000A5B68" w:rsidRPr="008E40A0">
        <w:rPr>
          <w:rFonts w:ascii="Times New Roman" w:hAnsi="Times New Roman" w:cs="Times New Roman"/>
          <w:bCs/>
        </w:rPr>
        <w:t xml:space="preserve"> </w:t>
      </w:r>
      <w:r w:rsidR="0029605C">
        <w:rPr>
          <w:rFonts w:ascii="Times New Roman" w:hAnsi="Times New Roman" w:cs="Times New Roman"/>
          <w:bCs/>
        </w:rPr>
        <w:t>существенно ниже уровня 2018 год</w:t>
      </w:r>
      <w:r>
        <w:rPr>
          <w:rFonts w:ascii="Times New Roman" w:hAnsi="Times New Roman" w:cs="Times New Roman"/>
          <w:bCs/>
        </w:rPr>
        <w:t>а.</w:t>
      </w:r>
    </w:p>
    <w:p w14:paraId="3EF775E9" w14:textId="77777777" w:rsidR="00C41FE5" w:rsidRPr="008E40A0" w:rsidRDefault="00C41FE5" w:rsidP="0081436F">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В ситуации затяжных торговых войн, замедления темпов роста спроса на сырьевые товары цены на сталь будут оставаться под давлением</w:t>
      </w:r>
      <w:r w:rsidR="005B228D">
        <w:rPr>
          <w:rFonts w:ascii="Times New Roman" w:hAnsi="Times New Roman" w:cs="Times New Roman"/>
          <w:sz w:val="24"/>
          <w:szCs w:val="24"/>
        </w:rPr>
        <w:t>,</w:t>
      </w:r>
      <w:r w:rsidRPr="008E40A0">
        <w:rPr>
          <w:rFonts w:ascii="Times New Roman" w:hAnsi="Times New Roman" w:cs="Times New Roman"/>
          <w:sz w:val="24"/>
          <w:szCs w:val="24"/>
        </w:rPr>
        <w:t xml:space="preserve"> и существенного повышения в среднесрочной перспективе не произойдёт</w:t>
      </w:r>
      <w:r w:rsidR="001D3AB5" w:rsidRPr="008E40A0">
        <w:rPr>
          <w:rFonts w:ascii="Times New Roman" w:hAnsi="Times New Roman" w:cs="Times New Roman"/>
          <w:sz w:val="24"/>
          <w:szCs w:val="24"/>
        </w:rPr>
        <w:t xml:space="preserve">. </w:t>
      </w:r>
      <w:r w:rsidRPr="008E40A0">
        <w:rPr>
          <w:rFonts w:ascii="Times New Roman" w:hAnsi="Times New Roman" w:cs="Times New Roman"/>
          <w:sz w:val="24"/>
          <w:szCs w:val="24"/>
        </w:rPr>
        <w:t xml:space="preserve">В международной торговле стальной продукцией действует </w:t>
      </w:r>
      <w:r w:rsidR="00EC3051" w:rsidRPr="008E40A0">
        <w:rPr>
          <w:rFonts w:ascii="Times New Roman" w:hAnsi="Times New Roman" w:cs="Times New Roman"/>
          <w:sz w:val="24"/>
          <w:szCs w:val="24"/>
        </w:rPr>
        <w:t xml:space="preserve">существенно </w:t>
      </w:r>
      <w:r w:rsidRPr="008E40A0">
        <w:rPr>
          <w:rFonts w:ascii="Times New Roman" w:hAnsi="Times New Roman" w:cs="Times New Roman"/>
          <w:sz w:val="24"/>
          <w:szCs w:val="24"/>
        </w:rPr>
        <w:t>больше ограничений, чем несколько лет назад, и сам рынок стал намного уже вследствие заградительных тарифов и введённых квот</w:t>
      </w:r>
      <w:r w:rsidR="005B228D">
        <w:rPr>
          <w:rFonts w:ascii="Times New Roman" w:hAnsi="Times New Roman" w:cs="Times New Roman"/>
          <w:sz w:val="24"/>
          <w:szCs w:val="24"/>
        </w:rPr>
        <w:t>, а также ввиду сокращения спроса</w:t>
      </w:r>
      <w:r w:rsidRPr="008E40A0">
        <w:rPr>
          <w:rFonts w:ascii="Times New Roman" w:hAnsi="Times New Roman" w:cs="Times New Roman"/>
          <w:sz w:val="24"/>
          <w:szCs w:val="24"/>
        </w:rPr>
        <w:t>.</w:t>
      </w:r>
    </w:p>
    <w:p w14:paraId="367348A2" w14:textId="77777777" w:rsidR="00C41FE5" w:rsidRPr="008E40A0" w:rsidRDefault="00C41FE5" w:rsidP="0081436F">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 xml:space="preserve">Для отечественной металлургии это </w:t>
      </w:r>
      <w:r w:rsidR="001D3AB5" w:rsidRPr="008E40A0">
        <w:rPr>
          <w:rFonts w:ascii="Times New Roman" w:hAnsi="Times New Roman" w:cs="Times New Roman"/>
          <w:sz w:val="24"/>
          <w:szCs w:val="24"/>
        </w:rPr>
        <w:t>о</w:t>
      </w:r>
      <w:r w:rsidRPr="008E40A0">
        <w:rPr>
          <w:rFonts w:ascii="Times New Roman" w:hAnsi="Times New Roman" w:cs="Times New Roman"/>
          <w:sz w:val="24"/>
          <w:szCs w:val="24"/>
        </w:rPr>
        <w:t>знача</w:t>
      </w:r>
      <w:r w:rsidR="001D3AB5" w:rsidRPr="008E40A0">
        <w:rPr>
          <w:rFonts w:ascii="Times New Roman" w:hAnsi="Times New Roman" w:cs="Times New Roman"/>
          <w:sz w:val="24"/>
          <w:szCs w:val="24"/>
        </w:rPr>
        <w:t>ет</w:t>
      </w:r>
      <w:r w:rsidRPr="008E40A0">
        <w:rPr>
          <w:rFonts w:ascii="Times New Roman" w:hAnsi="Times New Roman" w:cs="Times New Roman"/>
          <w:sz w:val="24"/>
          <w:szCs w:val="24"/>
        </w:rPr>
        <w:t xml:space="preserve"> сохранение неблагоприятной внешней конъюнктуры на продолжительный период.</w:t>
      </w:r>
      <w:r w:rsidRPr="008E40A0">
        <w:rPr>
          <w:rFonts w:ascii="Times New Roman" w:hAnsi="Times New Roman" w:cs="Times New Roman"/>
          <w:bCs/>
          <w:sz w:val="24"/>
          <w:szCs w:val="24"/>
        </w:rPr>
        <w:t xml:space="preserve"> Сталелитейная промышленность продолжит сталкиваться с такими проблемами, как избыточные мощности, </w:t>
      </w:r>
      <w:r w:rsidR="00AD0801">
        <w:rPr>
          <w:rFonts w:ascii="Times New Roman" w:hAnsi="Times New Roman" w:cs="Times New Roman"/>
          <w:bCs/>
          <w:sz w:val="24"/>
          <w:szCs w:val="24"/>
        </w:rPr>
        <w:t xml:space="preserve">торговые войны и падение </w:t>
      </w:r>
      <w:r w:rsidR="00AD0801" w:rsidRPr="009A6733">
        <w:rPr>
          <w:rFonts w:ascii="Times New Roman" w:hAnsi="Times New Roman" w:cs="Times New Roman"/>
          <w:bCs/>
          <w:sz w:val="24"/>
          <w:szCs w:val="24"/>
        </w:rPr>
        <w:t>спроса и цен на</w:t>
      </w:r>
      <w:r w:rsidR="00AD0801">
        <w:rPr>
          <w:rFonts w:ascii="Times New Roman" w:hAnsi="Times New Roman" w:cs="Times New Roman"/>
          <w:bCs/>
          <w:sz w:val="24"/>
          <w:szCs w:val="24"/>
        </w:rPr>
        <w:t xml:space="preserve"> продукцию. </w:t>
      </w:r>
    </w:p>
    <w:p w14:paraId="7FB63249" w14:textId="77777777" w:rsidR="0090106D" w:rsidRPr="00FC4B89" w:rsidRDefault="001538FE" w:rsidP="0090106D">
      <w:pPr>
        <w:spacing w:before="0" w:after="0" w:line="240" w:lineRule="auto"/>
        <w:ind w:firstLine="425"/>
        <w:jc w:val="both"/>
        <w:rPr>
          <w:rFonts w:ascii="Times New Roman" w:hAnsi="Times New Roman" w:cs="Times New Roman"/>
          <w:sz w:val="24"/>
          <w:szCs w:val="24"/>
        </w:rPr>
      </w:pPr>
      <w:r w:rsidRPr="00FC4B89">
        <w:rPr>
          <w:rFonts w:ascii="Times New Roman" w:hAnsi="Times New Roman" w:cs="Times New Roman"/>
          <w:sz w:val="24"/>
          <w:szCs w:val="24"/>
        </w:rPr>
        <w:t>Высокую волатильность</w:t>
      </w:r>
      <w:r w:rsidR="005B228D" w:rsidRPr="00FC4B89">
        <w:rPr>
          <w:rFonts w:ascii="Times New Roman" w:hAnsi="Times New Roman" w:cs="Times New Roman"/>
          <w:sz w:val="24"/>
          <w:szCs w:val="24"/>
        </w:rPr>
        <w:t xml:space="preserve"> демонстрируют и</w:t>
      </w:r>
      <w:r w:rsidR="00EF7D31" w:rsidRPr="00FC4B89">
        <w:rPr>
          <w:rFonts w:ascii="Times New Roman" w:hAnsi="Times New Roman" w:cs="Times New Roman"/>
          <w:sz w:val="24"/>
          <w:szCs w:val="24"/>
        </w:rPr>
        <w:t xml:space="preserve"> цены на </w:t>
      </w:r>
      <w:r w:rsidR="005B228D" w:rsidRPr="00FC4B89">
        <w:rPr>
          <w:rFonts w:ascii="Times New Roman" w:hAnsi="Times New Roman" w:cs="Times New Roman"/>
          <w:sz w:val="24"/>
          <w:szCs w:val="24"/>
        </w:rPr>
        <w:t>нефть</w:t>
      </w:r>
      <w:r w:rsidR="00EF7D31" w:rsidRPr="00FC4B89">
        <w:rPr>
          <w:rFonts w:ascii="Times New Roman" w:hAnsi="Times New Roman" w:cs="Times New Roman"/>
          <w:sz w:val="24"/>
          <w:szCs w:val="24"/>
        </w:rPr>
        <w:t>.</w:t>
      </w:r>
      <w:r w:rsidR="0090106D" w:rsidRPr="00FC4B89">
        <w:rPr>
          <w:rFonts w:ascii="Times New Roman" w:hAnsi="Times New Roman" w:cs="Times New Roman"/>
          <w:sz w:val="24"/>
          <w:szCs w:val="24"/>
        </w:rPr>
        <w:t xml:space="preserve"> </w:t>
      </w:r>
      <w:r w:rsidR="008016E7" w:rsidRPr="00FC4B89">
        <w:rPr>
          <w:rFonts w:ascii="Times New Roman" w:hAnsi="Times New Roman" w:cs="Times New Roman"/>
          <w:sz w:val="24"/>
          <w:szCs w:val="24"/>
        </w:rPr>
        <w:t xml:space="preserve">Ключевыми факторами для динамики нефтяных котировок оставались: диалог США и Китая, динамика объёмов сокращения добычи ОПЕК+, темп роста добычи в США. </w:t>
      </w:r>
      <w:r w:rsidR="0090106D" w:rsidRPr="00FC4B89">
        <w:rPr>
          <w:rFonts w:ascii="Times New Roman" w:hAnsi="Times New Roman" w:cs="Times New Roman"/>
          <w:sz w:val="24"/>
          <w:szCs w:val="24"/>
        </w:rPr>
        <w:t>2019 год нефть марки Brent начала с цены 54,91 долл. за баррель, а окончила на уровне 66,00 долл.</w:t>
      </w:r>
      <w:r w:rsidR="00FC4B89" w:rsidRPr="00FC4B89">
        <w:rPr>
          <w:rFonts w:ascii="Times New Roman" w:hAnsi="Times New Roman" w:cs="Times New Roman"/>
          <w:sz w:val="24"/>
          <w:szCs w:val="24"/>
        </w:rPr>
        <w:t xml:space="preserve"> (в течение года цены колебались в диапазоне от 52 до 76 долл.)</w:t>
      </w:r>
      <w:r w:rsidR="0090106D" w:rsidRPr="00FC4B89">
        <w:rPr>
          <w:rFonts w:ascii="Times New Roman" w:hAnsi="Times New Roman" w:cs="Times New Roman"/>
          <w:sz w:val="24"/>
          <w:szCs w:val="24"/>
        </w:rPr>
        <w:t>, в дальнейшем продолжив динамику снижения ввиду новых факторов.</w:t>
      </w:r>
    </w:p>
    <w:p w14:paraId="0BB406A5" w14:textId="77777777" w:rsidR="001538FE" w:rsidRPr="002B5F1D" w:rsidRDefault="00AD0801" w:rsidP="0081436F">
      <w:pPr>
        <w:spacing w:before="0" w:after="0" w:line="240" w:lineRule="auto"/>
        <w:ind w:firstLine="425"/>
        <w:jc w:val="both"/>
        <w:rPr>
          <w:rFonts w:ascii="Times New Roman" w:hAnsi="Times New Roman" w:cs="Times New Roman"/>
          <w:sz w:val="24"/>
          <w:szCs w:val="24"/>
        </w:rPr>
      </w:pPr>
      <w:r w:rsidRPr="002B5F1D">
        <w:rPr>
          <w:rFonts w:ascii="Times New Roman" w:hAnsi="Times New Roman" w:cs="Times New Roman"/>
          <w:sz w:val="24"/>
          <w:szCs w:val="24"/>
        </w:rPr>
        <w:t>Разрыв сделки ОПЕК+ 5 марта 2020 года</w:t>
      </w:r>
      <w:r w:rsidR="001538FE" w:rsidRPr="002B5F1D">
        <w:rPr>
          <w:rFonts w:ascii="Times New Roman" w:hAnsi="Times New Roman" w:cs="Times New Roman"/>
          <w:sz w:val="24"/>
          <w:szCs w:val="24"/>
        </w:rPr>
        <w:t xml:space="preserve"> </w:t>
      </w:r>
      <w:r w:rsidR="00AA6723" w:rsidRPr="002B5F1D">
        <w:rPr>
          <w:rFonts w:ascii="Times New Roman" w:hAnsi="Times New Roman" w:cs="Times New Roman"/>
          <w:sz w:val="24"/>
          <w:szCs w:val="24"/>
        </w:rPr>
        <w:t>привёл</w:t>
      </w:r>
      <w:r w:rsidR="007F6F20" w:rsidRPr="002B5F1D">
        <w:rPr>
          <w:rFonts w:ascii="Times New Roman" w:hAnsi="Times New Roman" w:cs="Times New Roman"/>
          <w:sz w:val="24"/>
          <w:szCs w:val="24"/>
        </w:rPr>
        <w:t xml:space="preserve"> </w:t>
      </w:r>
      <w:r w:rsidR="00AA6723" w:rsidRPr="002B5F1D">
        <w:rPr>
          <w:rFonts w:ascii="Times New Roman" w:hAnsi="Times New Roman" w:cs="Times New Roman"/>
          <w:sz w:val="24"/>
          <w:szCs w:val="24"/>
        </w:rPr>
        <w:t>к падени</w:t>
      </w:r>
      <w:r w:rsidR="007F6F20" w:rsidRPr="002B5F1D">
        <w:rPr>
          <w:rFonts w:ascii="Times New Roman" w:hAnsi="Times New Roman" w:cs="Times New Roman"/>
          <w:sz w:val="24"/>
          <w:szCs w:val="24"/>
        </w:rPr>
        <w:t>ю цен на нефть, что в свою очередь обусловило ослабление национальных валют</w:t>
      </w:r>
      <w:r w:rsidR="009A6733" w:rsidRPr="002B5F1D">
        <w:rPr>
          <w:rFonts w:ascii="Times New Roman" w:hAnsi="Times New Roman" w:cs="Times New Roman"/>
          <w:sz w:val="24"/>
          <w:szCs w:val="24"/>
        </w:rPr>
        <w:t xml:space="preserve"> ряда стран </w:t>
      </w:r>
      <w:r w:rsidR="002B5F1D" w:rsidRPr="002B5F1D">
        <w:rPr>
          <w:rFonts w:ascii="Times New Roman" w:hAnsi="Times New Roman" w:cs="Times New Roman"/>
          <w:sz w:val="24"/>
          <w:szCs w:val="24"/>
        </w:rPr>
        <w:t xml:space="preserve">– </w:t>
      </w:r>
      <w:r w:rsidR="009A6733" w:rsidRPr="002B5F1D">
        <w:rPr>
          <w:rFonts w:ascii="Times New Roman" w:hAnsi="Times New Roman" w:cs="Times New Roman"/>
          <w:sz w:val="24"/>
          <w:szCs w:val="24"/>
        </w:rPr>
        <w:t>торговых партнёров республики</w:t>
      </w:r>
      <w:r w:rsidR="007F6F20" w:rsidRPr="002B5F1D">
        <w:rPr>
          <w:rFonts w:ascii="Times New Roman" w:hAnsi="Times New Roman" w:cs="Times New Roman"/>
          <w:sz w:val="24"/>
          <w:szCs w:val="24"/>
        </w:rPr>
        <w:t xml:space="preserve"> и</w:t>
      </w:r>
      <w:r w:rsidR="002B5F1D" w:rsidRPr="002B5F1D">
        <w:rPr>
          <w:rFonts w:ascii="Times New Roman" w:hAnsi="Times New Roman" w:cs="Times New Roman"/>
          <w:sz w:val="24"/>
          <w:szCs w:val="24"/>
        </w:rPr>
        <w:t>,</w:t>
      </w:r>
      <w:r w:rsidR="007F6F20" w:rsidRPr="002B5F1D">
        <w:rPr>
          <w:rFonts w:ascii="Times New Roman" w:hAnsi="Times New Roman" w:cs="Times New Roman"/>
          <w:sz w:val="24"/>
          <w:szCs w:val="24"/>
        </w:rPr>
        <w:t xml:space="preserve"> как следствие</w:t>
      </w:r>
      <w:r w:rsidR="002B5F1D" w:rsidRPr="002B5F1D">
        <w:rPr>
          <w:rFonts w:ascii="Times New Roman" w:hAnsi="Times New Roman" w:cs="Times New Roman"/>
          <w:sz w:val="24"/>
          <w:szCs w:val="24"/>
        </w:rPr>
        <w:t>,</w:t>
      </w:r>
      <w:r w:rsidR="007F6F20" w:rsidRPr="002B5F1D">
        <w:rPr>
          <w:rFonts w:ascii="Times New Roman" w:hAnsi="Times New Roman" w:cs="Times New Roman"/>
          <w:sz w:val="24"/>
          <w:szCs w:val="24"/>
        </w:rPr>
        <w:t xml:space="preserve"> рост </w:t>
      </w:r>
      <w:r w:rsidR="009A6733" w:rsidRPr="002B5F1D">
        <w:rPr>
          <w:rFonts w:ascii="Times New Roman" w:hAnsi="Times New Roman" w:cs="Times New Roman"/>
          <w:sz w:val="24"/>
          <w:szCs w:val="24"/>
        </w:rPr>
        <w:t>реального эффективного курса рубля</w:t>
      </w:r>
      <w:r w:rsidR="007F6F20" w:rsidRPr="002B5F1D">
        <w:rPr>
          <w:rFonts w:ascii="Times New Roman" w:hAnsi="Times New Roman" w:cs="Times New Roman"/>
          <w:sz w:val="24"/>
          <w:szCs w:val="24"/>
        </w:rPr>
        <w:t xml:space="preserve"> ПМР.</w:t>
      </w:r>
    </w:p>
    <w:p w14:paraId="146F9F9E" w14:textId="2EF85C65" w:rsidR="00436565" w:rsidRPr="002B5F1D" w:rsidRDefault="00436565" w:rsidP="00436565">
      <w:pPr>
        <w:widowControl w:val="0"/>
        <w:spacing w:before="0" w:after="0" w:line="240" w:lineRule="auto"/>
        <w:ind w:firstLine="425"/>
        <w:jc w:val="both"/>
        <w:rPr>
          <w:rFonts w:ascii="Times New Roman" w:hAnsi="Times New Roman" w:cs="Times New Roman"/>
          <w:sz w:val="24"/>
          <w:szCs w:val="24"/>
        </w:rPr>
      </w:pPr>
      <w:r w:rsidRPr="002B5F1D">
        <w:rPr>
          <w:rFonts w:ascii="Times New Roman" w:hAnsi="Times New Roman" w:cs="Times New Roman"/>
          <w:sz w:val="24"/>
          <w:szCs w:val="24"/>
        </w:rPr>
        <w:t xml:space="preserve">Согласно прогнозу Международного валютного фонда, опубликованному в январе </w:t>
      </w:r>
      <w:r w:rsidRPr="002B5F1D">
        <w:rPr>
          <w:rFonts w:ascii="Times New Roman" w:hAnsi="Times New Roman" w:cs="Times New Roman"/>
          <w:sz w:val="24"/>
          <w:szCs w:val="24"/>
        </w:rPr>
        <w:br/>
        <w:t>2020 года, рост мировой экономики в 2020 году оценивался на уровне 3,3% (-0,1 п.п. к предыдущей оценке). В то же время февральские заявления глав Международного валютного фонда и Всемирной организации здравоохранени</w:t>
      </w:r>
      <w:r w:rsidR="0029605C">
        <w:rPr>
          <w:rFonts w:ascii="Times New Roman" w:hAnsi="Times New Roman" w:cs="Times New Roman"/>
          <w:sz w:val="24"/>
          <w:szCs w:val="24"/>
        </w:rPr>
        <w:t>я</w:t>
      </w:r>
      <w:r w:rsidRPr="002B5F1D">
        <w:rPr>
          <w:rFonts w:ascii="Times New Roman" w:hAnsi="Times New Roman" w:cs="Times New Roman"/>
          <w:sz w:val="24"/>
          <w:szCs w:val="24"/>
        </w:rPr>
        <w:t>, Организации Объединённых Наций свидетельствуют о том, что глобальная экономика оказалась под новой угрозой, которая исходит от стремительного распространения по всему миру китайского коронавируса. Рассматриваются неблагоприятные сценарии развития событий в перспективе, в связи с чем последствия для мировой экономики могут быть масштабнее, чем прогнозируется. Согласно прогнозу Организации экономического сотрудничества и развития (ОЭСР), мировая экономика в 2020 году вырастет всего на 2,4%. Однако, если вирус распространится по всей Азии, Европе и Северной Америке, рост мировой экономики может замедлиться до 1,5%.</w:t>
      </w:r>
    </w:p>
    <w:p w14:paraId="194B224E" w14:textId="77777777" w:rsidR="00436565" w:rsidRPr="002B5F1D" w:rsidRDefault="00436565" w:rsidP="00436565">
      <w:pPr>
        <w:widowControl w:val="0"/>
        <w:spacing w:before="0" w:after="0" w:line="240" w:lineRule="auto"/>
        <w:ind w:firstLine="425"/>
        <w:jc w:val="both"/>
        <w:rPr>
          <w:rFonts w:ascii="Times New Roman" w:hAnsi="Times New Roman" w:cs="Times New Roman"/>
          <w:sz w:val="24"/>
          <w:szCs w:val="24"/>
        </w:rPr>
      </w:pPr>
      <w:r w:rsidRPr="002B5F1D">
        <w:rPr>
          <w:rFonts w:ascii="Times New Roman" w:hAnsi="Times New Roman" w:cs="Times New Roman"/>
          <w:sz w:val="24"/>
          <w:szCs w:val="24"/>
        </w:rPr>
        <w:lastRenderedPageBreak/>
        <w:t>Негативная динамика глобальной экономики оказывает непосредственное влияние на Приднестровье, формируя сложности в удержании макроэкономического баланса. Под угрозой находится экспортный потенциал республики, в связи с возможным падением спроса на продукцию чёрной металлургии, цемент, товары инвестиционного характера. Серьёзные риски представляет и ослабление валют стран – торговых партнёров, ухудшающее относительную ценовую конкурентоспособность приднестровских экспортёров на внешнем рынке.</w:t>
      </w:r>
    </w:p>
    <w:p w14:paraId="726FBCC3" w14:textId="77777777" w:rsidR="00AD0801" w:rsidRPr="002B5F1D" w:rsidRDefault="000F01B9" w:rsidP="0081436F">
      <w:pPr>
        <w:spacing w:before="0" w:after="0" w:line="240" w:lineRule="auto"/>
        <w:ind w:firstLine="425"/>
        <w:jc w:val="both"/>
        <w:rPr>
          <w:rFonts w:ascii="Times New Roman" w:hAnsi="Times New Roman" w:cs="Times New Roman"/>
          <w:sz w:val="24"/>
          <w:szCs w:val="24"/>
        </w:rPr>
      </w:pPr>
      <w:r w:rsidRPr="002B5F1D">
        <w:rPr>
          <w:rFonts w:ascii="Times New Roman" w:hAnsi="Times New Roman" w:cs="Times New Roman"/>
          <w:sz w:val="24"/>
          <w:szCs w:val="24"/>
        </w:rPr>
        <w:t>Среди основных рисков для экономики республики и достижения целей денежно-кредитной политики</w:t>
      </w:r>
      <w:r w:rsidR="00AD0801" w:rsidRPr="002B5F1D">
        <w:rPr>
          <w:rFonts w:ascii="Times New Roman" w:hAnsi="Times New Roman" w:cs="Times New Roman"/>
          <w:sz w:val="24"/>
          <w:szCs w:val="24"/>
        </w:rPr>
        <w:t xml:space="preserve"> можно выделить следующие:</w:t>
      </w:r>
    </w:p>
    <w:p w14:paraId="43A9680C" w14:textId="77777777" w:rsidR="008B60BA" w:rsidRDefault="002B5F1D" w:rsidP="007F6F20">
      <w:pPr>
        <w:pStyle w:val="aff4"/>
        <w:numPr>
          <w:ilvl w:val="0"/>
          <w:numId w:val="14"/>
        </w:numPr>
        <w:spacing w:before="0" w:after="0" w:line="240" w:lineRule="auto"/>
        <w:ind w:left="0" w:firstLine="425"/>
        <w:jc w:val="both"/>
        <w:rPr>
          <w:rFonts w:ascii="Times New Roman" w:hAnsi="Times New Roman" w:cs="Times New Roman"/>
          <w:sz w:val="24"/>
          <w:szCs w:val="24"/>
        </w:rPr>
      </w:pPr>
      <w:r w:rsidRPr="002B5F1D">
        <w:rPr>
          <w:rFonts w:ascii="Times New Roman" w:hAnsi="Times New Roman" w:cs="Times New Roman"/>
          <w:sz w:val="24"/>
          <w:szCs w:val="24"/>
        </w:rPr>
        <w:t>с</w:t>
      </w:r>
      <w:r w:rsidR="008B60BA" w:rsidRPr="002B5F1D">
        <w:rPr>
          <w:rFonts w:ascii="Times New Roman" w:hAnsi="Times New Roman" w:cs="Times New Roman"/>
          <w:sz w:val="24"/>
          <w:szCs w:val="24"/>
        </w:rPr>
        <w:t xml:space="preserve">нижение спроса, падение цен на товары </w:t>
      </w:r>
      <w:r w:rsidRPr="002B5F1D">
        <w:rPr>
          <w:rFonts w:ascii="Times New Roman" w:hAnsi="Times New Roman" w:cs="Times New Roman"/>
          <w:sz w:val="24"/>
          <w:szCs w:val="24"/>
        </w:rPr>
        <w:t>приднестровского экспорта, в первую очередь</w:t>
      </w:r>
      <w:r>
        <w:rPr>
          <w:rFonts w:ascii="Times New Roman" w:hAnsi="Times New Roman" w:cs="Times New Roman"/>
          <w:sz w:val="24"/>
          <w:szCs w:val="24"/>
        </w:rPr>
        <w:t xml:space="preserve"> на металлы, цемент, продукцию лёгкой промышленности;</w:t>
      </w:r>
    </w:p>
    <w:p w14:paraId="55095AB7" w14:textId="77777777" w:rsidR="00A146B8" w:rsidRDefault="002B5F1D" w:rsidP="007F6F20">
      <w:pPr>
        <w:pStyle w:val="aff4"/>
        <w:numPr>
          <w:ilvl w:val="0"/>
          <w:numId w:val="14"/>
        </w:numPr>
        <w:spacing w:before="0"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разрыв </w:t>
      </w:r>
      <w:r w:rsidR="00A146B8">
        <w:rPr>
          <w:rFonts w:ascii="Times New Roman" w:hAnsi="Times New Roman" w:cs="Times New Roman"/>
          <w:sz w:val="24"/>
          <w:szCs w:val="24"/>
        </w:rPr>
        <w:t>логист</w:t>
      </w:r>
      <w:r w:rsidR="00E52E7B">
        <w:rPr>
          <w:rFonts w:ascii="Times New Roman" w:hAnsi="Times New Roman" w:cs="Times New Roman"/>
          <w:sz w:val="24"/>
          <w:szCs w:val="24"/>
        </w:rPr>
        <w:t xml:space="preserve">ических </w:t>
      </w:r>
      <w:r>
        <w:rPr>
          <w:rFonts w:ascii="Times New Roman" w:hAnsi="Times New Roman" w:cs="Times New Roman"/>
          <w:sz w:val="24"/>
          <w:szCs w:val="24"/>
        </w:rPr>
        <w:t>связей</w:t>
      </w:r>
      <w:r w:rsidR="00E52E7B">
        <w:rPr>
          <w:rFonts w:ascii="Times New Roman" w:hAnsi="Times New Roman" w:cs="Times New Roman"/>
          <w:sz w:val="24"/>
          <w:szCs w:val="24"/>
        </w:rPr>
        <w:t xml:space="preserve"> в</w:t>
      </w:r>
      <w:r w:rsidR="00A146B8">
        <w:rPr>
          <w:rFonts w:ascii="Times New Roman" w:hAnsi="Times New Roman" w:cs="Times New Roman"/>
          <w:sz w:val="24"/>
          <w:szCs w:val="24"/>
        </w:rPr>
        <w:t>следствие закрытия границ</w:t>
      </w:r>
      <w:r>
        <w:rPr>
          <w:rFonts w:ascii="Times New Roman" w:hAnsi="Times New Roman" w:cs="Times New Roman"/>
          <w:sz w:val="24"/>
          <w:szCs w:val="24"/>
        </w:rPr>
        <w:t xml:space="preserve"> ряда государств;</w:t>
      </w:r>
    </w:p>
    <w:p w14:paraId="62EA0DD2" w14:textId="0CC4C2F5" w:rsidR="00A146B8" w:rsidRDefault="002B5F1D" w:rsidP="007F6F20">
      <w:pPr>
        <w:pStyle w:val="aff4"/>
        <w:numPr>
          <w:ilvl w:val="0"/>
          <w:numId w:val="14"/>
        </w:numPr>
        <w:spacing w:before="0"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девальвация </w:t>
      </w:r>
      <w:r w:rsidR="00A146B8">
        <w:rPr>
          <w:rFonts w:ascii="Times New Roman" w:hAnsi="Times New Roman" w:cs="Times New Roman"/>
          <w:sz w:val="24"/>
          <w:szCs w:val="24"/>
        </w:rPr>
        <w:t xml:space="preserve">валют стран </w:t>
      </w:r>
      <w:r>
        <w:rPr>
          <w:rFonts w:ascii="Times New Roman" w:hAnsi="Times New Roman" w:cs="Times New Roman"/>
          <w:sz w:val="24"/>
          <w:szCs w:val="24"/>
        </w:rPr>
        <w:t xml:space="preserve">– </w:t>
      </w:r>
      <w:r w:rsidR="00A146B8">
        <w:rPr>
          <w:rFonts w:ascii="Times New Roman" w:hAnsi="Times New Roman" w:cs="Times New Roman"/>
          <w:sz w:val="24"/>
          <w:szCs w:val="24"/>
        </w:rPr>
        <w:t>торговых партнёров (</w:t>
      </w:r>
      <w:r>
        <w:rPr>
          <w:rFonts w:ascii="Times New Roman" w:hAnsi="Times New Roman" w:cs="Times New Roman"/>
          <w:sz w:val="24"/>
          <w:szCs w:val="24"/>
        </w:rPr>
        <w:t xml:space="preserve">прежде всего </w:t>
      </w:r>
      <w:r w:rsidR="00A146B8">
        <w:rPr>
          <w:rFonts w:ascii="Times New Roman" w:hAnsi="Times New Roman" w:cs="Times New Roman"/>
          <w:sz w:val="24"/>
          <w:szCs w:val="24"/>
        </w:rPr>
        <w:t>руб</w:t>
      </w:r>
      <w:r w:rsidR="00D059B4">
        <w:rPr>
          <w:rFonts w:ascii="Times New Roman" w:hAnsi="Times New Roman" w:cs="Times New Roman"/>
          <w:sz w:val="24"/>
          <w:szCs w:val="24"/>
        </w:rPr>
        <w:t>ля</w:t>
      </w:r>
      <w:r w:rsidR="00A146B8">
        <w:rPr>
          <w:rFonts w:ascii="Times New Roman" w:hAnsi="Times New Roman" w:cs="Times New Roman"/>
          <w:sz w:val="24"/>
          <w:szCs w:val="24"/>
        </w:rPr>
        <w:t xml:space="preserve"> РФ и гривны)</w:t>
      </w:r>
      <w:r w:rsidR="002E2FA9">
        <w:rPr>
          <w:rFonts w:ascii="Times New Roman" w:hAnsi="Times New Roman" w:cs="Times New Roman"/>
          <w:sz w:val="24"/>
          <w:szCs w:val="24"/>
        </w:rPr>
        <w:t xml:space="preserve"> и</w:t>
      </w:r>
      <w:r>
        <w:rPr>
          <w:rFonts w:ascii="Times New Roman" w:hAnsi="Times New Roman" w:cs="Times New Roman"/>
          <w:sz w:val="24"/>
          <w:szCs w:val="24"/>
        </w:rPr>
        <w:t>, соответственно,</w:t>
      </w:r>
      <w:r w:rsidR="002E2FA9">
        <w:rPr>
          <w:rFonts w:ascii="Times New Roman" w:hAnsi="Times New Roman" w:cs="Times New Roman"/>
          <w:sz w:val="24"/>
          <w:szCs w:val="24"/>
        </w:rPr>
        <w:t xml:space="preserve"> укрепление </w:t>
      </w:r>
      <w:r>
        <w:rPr>
          <w:rFonts w:ascii="Times New Roman" w:hAnsi="Times New Roman" w:cs="Times New Roman"/>
          <w:sz w:val="24"/>
          <w:szCs w:val="24"/>
        </w:rPr>
        <w:t xml:space="preserve">реального курса </w:t>
      </w:r>
      <w:r w:rsidR="002E2FA9">
        <w:rPr>
          <w:rFonts w:ascii="Times New Roman" w:hAnsi="Times New Roman" w:cs="Times New Roman"/>
          <w:sz w:val="24"/>
          <w:szCs w:val="24"/>
        </w:rPr>
        <w:t>рубля ПМР</w:t>
      </w:r>
      <w:r w:rsidR="0029605C">
        <w:rPr>
          <w:rFonts w:ascii="Times New Roman" w:hAnsi="Times New Roman" w:cs="Times New Roman"/>
          <w:sz w:val="24"/>
          <w:szCs w:val="24"/>
        </w:rPr>
        <w:t>.</w:t>
      </w:r>
    </w:p>
    <w:p w14:paraId="48212E58" w14:textId="77777777" w:rsidR="00636F99" w:rsidRPr="007F6F20" w:rsidRDefault="00AD0801" w:rsidP="007F6F20">
      <w:pPr>
        <w:spacing w:before="0" w:after="0" w:line="240" w:lineRule="auto"/>
        <w:ind w:firstLine="425"/>
        <w:jc w:val="both"/>
        <w:rPr>
          <w:rFonts w:ascii="Times New Roman" w:hAnsi="Times New Roman" w:cs="Times New Roman"/>
          <w:sz w:val="24"/>
          <w:szCs w:val="24"/>
        </w:rPr>
      </w:pPr>
      <w:r w:rsidRPr="007F6F20">
        <w:rPr>
          <w:rFonts w:ascii="Times New Roman" w:hAnsi="Times New Roman" w:cs="Times New Roman"/>
          <w:sz w:val="24"/>
          <w:szCs w:val="24"/>
        </w:rPr>
        <w:t>С</w:t>
      </w:r>
      <w:r w:rsidR="000F01B9" w:rsidRPr="007F6F20">
        <w:rPr>
          <w:rFonts w:ascii="Times New Roman" w:hAnsi="Times New Roman" w:cs="Times New Roman"/>
          <w:sz w:val="24"/>
          <w:szCs w:val="24"/>
        </w:rPr>
        <w:t xml:space="preserve">охраняют свою актуальность осложнение взаимоотношений между Приднестровьем и Республикой Молдова в части открытия счетов приднестровскими предприятиями </w:t>
      </w:r>
      <w:r w:rsidR="00636F99" w:rsidRPr="007F6F20">
        <w:rPr>
          <w:rFonts w:ascii="Times New Roman" w:hAnsi="Times New Roman" w:cs="Times New Roman"/>
          <w:sz w:val="24"/>
          <w:szCs w:val="24"/>
        </w:rPr>
        <w:t>в банках Молдовы и осуществлени</w:t>
      </w:r>
      <w:r w:rsidR="000F01B9" w:rsidRPr="007F6F20">
        <w:rPr>
          <w:rFonts w:ascii="Times New Roman" w:hAnsi="Times New Roman" w:cs="Times New Roman"/>
          <w:sz w:val="24"/>
          <w:szCs w:val="24"/>
        </w:rPr>
        <w:t xml:space="preserve">я </w:t>
      </w:r>
      <w:r w:rsidR="00636F99" w:rsidRPr="007F6F20">
        <w:rPr>
          <w:rFonts w:ascii="Times New Roman" w:hAnsi="Times New Roman" w:cs="Times New Roman"/>
          <w:sz w:val="24"/>
          <w:szCs w:val="24"/>
        </w:rPr>
        <w:t xml:space="preserve">международных </w:t>
      </w:r>
      <w:r w:rsidR="001C45F7">
        <w:rPr>
          <w:rFonts w:ascii="Times New Roman" w:hAnsi="Times New Roman" w:cs="Times New Roman"/>
          <w:sz w:val="24"/>
          <w:szCs w:val="24"/>
        </w:rPr>
        <w:t>расчё</w:t>
      </w:r>
      <w:r w:rsidR="000F01B9" w:rsidRPr="007F6F20">
        <w:rPr>
          <w:rFonts w:ascii="Times New Roman" w:hAnsi="Times New Roman" w:cs="Times New Roman"/>
          <w:sz w:val="24"/>
          <w:szCs w:val="24"/>
        </w:rPr>
        <w:t xml:space="preserve">тов, проблема конвертации молдавских леев в иностранную валюту, запрет пересечения границы </w:t>
      </w:r>
      <w:r w:rsidR="00636F99" w:rsidRPr="007F6F20">
        <w:rPr>
          <w:rFonts w:ascii="Times New Roman" w:hAnsi="Times New Roman" w:cs="Times New Roman"/>
          <w:sz w:val="24"/>
          <w:szCs w:val="24"/>
        </w:rPr>
        <w:t>автотранспорта</w:t>
      </w:r>
      <w:r w:rsidR="000F01B9" w:rsidRPr="007F6F20">
        <w:rPr>
          <w:rFonts w:ascii="Times New Roman" w:hAnsi="Times New Roman" w:cs="Times New Roman"/>
          <w:sz w:val="24"/>
          <w:szCs w:val="24"/>
        </w:rPr>
        <w:t xml:space="preserve"> с приднестровскими номерами, </w:t>
      </w:r>
      <w:r w:rsidR="00636F99" w:rsidRPr="007F6F20">
        <w:rPr>
          <w:rFonts w:ascii="Times New Roman" w:hAnsi="Times New Roman" w:cs="Times New Roman"/>
          <w:sz w:val="24"/>
          <w:szCs w:val="24"/>
        </w:rPr>
        <w:t>препоны в части железнодорожных грузоперевозок</w:t>
      </w:r>
      <w:r w:rsidR="000F01B9" w:rsidRPr="007F6F20">
        <w:rPr>
          <w:rFonts w:ascii="Times New Roman" w:hAnsi="Times New Roman" w:cs="Times New Roman"/>
          <w:sz w:val="24"/>
          <w:szCs w:val="24"/>
        </w:rPr>
        <w:t xml:space="preserve"> со стороны Молдовы в конце </w:t>
      </w:r>
      <w:r w:rsidR="00636F99" w:rsidRPr="007F6F20">
        <w:rPr>
          <w:rFonts w:ascii="Times New Roman" w:hAnsi="Times New Roman" w:cs="Times New Roman"/>
          <w:sz w:val="24"/>
          <w:szCs w:val="24"/>
        </w:rPr>
        <w:t>2019 - начале</w:t>
      </w:r>
      <w:r w:rsidR="000F01B9" w:rsidRPr="007F6F20">
        <w:rPr>
          <w:rFonts w:ascii="Times New Roman" w:hAnsi="Times New Roman" w:cs="Times New Roman"/>
          <w:sz w:val="24"/>
          <w:szCs w:val="24"/>
        </w:rPr>
        <w:t xml:space="preserve"> 2020 г</w:t>
      </w:r>
      <w:r w:rsidR="006C6CEE" w:rsidRPr="007F6F20">
        <w:rPr>
          <w:rFonts w:ascii="Times New Roman" w:hAnsi="Times New Roman" w:cs="Times New Roman"/>
          <w:sz w:val="24"/>
          <w:szCs w:val="24"/>
        </w:rPr>
        <w:t>г.</w:t>
      </w:r>
      <w:r w:rsidR="000F01B9" w:rsidRPr="007F6F20">
        <w:rPr>
          <w:rFonts w:ascii="Times New Roman" w:hAnsi="Times New Roman" w:cs="Times New Roman"/>
          <w:sz w:val="24"/>
          <w:szCs w:val="24"/>
        </w:rPr>
        <w:t xml:space="preserve"> </w:t>
      </w:r>
    </w:p>
    <w:p w14:paraId="3BFBC5E1" w14:textId="77777777" w:rsidR="00436565" w:rsidRDefault="00636F99" w:rsidP="00436565">
      <w:pPr>
        <w:spacing w:before="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С</w:t>
      </w:r>
      <w:r w:rsidR="000F01B9" w:rsidRPr="008E40A0">
        <w:rPr>
          <w:rFonts w:ascii="Times New Roman" w:hAnsi="Times New Roman" w:cs="Times New Roman"/>
          <w:sz w:val="24"/>
          <w:szCs w:val="24"/>
        </w:rPr>
        <w:t>анкционное давление со стороны Украины на системообразующие предприятия</w:t>
      </w:r>
      <w:r w:rsidRPr="008E40A0">
        <w:rPr>
          <w:rFonts w:ascii="Times New Roman" w:hAnsi="Times New Roman" w:cs="Times New Roman"/>
          <w:sz w:val="24"/>
          <w:szCs w:val="24"/>
        </w:rPr>
        <w:t xml:space="preserve"> республики, в частности на</w:t>
      </w:r>
      <w:r w:rsidR="000F01B9" w:rsidRPr="008E40A0">
        <w:rPr>
          <w:rFonts w:ascii="Times New Roman" w:hAnsi="Times New Roman" w:cs="Times New Roman"/>
          <w:sz w:val="24"/>
          <w:szCs w:val="24"/>
        </w:rPr>
        <w:t xml:space="preserve"> </w:t>
      </w:r>
      <w:r w:rsidR="007F06A7">
        <w:rPr>
          <w:rFonts w:ascii="Times New Roman" w:hAnsi="Times New Roman" w:cs="Times New Roman"/>
          <w:sz w:val="24"/>
          <w:szCs w:val="24"/>
        </w:rPr>
        <w:t>ОАО «Молдавский металлургический завод»</w:t>
      </w:r>
      <w:r w:rsidRPr="008E40A0">
        <w:rPr>
          <w:rFonts w:ascii="Times New Roman" w:hAnsi="Times New Roman" w:cs="Times New Roman"/>
          <w:sz w:val="24"/>
          <w:szCs w:val="24"/>
        </w:rPr>
        <w:t>,</w:t>
      </w:r>
      <w:r w:rsidR="000F01B9" w:rsidRPr="008E40A0">
        <w:rPr>
          <w:rFonts w:ascii="Times New Roman" w:hAnsi="Times New Roman" w:cs="Times New Roman"/>
          <w:sz w:val="24"/>
          <w:szCs w:val="24"/>
        </w:rPr>
        <w:t xml:space="preserve"> </w:t>
      </w:r>
      <w:r w:rsidRPr="008E40A0">
        <w:rPr>
          <w:rFonts w:ascii="Times New Roman" w:hAnsi="Times New Roman" w:cs="Times New Roman"/>
          <w:sz w:val="24"/>
          <w:szCs w:val="24"/>
        </w:rPr>
        <w:t>л</w:t>
      </w:r>
      <w:r w:rsidR="000F01B9" w:rsidRPr="008E40A0">
        <w:rPr>
          <w:rFonts w:ascii="Times New Roman" w:hAnsi="Times New Roman" w:cs="Times New Roman"/>
          <w:sz w:val="24"/>
          <w:szCs w:val="24"/>
        </w:rPr>
        <w:t>иш</w:t>
      </w:r>
      <w:r w:rsidRPr="008E40A0">
        <w:rPr>
          <w:rFonts w:ascii="Times New Roman" w:hAnsi="Times New Roman" w:cs="Times New Roman"/>
          <w:sz w:val="24"/>
          <w:szCs w:val="24"/>
        </w:rPr>
        <w:t>ило предприятие</w:t>
      </w:r>
      <w:r w:rsidR="000F01B9" w:rsidRPr="008E40A0">
        <w:rPr>
          <w:rFonts w:ascii="Times New Roman" w:hAnsi="Times New Roman" w:cs="Times New Roman"/>
          <w:sz w:val="24"/>
          <w:szCs w:val="24"/>
        </w:rPr>
        <w:t xml:space="preserve"> возможности торговать с Украиной, </w:t>
      </w:r>
      <w:r w:rsidRPr="008E40A0">
        <w:rPr>
          <w:rFonts w:ascii="Times New Roman" w:hAnsi="Times New Roman" w:cs="Times New Roman"/>
          <w:sz w:val="24"/>
          <w:szCs w:val="24"/>
        </w:rPr>
        <w:t xml:space="preserve">что повлекло утрату </w:t>
      </w:r>
      <w:r w:rsidR="000F01B9" w:rsidRPr="008E40A0">
        <w:rPr>
          <w:rFonts w:ascii="Times New Roman" w:hAnsi="Times New Roman" w:cs="Times New Roman"/>
          <w:sz w:val="24"/>
          <w:szCs w:val="24"/>
        </w:rPr>
        <w:t>как рынк</w:t>
      </w:r>
      <w:r w:rsidRPr="008E40A0">
        <w:rPr>
          <w:rFonts w:ascii="Times New Roman" w:hAnsi="Times New Roman" w:cs="Times New Roman"/>
          <w:sz w:val="24"/>
          <w:szCs w:val="24"/>
        </w:rPr>
        <w:t>а сырья, так и рын</w:t>
      </w:r>
      <w:r w:rsidR="000F01B9" w:rsidRPr="008E40A0">
        <w:rPr>
          <w:rFonts w:ascii="Times New Roman" w:hAnsi="Times New Roman" w:cs="Times New Roman"/>
          <w:sz w:val="24"/>
          <w:szCs w:val="24"/>
        </w:rPr>
        <w:t>к</w:t>
      </w:r>
      <w:r w:rsidRPr="008E40A0">
        <w:rPr>
          <w:rFonts w:ascii="Times New Roman" w:hAnsi="Times New Roman" w:cs="Times New Roman"/>
          <w:sz w:val="24"/>
          <w:szCs w:val="24"/>
        </w:rPr>
        <w:t>а</w:t>
      </w:r>
      <w:r w:rsidR="000F01B9" w:rsidRPr="008E40A0">
        <w:rPr>
          <w:rFonts w:ascii="Times New Roman" w:hAnsi="Times New Roman" w:cs="Times New Roman"/>
          <w:sz w:val="24"/>
          <w:szCs w:val="24"/>
        </w:rPr>
        <w:t xml:space="preserve"> сбыта продукции</w:t>
      </w:r>
      <w:r w:rsidRPr="008E40A0">
        <w:rPr>
          <w:rFonts w:ascii="Times New Roman" w:hAnsi="Times New Roman" w:cs="Times New Roman"/>
          <w:sz w:val="24"/>
          <w:szCs w:val="24"/>
        </w:rPr>
        <w:t>.</w:t>
      </w:r>
      <w:r w:rsidR="000F01B9" w:rsidRPr="008E40A0">
        <w:rPr>
          <w:rFonts w:ascii="Times New Roman" w:hAnsi="Times New Roman" w:cs="Times New Roman"/>
          <w:sz w:val="24"/>
          <w:szCs w:val="24"/>
        </w:rPr>
        <w:t xml:space="preserve"> </w:t>
      </w:r>
      <w:r w:rsidRPr="008E40A0">
        <w:rPr>
          <w:rFonts w:ascii="Times New Roman" w:hAnsi="Times New Roman" w:cs="Times New Roman"/>
          <w:sz w:val="24"/>
          <w:szCs w:val="24"/>
        </w:rPr>
        <w:t xml:space="preserve">Кроме этого, введение квот Евросоюзом на импорт металлургической продукции существенно снизило возможности </w:t>
      </w:r>
      <w:r w:rsidR="0051216B" w:rsidRPr="008E40A0">
        <w:rPr>
          <w:rFonts w:ascii="Times New Roman" w:hAnsi="Times New Roman" w:cs="Times New Roman"/>
          <w:sz w:val="24"/>
          <w:szCs w:val="24"/>
        </w:rPr>
        <w:t xml:space="preserve">приднестровского </w:t>
      </w:r>
      <w:r w:rsidRPr="008E40A0">
        <w:rPr>
          <w:rFonts w:ascii="Times New Roman" w:hAnsi="Times New Roman" w:cs="Times New Roman"/>
          <w:sz w:val="24"/>
          <w:szCs w:val="24"/>
        </w:rPr>
        <w:t>экспорта.</w:t>
      </w:r>
      <w:r w:rsidR="0051216B" w:rsidRPr="008E40A0">
        <w:rPr>
          <w:rFonts w:ascii="Times New Roman" w:hAnsi="Times New Roman" w:cs="Times New Roman"/>
          <w:sz w:val="24"/>
          <w:szCs w:val="24"/>
        </w:rPr>
        <w:t xml:space="preserve"> </w:t>
      </w:r>
      <w:r w:rsidRPr="008E40A0">
        <w:rPr>
          <w:rFonts w:ascii="Times New Roman" w:hAnsi="Times New Roman" w:cs="Times New Roman"/>
          <w:sz w:val="24"/>
          <w:szCs w:val="24"/>
        </w:rPr>
        <w:t>Принятие заградительных пошлин в отношении</w:t>
      </w:r>
      <w:r w:rsidR="000F01B9" w:rsidRPr="008E40A0">
        <w:rPr>
          <w:rFonts w:ascii="Times New Roman" w:hAnsi="Times New Roman" w:cs="Times New Roman"/>
          <w:sz w:val="24"/>
          <w:szCs w:val="24"/>
        </w:rPr>
        <w:t xml:space="preserve"> ЗАО </w:t>
      </w:r>
      <w:r w:rsidR="007F06A7">
        <w:rPr>
          <w:rFonts w:ascii="Times New Roman" w:hAnsi="Times New Roman" w:cs="Times New Roman"/>
          <w:sz w:val="24"/>
          <w:szCs w:val="24"/>
        </w:rPr>
        <w:t>«Рыбницкий цементный комбинат»</w:t>
      </w:r>
      <w:r w:rsidR="000F01B9" w:rsidRPr="008E40A0">
        <w:rPr>
          <w:rFonts w:ascii="Times New Roman" w:hAnsi="Times New Roman" w:cs="Times New Roman"/>
          <w:sz w:val="24"/>
          <w:szCs w:val="24"/>
        </w:rPr>
        <w:t xml:space="preserve"> </w:t>
      </w:r>
      <w:r w:rsidRPr="008E40A0">
        <w:rPr>
          <w:rFonts w:ascii="Times New Roman" w:hAnsi="Times New Roman" w:cs="Times New Roman"/>
          <w:sz w:val="24"/>
          <w:szCs w:val="24"/>
        </w:rPr>
        <w:t>повлекло утрату его</w:t>
      </w:r>
      <w:r w:rsidR="000F01B9" w:rsidRPr="008E40A0">
        <w:rPr>
          <w:rFonts w:ascii="Times New Roman" w:hAnsi="Times New Roman" w:cs="Times New Roman"/>
          <w:sz w:val="24"/>
          <w:szCs w:val="24"/>
        </w:rPr>
        <w:t xml:space="preserve"> конкурентоспособн</w:t>
      </w:r>
      <w:r w:rsidRPr="008E40A0">
        <w:rPr>
          <w:rFonts w:ascii="Times New Roman" w:hAnsi="Times New Roman" w:cs="Times New Roman"/>
          <w:sz w:val="24"/>
          <w:szCs w:val="24"/>
        </w:rPr>
        <w:t>ости</w:t>
      </w:r>
      <w:r w:rsidR="000F01B9" w:rsidRPr="008E40A0">
        <w:rPr>
          <w:rFonts w:ascii="Times New Roman" w:hAnsi="Times New Roman" w:cs="Times New Roman"/>
          <w:sz w:val="24"/>
          <w:szCs w:val="24"/>
        </w:rPr>
        <w:t xml:space="preserve"> на рынке Украины. </w:t>
      </w:r>
    </w:p>
    <w:p w14:paraId="44E30F65" w14:textId="77777777" w:rsidR="002B5F1D" w:rsidRDefault="002B5F1D" w:rsidP="00436565">
      <w:pPr>
        <w:spacing w:before="0" w:after="0" w:line="240" w:lineRule="auto"/>
        <w:ind w:firstLine="425"/>
        <w:jc w:val="both"/>
        <w:rPr>
          <w:rFonts w:ascii="Times New Roman" w:hAnsi="Times New Roman" w:cs="Times New Roman"/>
          <w:sz w:val="24"/>
          <w:szCs w:val="24"/>
        </w:rPr>
      </w:pPr>
    </w:p>
    <w:p w14:paraId="55D27A8B" w14:textId="77777777" w:rsidR="002B5F1D" w:rsidRPr="00F8714D" w:rsidRDefault="002B5F1D" w:rsidP="00436565">
      <w:pPr>
        <w:spacing w:before="0" w:after="0" w:line="240" w:lineRule="auto"/>
        <w:ind w:firstLine="425"/>
        <w:jc w:val="both"/>
        <w:rPr>
          <w:rFonts w:ascii="Times New Roman" w:hAnsi="Times New Roman" w:cs="Times New Roman"/>
          <w:sz w:val="24"/>
          <w:szCs w:val="24"/>
        </w:rPr>
      </w:pPr>
    </w:p>
    <w:p w14:paraId="06B41312" w14:textId="77777777" w:rsidR="00BE7BE0" w:rsidRPr="004D7D79" w:rsidRDefault="008B243B" w:rsidP="00450C0C">
      <w:pPr>
        <w:pStyle w:val="1"/>
        <w:widowControl w:val="0"/>
        <w:numPr>
          <w:ilvl w:val="1"/>
          <w:numId w:val="1"/>
        </w:numPr>
        <w:rPr>
          <w:b/>
          <w:bCs/>
          <w:noProof/>
          <w:sz w:val="24"/>
          <w:szCs w:val="24"/>
        </w:rPr>
      </w:pPr>
      <w:r>
        <w:rPr>
          <w:b/>
          <w:bCs/>
          <w:noProof/>
          <w:sz w:val="24"/>
          <w:szCs w:val="24"/>
        </w:rPr>
        <w:t xml:space="preserve"> </w:t>
      </w:r>
      <w:r w:rsidR="00BE7BE0" w:rsidRPr="004D7D79">
        <w:rPr>
          <w:b/>
          <w:bCs/>
          <w:noProof/>
          <w:sz w:val="24"/>
          <w:szCs w:val="24"/>
        </w:rPr>
        <w:t>ЭКОНОМИЧЕСКОЕ ПОЛОЖЕНИЕ ПРИДНЕСТРОВЬЯ</w:t>
      </w:r>
    </w:p>
    <w:p w14:paraId="454C5495" w14:textId="77777777" w:rsidR="008A651D" w:rsidRPr="00A344C8" w:rsidRDefault="008A651D" w:rsidP="008A651D">
      <w:pPr>
        <w:widowControl w:val="0"/>
        <w:spacing w:before="0" w:after="0" w:line="240" w:lineRule="auto"/>
        <w:ind w:left="425"/>
        <w:jc w:val="both"/>
        <w:rPr>
          <w:rFonts w:ascii="Times New Roman" w:hAnsi="Times New Roman" w:cs="Times New Roman"/>
          <w:iCs/>
          <w:noProof/>
          <w:sz w:val="24"/>
          <w:szCs w:val="24"/>
        </w:rPr>
      </w:pPr>
    </w:p>
    <w:p w14:paraId="1C55B711" w14:textId="77777777" w:rsidR="00BE7BE0" w:rsidRPr="00071AA5" w:rsidRDefault="00BF66C3" w:rsidP="00B55541">
      <w:pPr>
        <w:pStyle w:val="2"/>
        <w:spacing w:before="0"/>
        <w:rPr>
          <w:rFonts w:ascii="Times New Roman" w:hAnsi="Times New Roman" w:cs="Times New Roman"/>
          <w:b/>
          <w:noProof/>
          <w:sz w:val="24"/>
          <w:szCs w:val="24"/>
        </w:rPr>
      </w:pPr>
      <w:r w:rsidRPr="004D7D79">
        <w:rPr>
          <w:b/>
          <w:noProof/>
        </w:rPr>
        <w:t>Экономическая активность</w:t>
      </w:r>
    </w:p>
    <w:p w14:paraId="1F5CBFF9" w14:textId="77777777" w:rsidR="008A651D" w:rsidRDefault="008A651D" w:rsidP="008A651D">
      <w:pPr>
        <w:widowControl w:val="0"/>
        <w:spacing w:before="0" w:after="0" w:line="240" w:lineRule="auto"/>
        <w:ind w:firstLine="425"/>
        <w:jc w:val="both"/>
        <w:rPr>
          <w:rFonts w:ascii="Times New Roman" w:hAnsi="Times New Roman" w:cs="Times New Roman"/>
          <w:sz w:val="24"/>
          <w:szCs w:val="24"/>
        </w:rPr>
      </w:pPr>
    </w:p>
    <w:p w14:paraId="443D8128" w14:textId="77777777" w:rsidR="007F06A7" w:rsidRPr="009012B2" w:rsidRDefault="007F06A7" w:rsidP="00D57767">
      <w:pPr>
        <w:widowControl w:val="0"/>
        <w:spacing w:before="0" w:after="0" w:line="240" w:lineRule="auto"/>
        <w:ind w:firstLine="425"/>
        <w:jc w:val="both"/>
        <w:rPr>
          <w:rFonts w:ascii="Times New Roman" w:hAnsi="Times New Roman" w:cs="Times New Roman"/>
          <w:sz w:val="24"/>
          <w:szCs w:val="24"/>
        </w:rPr>
      </w:pPr>
      <w:r w:rsidRPr="009012B2">
        <w:rPr>
          <w:rFonts w:ascii="Times New Roman" w:hAnsi="Times New Roman" w:cs="Times New Roman"/>
          <w:sz w:val="24"/>
          <w:szCs w:val="24"/>
        </w:rPr>
        <w:t>Индекс промышленного оптимизма, рассчитанный на основе опроса крупных организаций</w:t>
      </w:r>
      <w:r w:rsidR="00FC4B89" w:rsidRPr="009012B2">
        <w:rPr>
          <w:rFonts w:ascii="Times New Roman" w:hAnsi="Times New Roman" w:cs="Times New Roman"/>
          <w:sz w:val="24"/>
          <w:szCs w:val="24"/>
        </w:rPr>
        <w:t xml:space="preserve"> Приднестровья</w:t>
      </w:r>
      <w:r w:rsidR="002C043C" w:rsidRPr="009012B2">
        <w:rPr>
          <w:rFonts w:ascii="Times New Roman" w:hAnsi="Times New Roman" w:cs="Times New Roman"/>
          <w:sz w:val="24"/>
          <w:szCs w:val="24"/>
        </w:rPr>
        <w:t>,</w:t>
      </w:r>
      <w:r w:rsidRPr="009012B2">
        <w:rPr>
          <w:rFonts w:ascii="Times New Roman" w:hAnsi="Times New Roman" w:cs="Times New Roman"/>
          <w:sz w:val="24"/>
          <w:szCs w:val="24"/>
        </w:rPr>
        <w:t xml:space="preserve"> </w:t>
      </w:r>
      <w:r w:rsidR="002C043C" w:rsidRPr="009012B2">
        <w:rPr>
          <w:rFonts w:ascii="Times New Roman" w:hAnsi="Times New Roman" w:cs="Times New Roman"/>
          <w:sz w:val="24"/>
          <w:szCs w:val="24"/>
        </w:rPr>
        <w:t xml:space="preserve">по итогам 2019 года </w:t>
      </w:r>
      <w:r w:rsidRPr="009012B2">
        <w:rPr>
          <w:rFonts w:ascii="Times New Roman" w:hAnsi="Times New Roman" w:cs="Times New Roman"/>
          <w:sz w:val="24"/>
          <w:szCs w:val="24"/>
        </w:rPr>
        <w:t xml:space="preserve">сложился в зоне положительных значений на </w:t>
      </w:r>
      <w:r w:rsidRPr="005F3893">
        <w:rPr>
          <w:rFonts w:ascii="Times New Roman" w:hAnsi="Times New Roman" w:cs="Times New Roman"/>
          <w:sz w:val="24"/>
          <w:szCs w:val="24"/>
        </w:rPr>
        <w:t xml:space="preserve">отметке </w:t>
      </w:r>
      <w:r w:rsidR="005F3893" w:rsidRPr="005F3893">
        <w:rPr>
          <w:rFonts w:ascii="Times New Roman" w:hAnsi="Times New Roman" w:cs="Times New Roman"/>
          <w:sz w:val="24"/>
          <w:szCs w:val="24"/>
        </w:rPr>
        <w:t>14,6</w:t>
      </w:r>
      <w:r w:rsidRPr="005F3893">
        <w:rPr>
          <w:rFonts w:ascii="Times New Roman" w:hAnsi="Times New Roman" w:cs="Times New Roman"/>
          <w:sz w:val="24"/>
          <w:szCs w:val="24"/>
        </w:rPr>
        <w:t>%</w:t>
      </w:r>
      <w:r w:rsidR="00D57767" w:rsidRPr="005F3893">
        <w:rPr>
          <w:rFonts w:ascii="Times New Roman" w:hAnsi="Times New Roman" w:cs="Times New Roman"/>
          <w:sz w:val="24"/>
          <w:szCs w:val="24"/>
        </w:rPr>
        <w:t xml:space="preserve"> </w:t>
      </w:r>
      <w:r w:rsidR="005F3893" w:rsidRPr="005F3893">
        <w:rPr>
          <w:rFonts w:ascii="Times New Roman" w:hAnsi="Times New Roman" w:cs="Times New Roman"/>
          <w:sz w:val="24"/>
          <w:szCs w:val="24"/>
        </w:rPr>
        <w:t>(+9,1</w:t>
      </w:r>
      <w:r w:rsidR="000023CC" w:rsidRPr="005F3893">
        <w:rPr>
          <w:rFonts w:ascii="Times New Roman" w:hAnsi="Times New Roman" w:cs="Times New Roman"/>
          <w:sz w:val="24"/>
          <w:szCs w:val="24"/>
        </w:rPr>
        <w:t xml:space="preserve"> </w:t>
      </w:r>
      <w:r w:rsidR="00D57767" w:rsidRPr="005F3893">
        <w:rPr>
          <w:rFonts w:ascii="Times New Roman" w:hAnsi="Times New Roman" w:cs="Times New Roman"/>
          <w:sz w:val="24"/>
          <w:szCs w:val="24"/>
        </w:rPr>
        <w:t>п.п.</w:t>
      </w:r>
      <w:r w:rsidR="00D57767" w:rsidRPr="009012B2">
        <w:rPr>
          <w:rFonts w:ascii="Times New Roman" w:hAnsi="Times New Roman" w:cs="Times New Roman"/>
          <w:sz w:val="24"/>
          <w:szCs w:val="24"/>
        </w:rPr>
        <w:t xml:space="preserve"> к значению в </w:t>
      </w:r>
      <w:r w:rsidR="00D57767" w:rsidRPr="009012B2">
        <w:rPr>
          <w:rFonts w:ascii="Times New Roman" w:hAnsi="Times New Roman" w:cs="Times New Roman"/>
          <w:sz w:val="24"/>
          <w:szCs w:val="24"/>
          <w:lang w:val="en-US"/>
        </w:rPr>
        <w:t>I</w:t>
      </w:r>
      <w:r w:rsidR="00D57767" w:rsidRPr="009012B2">
        <w:rPr>
          <w:rFonts w:ascii="Times New Roman" w:hAnsi="Times New Roman" w:cs="Times New Roman"/>
          <w:sz w:val="24"/>
          <w:szCs w:val="24"/>
        </w:rPr>
        <w:t xml:space="preserve"> полугодии 2019 года)</w:t>
      </w:r>
      <w:r w:rsidRPr="009012B2">
        <w:rPr>
          <w:rFonts w:ascii="Times New Roman" w:hAnsi="Times New Roman" w:cs="Times New Roman"/>
          <w:sz w:val="24"/>
          <w:szCs w:val="24"/>
        </w:rPr>
        <w:t xml:space="preserve">, </w:t>
      </w:r>
      <w:r w:rsidR="00E54EE1" w:rsidRPr="009012B2">
        <w:rPr>
          <w:rFonts w:ascii="Times New Roman" w:hAnsi="Times New Roman" w:cs="Times New Roman"/>
          <w:sz w:val="24"/>
          <w:szCs w:val="24"/>
        </w:rPr>
        <w:t>что</w:t>
      </w:r>
      <w:r w:rsidR="00FC4B89" w:rsidRPr="009012B2">
        <w:rPr>
          <w:rFonts w:ascii="Times New Roman" w:hAnsi="Times New Roman" w:cs="Times New Roman"/>
          <w:sz w:val="24"/>
          <w:szCs w:val="24"/>
        </w:rPr>
        <w:t>,</w:t>
      </w:r>
      <w:r w:rsidR="00E54EE1" w:rsidRPr="009012B2">
        <w:rPr>
          <w:rFonts w:ascii="Times New Roman" w:hAnsi="Times New Roman" w:cs="Times New Roman"/>
          <w:sz w:val="24"/>
          <w:szCs w:val="24"/>
        </w:rPr>
        <w:t xml:space="preserve"> </w:t>
      </w:r>
      <w:r w:rsidR="00D57767" w:rsidRPr="009012B2">
        <w:rPr>
          <w:rFonts w:ascii="Times New Roman" w:hAnsi="Times New Roman" w:cs="Times New Roman"/>
          <w:sz w:val="24"/>
          <w:szCs w:val="24"/>
        </w:rPr>
        <w:t>однако</w:t>
      </w:r>
      <w:r w:rsidR="00FC4B89" w:rsidRPr="009012B2">
        <w:rPr>
          <w:rFonts w:ascii="Times New Roman" w:hAnsi="Times New Roman" w:cs="Times New Roman"/>
          <w:sz w:val="24"/>
          <w:szCs w:val="24"/>
        </w:rPr>
        <w:t>,</w:t>
      </w:r>
      <w:r w:rsidR="00D57767" w:rsidRPr="009012B2">
        <w:rPr>
          <w:rFonts w:ascii="Times New Roman" w:hAnsi="Times New Roman" w:cs="Times New Roman"/>
          <w:sz w:val="24"/>
          <w:szCs w:val="24"/>
        </w:rPr>
        <w:t xml:space="preserve"> </w:t>
      </w:r>
      <w:r w:rsidR="00E54EE1" w:rsidRPr="009012B2">
        <w:rPr>
          <w:rFonts w:ascii="Times New Roman" w:hAnsi="Times New Roman" w:cs="Times New Roman"/>
          <w:sz w:val="24"/>
          <w:szCs w:val="24"/>
        </w:rPr>
        <w:t xml:space="preserve">ниже </w:t>
      </w:r>
      <w:r w:rsidR="00D57767" w:rsidRPr="009012B2">
        <w:rPr>
          <w:rFonts w:ascii="Times New Roman" w:hAnsi="Times New Roman" w:cs="Times New Roman"/>
          <w:sz w:val="24"/>
          <w:szCs w:val="24"/>
        </w:rPr>
        <w:t xml:space="preserve">параметров </w:t>
      </w:r>
      <w:r w:rsidRPr="009012B2">
        <w:rPr>
          <w:rFonts w:ascii="Times New Roman" w:hAnsi="Times New Roman" w:cs="Times New Roman"/>
          <w:sz w:val="24"/>
          <w:szCs w:val="24"/>
        </w:rPr>
        <w:t>2017 года</w:t>
      </w:r>
      <w:r w:rsidR="00FC4B89" w:rsidRPr="009012B2">
        <w:rPr>
          <w:rFonts w:ascii="Times New Roman" w:hAnsi="Times New Roman" w:cs="Times New Roman"/>
          <w:sz w:val="24"/>
          <w:szCs w:val="24"/>
        </w:rPr>
        <w:t xml:space="preserve"> </w:t>
      </w:r>
      <w:r w:rsidRPr="009012B2">
        <w:rPr>
          <w:rFonts w:ascii="Times New Roman" w:hAnsi="Times New Roman" w:cs="Times New Roman"/>
          <w:sz w:val="24"/>
          <w:szCs w:val="24"/>
        </w:rPr>
        <w:t>(</w:t>
      </w:r>
      <w:r w:rsidR="00E54EE1" w:rsidRPr="009012B2">
        <w:rPr>
          <w:rFonts w:ascii="Times New Roman" w:hAnsi="Times New Roman" w:cs="Times New Roman"/>
          <w:sz w:val="24"/>
          <w:szCs w:val="24"/>
        </w:rPr>
        <w:t>15</w:t>
      </w:r>
      <w:r w:rsidRPr="009012B2">
        <w:rPr>
          <w:rFonts w:ascii="Times New Roman" w:hAnsi="Times New Roman" w:cs="Times New Roman"/>
          <w:sz w:val="24"/>
          <w:szCs w:val="24"/>
        </w:rPr>
        <w:t>%-21%). Данный показатель свидетельствует о</w:t>
      </w:r>
      <w:r w:rsidR="00E54EE1" w:rsidRPr="009012B2">
        <w:rPr>
          <w:rFonts w:ascii="Times New Roman" w:hAnsi="Times New Roman" w:cs="Times New Roman"/>
          <w:sz w:val="24"/>
          <w:szCs w:val="24"/>
        </w:rPr>
        <w:t xml:space="preserve"> </w:t>
      </w:r>
      <w:r w:rsidR="002C043C" w:rsidRPr="009012B2">
        <w:rPr>
          <w:rFonts w:ascii="Times New Roman" w:hAnsi="Times New Roman" w:cs="Times New Roman"/>
          <w:sz w:val="24"/>
          <w:szCs w:val="24"/>
        </w:rPr>
        <w:t xml:space="preserve">некотором </w:t>
      </w:r>
      <w:r w:rsidRPr="009012B2">
        <w:rPr>
          <w:rFonts w:ascii="Times New Roman" w:hAnsi="Times New Roman" w:cs="Times New Roman"/>
          <w:sz w:val="24"/>
          <w:szCs w:val="24"/>
        </w:rPr>
        <w:t>улучшении состояния деловой среды на международных товарных рынках</w:t>
      </w:r>
      <w:r w:rsidR="004D5732" w:rsidRPr="009012B2">
        <w:rPr>
          <w:rFonts w:ascii="Times New Roman" w:hAnsi="Times New Roman" w:cs="Times New Roman"/>
          <w:sz w:val="24"/>
          <w:szCs w:val="24"/>
        </w:rPr>
        <w:t>,</w:t>
      </w:r>
      <w:r w:rsidRPr="009012B2">
        <w:rPr>
          <w:rFonts w:ascii="Times New Roman" w:hAnsi="Times New Roman" w:cs="Times New Roman"/>
          <w:sz w:val="24"/>
          <w:szCs w:val="24"/>
        </w:rPr>
        <w:t xml:space="preserve"> на фоне снижения напряжённости в мировой торговле </w:t>
      </w:r>
      <w:r w:rsidR="004D5732" w:rsidRPr="009012B2">
        <w:rPr>
          <w:rFonts w:ascii="Times New Roman" w:hAnsi="Times New Roman" w:cs="Times New Roman"/>
          <w:sz w:val="24"/>
          <w:szCs w:val="24"/>
        </w:rPr>
        <w:t>и возобновления деловой активности</w:t>
      </w:r>
      <w:r w:rsidR="002C043C" w:rsidRPr="009012B2">
        <w:rPr>
          <w:rFonts w:ascii="Times New Roman" w:hAnsi="Times New Roman" w:cs="Times New Roman"/>
          <w:sz w:val="24"/>
          <w:szCs w:val="24"/>
        </w:rPr>
        <w:t xml:space="preserve"> в конце 2019 года</w:t>
      </w:r>
      <w:r w:rsidR="00D57767" w:rsidRPr="009012B2">
        <w:rPr>
          <w:rFonts w:ascii="Times New Roman" w:hAnsi="Times New Roman" w:cs="Times New Roman"/>
          <w:sz w:val="24"/>
          <w:szCs w:val="24"/>
        </w:rPr>
        <w:t>.</w:t>
      </w:r>
      <w:r w:rsidR="004D5732" w:rsidRPr="009012B2">
        <w:rPr>
          <w:rFonts w:ascii="Times New Roman" w:hAnsi="Times New Roman" w:cs="Times New Roman"/>
          <w:sz w:val="24"/>
          <w:szCs w:val="24"/>
        </w:rPr>
        <w:t xml:space="preserve"> Однако нов</w:t>
      </w:r>
      <w:r w:rsidR="00D57767" w:rsidRPr="009012B2">
        <w:rPr>
          <w:rFonts w:ascii="Times New Roman" w:hAnsi="Times New Roman" w:cs="Times New Roman"/>
          <w:sz w:val="24"/>
          <w:szCs w:val="24"/>
        </w:rPr>
        <w:t>ые</w:t>
      </w:r>
      <w:r w:rsidR="004D5732" w:rsidRPr="009012B2">
        <w:rPr>
          <w:rFonts w:ascii="Times New Roman" w:hAnsi="Times New Roman" w:cs="Times New Roman"/>
          <w:sz w:val="24"/>
          <w:szCs w:val="24"/>
        </w:rPr>
        <w:t xml:space="preserve"> угроз</w:t>
      </w:r>
      <w:r w:rsidR="00D57767" w:rsidRPr="009012B2">
        <w:rPr>
          <w:rFonts w:ascii="Times New Roman" w:hAnsi="Times New Roman" w:cs="Times New Roman"/>
          <w:sz w:val="24"/>
          <w:szCs w:val="24"/>
        </w:rPr>
        <w:t>ы</w:t>
      </w:r>
      <w:r w:rsidR="004D5732" w:rsidRPr="009012B2">
        <w:rPr>
          <w:rFonts w:ascii="Times New Roman" w:hAnsi="Times New Roman" w:cs="Times New Roman"/>
          <w:sz w:val="24"/>
          <w:szCs w:val="24"/>
        </w:rPr>
        <w:t xml:space="preserve">, </w:t>
      </w:r>
      <w:r w:rsidR="00D57767" w:rsidRPr="009012B2">
        <w:rPr>
          <w:rFonts w:ascii="Times New Roman" w:hAnsi="Times New Roman" w:cs="Times New Roman"/>
          <w:sz w:val="24"/>
          <w:szCs w:val="24"/>
        </w:rPr>
        <w:t xml:space="preserve">с которыми столкнулась мировая экономика в начале 2020 года, обуславливают высокие потенциальные риски развития негативных процессов </w:t>
      </w:r>
      <w:r w:rsidR="004D5732" w:rsidRPr="009012B2">
        <w:rPr>
          <w:rFonts w:ascii="Times New Roman" w:hAnsi="Times New Roman" w:cs="Times New Roman"/>
          <w:sz w:val="24"/>
          <w:szCs w:val="24"/>
        </w:rPr>
        <w:t>для приднестровских хозяйствующих субъектов</w:t>
      </w:r>
      <w:r w:rsidR="00D57767" w:rsidRPr="009012B2">
        <w:rPr>
          <w:rFonts w:ascii="Times New Roman" w:hAnsi="Times New Roman" w:cs="Times New Roman"/>
          <w:sz w:val="24"/>
          <w:szCs w:val="24"/>
        </w:rPr>
        <w:t xml:space="preserve"> </w:t>
      </w:r>
      <w:r w:rsidR="004D5732" w:rsidRPr="009012B2">
        <w:rPr>
          <w:rFonts w:ascii="Times New Roman" w:hAnsi="Times New Roman" w:cs="Times New Roman"/>
          <w:sz w:val="24"/>
          <w:szCs w:val="24"/>
        </w:rPr>
        <w:t>в перспективе</w:t>
      </w:r>
      <w:r w:rsidR="00D57767" w:rsidRPr="009012B2">
        <w:rPr>
          <w:rFonts w:ascii="Times New Roman" w:hAnsi="Times New Roman" w:cs="Times New Roman"/>
          <w:sz w:val="24"/>
          <w:szCs w:val="24"/>
        </w:rPr>
        <w:t>.</w:t>
      </w:r>
    </w:p>
    <w:p w14:paraId="14343FFE" w14:textId="77777777" w:rsidR="00AD0F31" w:rsidRPr="000D3E53" w:rsidRDefault="00AD0F31" w:rsidP="00AD0F31">
      <w:pPr>
        <w:widowControl w:val="0"/>
        <w:spacing w:before="0" w:after="0" w:line="240" w:lineRule="auto"/>
        <w:ind w:firstLine="425"/>
        <w:jc w:val="both"/>
        <w:rPr>
          <w:rFonts w:ascii="Times New Roman" w:hAnsi="Times New Roman" w:cs="Times New Roman"/>
          <w:sz w:val="24"/>
          <w:szCs w:val="24"/>
        </w:rPr>
      </w:pPr>
      <w:r w:rsidRPr="000D3E53">
        <w:rPr>
          <w:rFonts w:ascii="Times New Roman" w:hAnsi="Times New Roman" w:cs="Times New Roman"/>
          <w:sz w:val="24"/>
          <w:szCs w:val="24"/>
        </w:rPr>
        <w:t>По данным Государственной службы статистики ПМР, номинальный объём созданного в республике ВВП за 2019 год сложился на уровне 14 635,3</w:t>
      </w:r>
      <w:r>
        <w:rPr>
          <w:rFonts w:ascii="Times New Roman" w:hAnsi="Times New Roman" w:cs="Times New Roman"/>
          <w:sz w:val="24"/>
          <w:szCs w:val="24"/>
        </w:rPr>
        <w:t xml:space="preserve"> млн руб. </w:t>
      </w:r>
      <w:r w:rsidRPr="000D3E53">
        <w:rPr>
          <w:rFonts w:ascii="Times New Roman" w:hAnsi="Times New Roman" w:cs="Times New Roman"/>
          <w:sz w:val="24"/>
          <w:szCs w:val="24"/>
        </w:rPr>
        <w:t>(табл. 1.1), что в текущих ценах на 6,5% выше, чем в 2018 году. В сопоставимых ценах его</w:t>
      </w:r>
      <w:r w:rsidRPr="002B2B1A">
        <w:rPr>
          <w:rFonts w:ascii="Times New Roman" w:hAnsi="Times New Roman" w:cs="Times New Roman"/>
          <w:sz w:val="24"/>
          <w:szCs w:val="24"/>
        </w:rPr>
        <w:t xml:space="preserve"> </w:t>
      </w:r>
      <w:r w:rsidRPr="009012B2">
        <w:rPr>
          <w:rFonts w:ascii="Times New Roman" w:hAnsi="Times New Roman" w:cs="Times New Roman"/>
          <w:sz w:val="24"/>
          <w:szCs w:val="24"/>
        </w:rPr>
        <w:t xml:space="preserve">величина возросла на </w:t>
      </w:r>
      <w:r>
        <w:rPr>
          <w:rFonts w:ascii="Times New Roman" w:hAnsi="Times New Roman" w:cs="Times New Roman"/>
          <w:sz w:val="24"/>
          <w:szCs w:val="24"/>
        </w:rPr>
        <w:t>2,0</w:t>
      </w:r>
      <w:r w:rsidRPr="009012B2">
        <w:rPr>
          <w:rFonts w:ascii="Times New Roman" w:hAnsi="Times New Roman" w:cs="Times New Roman"/>
          <w:sz w:val="24"/>
          <w:szCs w:val="24"/>
        </w:rPr>
        <w:t>%. В долларовом эквиваленте показатель</w:t>
      </w:r>
      <w:r>
        <w:rPr>
          <w:rFonts w:ascii="Times New Roman" w:hAnsi="Times New Roman" w:cs="Times New Roman"/>
          <w:sz w:val="24"/>
          <w:szCs w:val="24"/>
        </w:rPr>
        <w:t xml:space="preserve"> составил </w:t>
      </w:r>
      <w:r w:rsidRPr="000D3E53">
        <w:rPr>
          <w:rFonts w:ascii="Times New Roman" w:hAnsi="Times New Roman" w:cs="Times New Roman"/>
          <w:sz w:val="24"/>
          <w:szCs w:val="24"/>
        </w:rPr>
        <w:t xml:space="preserve">909,0 млн долл. США. Дефлятор ВВП, отражающий темпы изменения средних цен в различных отраслях, сложился на отметке </w:t>
      </w:r>
      <w:r w:rsidRPr="000D3E53">
        <w:rPr>
          <w:rFonts w:ascii="Times New Roman" w:hAnsi="Times New Roman" w:cs="Times New Roman"/>
          <w:sz w:val="24"/>
          <w:szCs w:val="24"/>
        </w:rPr>
        <w:lastRenderedPageBreak/>
        <w:t>1,0443, что существенно ниже значения 2018 года (1,0867).</w:t>
      </w:r>
    </w:p>
    <w:p w14:paraId="3387B8E2" w14:textId="77777777" w:rsidR="00AD0F31" w:rsidRPr="000D3E53" w:rsidRDefault="00AD0F31" w:rsidP="00AD0F31">
      <w:pPr>
        <w:widowControl w:val="0"/>
        <w:spacing w:before="0" w:after="0" w:line="240" w:lineRule="auto"/>
        <w:ind w:firstLine="425"/>
        <w:jc w:val="both"/>
        <w:rPr>
          <w:rFonts w:ascii="Times New Roman" w:hAnsi="Times New Roman" w:cs="Times New Roman"/>
          <w:sz w:val="24"/>
          <w:szCs w:val="24"/>
        </w:rPr>
      </w:pPr>
      <w:r w:rsidRPr="000D3E53">
        <w:rPr>
          <w:rFonts w:ascii="Times New Roman" w:hAnsi="Times New Roman" w:cs="Times New Roman"/>
          <w:sz w:val="24"/>
          <w:szCs w:val="24"/>
        </w:rPr>
        <w:t>В структуре ВВП отмечалось снижение удельного веса сектора материального производства на 2,3 п.п., до 39,8%. В отраслях, связанных с производством товаров, было создано добавленной стоимости в объёме 5 831,1 млн руб., что на 3,3% ниже уровня 2018 года</w:t>
      </w:r>
      <w:r>
        <w:rPr>
          <w:rFonts w:ascii="Times New Roman" w:hAnsi="Times New Roman" w:cs="Times New Roman"/>
          <w:sz w:val="24"/>
          <w:szCs w:val="24"/>
        </w:rPr>
        <w:t>.</w:t>
      </w:r>
      <w:r w:rsidRPr="000D3E53">
        <w:rPr>
          <w:rFonts w:ascii="Times New Roman" w:hAnsi="Times New Roman" w:cs="Times New Roman"/>
          <w:sz w:val="24"/>
          <w:szCs w:val="24"/>
        </w:rPr>
        <w:t xml:space="preserve"> </w:t>
      </w:r>
      <w:r>
        <w:rPr>
          <w:rFonts w:ascii="Times New Roman" w:hAnsi="Times New Roman" w:cs="Times New Roman"/>
          <w:sz w:val="24"/>
          <w:szCs w:val="24"/>
        </w:rPr>
        <w:t>Данная динамика была обусловлена</w:t>
      </w:r>
      <w:r w:rsidRPr="000D3E53">
        <w:rPr>
          <w:rFonts w:ascii="Times New Roman" w:hAnsi="Times New Roman" w:cs="Times New Roman"/>
          <w:sz w:val="24"/>
          <w:szCs w:val="24"/>
        </w:rPr>
        <w:t xml:space="preserve"> сопоставимыми темпами сокращения как объёма валового выпуска, так и промежуточного потребления. В результате, в сегменте материального производства доля добавленной стоимости в валовом выпуске не изменилась, сложившись на уровне 33,5%. </w:t>
      </w:r>
    </w:p>
    <w:p w14:paraId="78CC861F" w14:textId="3AD294A8" w:rsidR="00AD0F31" w:rsidRPr="00D26C44" w:rsidRDefault="00AD0F31" w:rsidP="00AD0F31">
      <w:pPr>
        <w:widowControl w:val="0"/>
        <w:spacing w:before="0" w:after="0" w:line="240" w:lineRule="auto"/>
        <w:ind w:firstLine="425"/>
        <w:jc w:val="both"/>
        <w:rPr>
          <w:rFonts w:ascii="Times New Roman" w:hAnsi="Times New Roman" w:cs="Times New Roman"/>
          <w:sz w:val="24"/>
          <w:szCs w:val="24"/>
        </w:rPr>
      </w:pPr>
      <w:r w:rsidRPr="000D3E53">
        <w:rPr>
          <w:rFonts w:ascii="Times New Roman" w:hAnsi="Times New Roman" w:cs="Times New Roman"/>
          <w:sz w:val="24"/>
          <w:szCs w:val="24"/>
        </w:rPr>
        <w:t xml:space="preserve">Сокращение спроса на международном рынке, связанное с действием санкционных мер, обусловило снижение параметров добавленной стоимости в промышленности на 4,0%, до 4 415,6 млн руб. Долевое представление сегмента в структуре ВВП уменьшилось на 1,8 п.п., до 30,2%. Основным фактором явилось </w:t>
      </w:r>
      <w:r>
        <w:rPr>
          <w:rFonts w:ascii="Times New Roman" w:hAnsi="Times New Roman" w:cs="Times New Roman"/>
          <w:sz w:val="24"/>
          <w:szCs w:val="24"/>
        </w:rPr>
        <w:t xml:space="preserve">сокращение добавленной стоимости, созданной </w:t>
      </w:r>
      <w:r w:rsidRPr="000D3E53">
        <w:rPr>
          <w:rFonts w:ascii="Times New Roman" w:hAnsi="Times New Roman" w:cs="Times New Roman"/>
          <w:sz w:val="24"/>
          <w:szCs w:val="24"/>
        </w:rPr>
        <w:t xml:space="preserve">в чёрной </w:t>
      </w:r>
      <w:r w:rsidRPr="00D26C44">
        <w:rPr>
          <w:rFonts w:ascii="Times New Roman" w:hAnsi="Times New Roman" w:cs="Times New Roman"/>
          <w:sz w:val="24"/>
          <w:szCs w:val="24"/>
        </w:rPr>
        <w:t>металлургии и промышленности</w:t>
      </w:r>
      <w:r w:rsidR="00D26C44" w:rsidRPr="00D26C44">
        <w:rPr>
          <w:rFonts w:ascii="Times New Roman" w:hAnsi="Times New Roman" w:cs="Times New Roman"/>
          <w:sz w:val="24"/>
          <w:szCs w:val="24"/>
        </w:rPr>
        <w:t xml:space="preserve"> строительных материалов</w:t>
      </w:r>
      <w:r w:rsidRPr="00D26C44">
        <w:rPr>
          <w:rFonts w:ascii="Times New Roman" w:hAnsi="Times New Roman" w:cs="Times New Roman"/>
          <w:sz w:val="24"/>
          <w:szCs w:val="24"/>
        </w:rPr>
        <w:t>.</w:t>
      </w:r>
    </w:p>
    <w:p w14:paraId="5942532A" w14:textId="77777777" w:rsidR="00AD0F31" w:rsidRPr="000D3E53" w:rsidRDefault="00AD0F31" w:rsidP="00AD0F31">
      <w:pPr>
        <w:widowControl w:val="0"/>
        <w:spacing w:before="0" w:after="0" w:line="240" w:lineRule="auto"/>
        <w:ind w:firstLine="425"/>
        <w:jc w:val="both"/>
        <w:rPr>
          <w:rFonts w:ascii="Times New Roman" w:hAnsi="Times New Roman" w:cs="Times New Roman"/>
          <w:sz w:val="24"/>
          <w:szCs w:val="24"/>
        </w:rPr>
      </w:pPr>
      <w:r w:rsidRPr="000D3E53">
        <w:rPr>
          <w:rFonts w:ascii="Times New Roman" w:hAnsi="Times New Roman" w:cs="Times New Roman"/>
          <w:sz w:val="24"/>
          <w:szCs w:val="24"/>
        </w:rPr>
        <w:t>Наблюдаемая в первой половине года отрицательная величина добавленной стоимости в сельском хозяйстве по итогам года сложилась в объёме 1 043,3 млн руб. (7,1% совокупного ВВП против 8,2% в 2018 году), что на 8,9% ниже значения</w:t>
      </w:r>
      <w:r>
        <w:rPr>
          <w:rFonts w:ascii="Times New Roman" w:hAnsi="Times New Roman" w:cs="Times New Roman"/>
          <w:sz w:val="24"/>
          <w:szCs w:val="24"/>
        </w:rPr>
        <w:t xml:space="preserve"> 2018 года</w:t>
      </w:r>
      <w:r w:rsidRPr="000D3E53">
        <w:rPr>
          <w:rFonts w:ascii="Times New Roman" w:hAnsi="Times New Roman" w:cs="Times New Roman"/>
          <w:sz w:val="24"/>
          <w:szCs w:val="24"/>
        </w:rPr>
        <w:t xml:space="preserve">. </w:t>
      </w:r>
    </w:p>
    <w:p w14:paraId="607D4E7E" w14:textId="77777777" w:rsidR="00AD0F31" w:rsidRPr="000D3E53" w:rsidRDefault="00AD0F31" w:rsidP="00AD0F31">
      <w:pPr>
        <w:widowControl w:val="0"/>
        <w:spacing w:before="0" w:after="0" w:line="240" w:lineRule="auto"/>
        <w:ind w:firstLine="425"/>
        <w:jc w:val="both"/>
        <w:rPr>
          <w:rFonts w:ascii="Times New Roman" w:hAnsi="Times New Roman" w:cs="Times New Roman"/>
          <w:sz w:val="24"/>
          <w:szCs w:val="24"/>
        </w:rPr>
      </w:pPr>
      <w:r w:rsidRPr="000D3E53">
        <w:rPr>
          <w:rFonts w:ascii="Times New Roman" w:hAnsi="Times New Roman" w:cs="Times New Roman"/>
          <w:sz w:val="24"/>
          <w:szCs w:val="24"/>
        </w:rPr>
        <w:t xml:space="preserve">Строительный сектор демонстрировал расширение выпуска на 34,6%, в результате при несколько больших темпах увеличения промежуточного потребления (+35,7%) добавленная стоимость в сопоставимых ценах возросла на 33,6%, до 372,1 млн руб. </w:t>
      </w:r>
    </w:p>
    <w:p w14:paraId="4239289E" w14:textId="77777777" w:rsidR="00AD0F31" w:rsidRPr="000D3E53" w:rsidRDefault="00AD0F31" w:rsidP="00AD0F31">
      <w:pPr>
        <w:widowControl w:val="0"/>
        <w:spacing w:before="120" w:after="120" w:line="240" w:lineRule="auto"/>
        <w:jc w:val="right"/>
        <w:rPr>
          <w:rFonts w:ascii="Times New Roman" w:hAnsi="Times New Roman" w:cs="Times New Roman"/>
          <w:b/>
          <w:i/>
          <w:sz w:val="24"/>
          <w:szCs w:val="24"/>
        </w:rPr>
      </w:pPr>
      <w:r w:rsidRPr="000D3E53">
        <w:rPr>
          <w:rFonts w:ascii="Times New Roman" w:hAnsi="Times New Roman" w:cs="Times New Roman"/>
          <w:b/>
          <w:i/>
          <w:sz w:val="24"/>
          <w:szCs w:val="24"/>
        </w:rPr>
        <w:t>Таблица 1.1</w:t>
      </w:r>
    </w:p>
    <w:p w14:paraId="25D7FE02" w14:textId="77777777" w:rsidR="00AD0F31" w:rsidRPr="000D3E53" w:rsidRDefault="00AD0F31" w:rsidP="00AD0F31">
      <w:pPr>
        <w:widowControl w:val="0"/>
        <w:spacing w:before="0" w:after="120" w:line="240" w:lineRule="auto"/>
        <w:jc w:val="center"/>
        <w:rPr>
          <w:rFonts w:ascii="Times New Roman" w:hAnsi="Times New Roman" w:cs="Times New Roman"/>
          <w:b/>
          <w:i/>
          <w:sz w:val="24"/>
          <w:szCs w:val="24"/>
        </w:rPr>
      </w:pPr>
      <w:r w:rsidRPr="000D3E53">
        <w:rPr>
          <w:rFonts w:ascii="Times New Roman" w:hAnsi="Times New Roman" w:cs="Times New Roman"/>
          <w:b/>
          <w:i/>
          <w:sz w:val="24"/>
          <w:szCs w:val="24"/>
        </w:rPr>
        <w:t xml:space="preserve">Структура и динамика валового внутреннего продукта ПМР в 2018-2019 гг.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1195"/>
        <w:gridCol w:w="1003"/>
        <w:gridCol w:w="1208"/>
        <w:gridCol w:w="1078"/>
        <w:gridCol w:w="923"/>
      </w:tblGrid>
      <w:tr w:rsidR="00AD0F31" w:rsidRPr="000D3E53" w14:paraId="5C5A71AD" w14:textId="77777777" w:rsidTr="005F4E3E">
        <w:trPr>
          <w:cantSplit/>
          <w:trHeight w:val="51"/>
        </w:trPr>
        <w:tc>
          <w:tcPr>
            <w:tcW w:w="4224" w:type="dxa"/>
            <w:vMerge w:val="restart"/>
            <w:tcBorders>
              <w:bottom w:val="nil"/>
            </w:tcBorders>
            <w:shd w:val="clear" w:color="auto" w:fill="C0C0C0"/>
            <w:vAlign w:val="center"/>
          </w:tcPr>
          <w:p w14:paraId="6A384693" w14:textId="77777777" w:rsidR="00AD0F31" w:rsidRPr="000D3E53" w:rsidRDefault="00AD0F31" w:rsidP="005F4E3E">
            <w:pPr>
              <w:widowControl w:val="0"/>
              <w:spacing w:before="0" w:after="0" w:line="240" w:lineRule="auto"/>
              <w:rPr>
                <w:rFonts w:ascii="Times New Roman" w:hAnsi="Times New Roman" w:cs="Times New Roman"/>
                <w:snapToGrid w:val="0"/>
                <w:sz w:val="22"/>
                <w:szCs w:val="22"/>
              </w:rPr>
            </w:pPr>
          </w:p>
        </w:tc>
        <w:tc>
          <w:tcPr>
            <w:tcW w:w="2198" w:type="dxa"/>
            <w:gridSpan w:val="2"/>
            <w:tcBorders>
              <w:bottom w:val="single" w:sz="4" w:space="0" w:color="auto"/>
            </w:tcBorders>
            <w:shd w:val="clear" w:color="auto" w:fill="C0C0C0"/>
            <w:vAlign w:val="center"/>
          </w:tcPr>
          <w:p w14:paraId="0BF869EB" w14:textId="77777777" w:rsidR="00AD0F31" w:rsidRPr="000D3E53" w:rsidRDefault="00AD0F31" w:rsidP="005F4E3E">
            <w:pPr>
              <w:widowControl w:val="0"/>
              <w:spacing w:before="0" w:after="0" w:line="240" w:lineRule="auto"/>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2018 год</w:t>
            </w:r>
          </w:p>
        </w:tc>
        <w:tc>
          <w:tcPr>
            <w:tcW w:w="2286" w:type="dxa"/>
            <w:gridSpan w:val="2"/>
            <w:tcBorders>
              <w:bottom w:val="single" w:sz="4" w:space="0" w:color="auto"/>
            </w:tcBorders>
            <w:shd w:val="clear" w:color="auto" w:fill="C0C0C0"/>
            <w:vAlign w:val="center"/>
          </w:tcPr>
          <w:p w14:paraId="54042128" w14:textId="77777777" w:rsidR="00AD0F31" w:rsidRPr="000D3E53" w:rsidRDefault="00AD0F31" w:rsidP="005F4E3E">
            <w:pPr>
              <w:widowControl w:val="0"/>
              <w:spacing w:before="0" w:after="0" w:line="240" w:lineRule="auto"/>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2019 год</w:t>
            </w:r>
          </w:p>
        </w:tc>
        <w:tc>
          <w:tcPr>
            <w:tcW w:w="923" w:type="dxa"/>
            <w:vMerge w:val="restart"/>
            <w:tcBorders>
              <w:bottom w:val="nil"/>
            </w:tcBorders>
            <w:shd w:val="clear" w:color="auto" w:fill="C0C0C0"/>
            <w:vAlign w:val="center"/>
          </w:tcPr>
          <w:p w14:paraId="3D78CBA1" w14:textId="77777777" w:rsidR="00AD0F31" w:rsidRPr="000D3E53" w:rsidRDefault="00AD0F31" w:rsidP="005F4E3E">
            <w:pPr>
              <w:widowControl w:val="0"/>
              <w:spacing w:before="0" w:after="0" w:line="240" w:lineRule="auto"/>
              <w:ind w:left="-104"/>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темп</w:t>
            </w:r>
          </w:p>
          <w:p w14:paraId="5E28BFFF" w14:textId="77777777" w:rsidR="00AD0F31" w:rsidRPr="000D3E53" w:rsidRDefault="00AD0F31" w:rsidP="005F4E3E">
            <w:pPr>
              <w:widowControl w:val="0"/>
              <w:spacing w:before="0" w:after="0" w:line="240" w:lineRule="auto"/>
              <w:ind w:left="-104" w:right="-108"/>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роста</w:t>
            </w:r>
            <w:r w:rsidRPr="000D3E53">
              <w:rPr>
                <w:rStyle w:val="ae"/>
                <w:rFonts w:ascii="Times New Roman" w:hAnsi="Times New Roman"/>
                <w:snapToGrid w:val="0"/>
                <w:sz w:val="22"/>
                <w:szCs w:val="22"/>
              </w:rPr>
              <w:footnoteReference w:id="3"/>
            </w:r>
            <w:r w:rsidRPr="000D3E53">
              <w:rPr>
                <w:rFonts w:ascii="Times New Roman" w:hAnsi="Times New Roman" w:cs="Times New Roman"/>
                <w:snapToGrid w:val="0"/>
                <w:sz w:val="22"/>
                <w:szCs w:val="22"/>
              </w:rPr>
              <w:t>, %</w:t>
            </w:r>
          </w:p>
        </w:tc>
      </w:tr>
      <w:tr w:rsidR="00AD0F31" w:rsidRPr="000D3E53" w14:paraId="14861656" w14:textId="77777777" w:rsidTr="005F4E3E">
        <w:trPr>
          <w:cantSplit/>
          <w:trHeight w:val="176"/>
        </w:trPr>
        <w:tc>
          <w:tcPr>
            <w:tcW w:w="4224" w:type="dxa"/>
            <w:vMerge/>
            <w:tcBorders>
              <w:bottom w:val="double" w:sz="4" w:space="0" w:color="auto"/>
            </w:tcBorders>
            <w:vAlign w:val="center"/>
          </w:tcPr>
          <w:p w14:paraId="14C7E419" w14:textId="77777777" w:rsidR="00AD0F31" w:rsidRPr="000D3E53" w:rsidRDefault="00AD0F31" w:rsidP="005F4E3E">
            <w:pPr>
              <w:widowControl w:val="0"/>
              <w:spacing w:before="0" w:after="0" w:line="240" w:lineRule="auto"/>
              <w:rPr>
                <w:rFonts w:ascii="Times New Roman" w:hAnsi="Times New Roman" w:cs="Times New Roman"/>
                <w:snapToGrid w:val="0"/>
                <w:sz w:val="22"/>
                <w:szCs w:val="22"/>
              </w:rPr>
            </w:pPr>
          </w:p>
        </w:tc>
        <w:tc>
          <w:tcPr>
            <w:tcW w:w="1195" w:type="dxa"/>
            <w:tcBorders>
              <w:bottom w:val="double" w:sz="4" w:space="0" w:color="auto"/>
            </w:tcBorders>
            <w:shd w:val="clear" w:color="auto" w:fill="C0C0C0"/>
            <w:vAlign w:val="center"/>
          </w:tcPr>
          <w:p w14:paraId="53865C49" w14:textId="77777777" w:rsidR="00AD0F31" w:rsidRPr="000D3E53" w:rsidRDefault="00AD0F31" w:rsidP="005F4E3E">
            <w:pPr>
              <w:widowControl w:val="0"/>
              <w:spacing w:before="0" w:after="0" w:line="240" w:lineRule="auto"/>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млн руб.</w:t>
            </w:r>
          </w:p>
        </w:tc>
        <w:tc>
          <w:tcPr>
            <w:tcW w:w="1003" w:type="dxa"/>
            <w:tcBorders>
              <w:bottom w:val="double" w:sz="4" w:space="0" w:color="auto"/>
            </w:tcBorders>
            <w:shd w:val="clear" w:color="auto" w:fill="C0C0C0"/>
            <w:vAlign w:val="center"/>
          </w:tcPr>
          <w:p w14:paraId="648F481D" w14:textId="77777777" w:rsidR="00AD0F31" w:rsidRPr="000D3E53" w:rsidRDefault="00AD0F31" w:rsidP="005F4E3E">
            <w:pPr>
              <w:widowControl w:val="0"/>
              <w:spacing w:before="0" w:after="0" w:line="240" w:lineRule="auto"/>
              <w:ind w:left="-105" w:right="-113"/>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уд. вес, %</w:t>
            </w:r>
          </w:p>
        </w:tc>
        <w:tc>
          <w:tcPr>
            <w:tcW w:w="1208" w:type="dxa"/>
            <w:tcBorders>
              <w:bottom w:val="double" w:sz="4" w:space="0" w:color="auto"/>
            </w:tcBorders>
            <w:shd w:val="clear" w:color="auto" w:fill="C0C0C0"/>
            <w:vAlign w:val="center"/>
          </w:tcPr>
          <w:p w14:paraId="67CE7A71" w14:textId="77777777" w:rsidR="00AD0F31" w:rsidRPr="000D3E53" w:rsidRDefault="00AD0F31" w:rsidP="005F4E3E">
            <w:pPr>
              <w:widowControl w:val="0"/>
              <w:spacing w:before="0" w:after="0" w:line="240" w:lineRule="auto"/>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млн руб.</w:t>
            </w:r>
          </w:p>
        </w:tc>
        <w:tc>
          <w:tcPr>
            <w:tcW w:w="1078" w:type="dxa"/>
            <w:tcBorders>
              <w:bottom w:val="double" w:sz="4" w:space="0" w:color="auto"/>
            </w:tcBorders>
            <w:shd w:val="clear" w:color="auto" w:fill="C0C0C0"/>
            <w:vAlign w:val="center"/>
          </w:tcPr>
          <w:p w14:paraId="773C2F31" w14:textId="77777777" w:rsidR="00AD0F31" w:rsidRPr="000D3E53" w:rsidRDefault="00AD0F31" w:rsidP="005F4E3E">
            <w:pPr>
              <w:widowControl w:val="0"/>
              <w:spacing w:before="0" w:after="0" w:line="240" w:lineRule="auto"/>
              <w:ind w:left="-105" w:right="-113"/>
              <w:jc w:val="center"/>
              <w:rPr>
                <w:rFonts w:ascii="Times New Roman" w:hAnsi="Times New Roman" w:cs="Times New Roman"/>
                <w:snapToGrid w:val="0"/>
                <w:sz w:val="22"/>
                <w:szCs w:val="22"/>
              </w:rPr>
            </w:pPr>
            <w:r w:rsidRPr="000D3E53">
              <w:rPr>
                <w:rFonts w:ascii="Times New Roman" w:hAnsi="Times New Roman" w:cs="Times New Roman"/>
                <w:snapToGrid w:val="0"/>
                <w:sz w:val="22"/>
                <w:szCs w:val="22"/>
              </w:rPr>
              <w:t>уд. вес, %</w:t>
            </w:r>
          </w:p>
        </w:tc>
        <w:tc>
          <w:tcPr>
            <w:tcW w:w="923" w:type="dxa"/>
            <w:vMerge/>
            <w:tcBorders>
              <w:bottom w:val="double" w:sz="4" w:space="0" w:color="auto"/>
            </w:tcBorders>
          </w:tcPr>
          <w:p w14:paraId="5AEB6B74" w14:textId="77777777" w:rsidR="00AD0F31" w:rsidRPr="000D3E53" w:rsidRDefault="00AD0F31" w:rsidP="005F4E3E">
            <w:pPr>
              <w:widowControl w:val="0"/>
              <w:spacing w:before="0" w:after="0" w:line="240" w:lineRule="auto"/>
              <w:jc w:val="center"/>
              <w:rPr>
                <w:rFonts w:ascii="Times New Roman" w:hAnsi="Times New Roman" w:cs="Times New Roman"/>
                <w:snapToGrid w:val="0"/>
                <w:sz w:val="22"/>
                <w:szCs w:val="22"/>
              </w:rPr>
            </w:pPr>
          </w:p>
        </w:tc>
      </w:tr>
      <w:tr w:rsidR="00AD0F31" w:rsidRPr="000D3E53" w14:paraId="7498CF21" w14:textId="77777777" w:rsidTr="005F4E3E">
        <w:trPr>
          <w:trHeight w:val="131"/>
        </w:trPr>
        <w:tc>
          <w:tcPr>
            <w:tcW w:w="4224" w:type="dxa"/>
            <w:tcBorders>
              <w:top w:val="double" w:sz="4" w:space="0" w:color="auto"/>
              <w:bottom w:val="single" w:sz="4" w:space="0" w:color="auto"/>
            </w:tcBorders>
            <w:shd w:val="clear" w:color="auto" w:fill="E0E0E0"/>
            <w:vAlign w:val="bottom"/>
          </w:tcPr>
          <w:p w14:paraId="7713A8DF" w14:textId="77777777" w:rsidR="00AD0F31" w:rsidRPr="000D3E53" w:rsidRDefault="00AD0F31" w:rsidP="005F4E3E">
            <w:pPr>
              <w:widowControl w:val="0"/>
              <w:spacing w:before="0" w:after="0" w:line="240" w:lineRule="auto"/>
              <w:rPr>
                <w:rFonts w:ascii="Times New Roman" w:hAnsi="Times New Roman" w:cs="Times New Roman"/>
                <w:sz w:val="22"/>
                <w:szCs w:val="22"/>
              </w:rPr>
            </w:pPr>
            <w:r w:rsidRPr="000D3E53">
              <w:rPr>
                <w:rFonts w:ascii="Times New Roman" w:hAnsi="Times New Roman" w:cs="Times New Roman"/>
                <w:sz w:val="22"/>
                <w:szCs w:val="22"/>
              </w:rPr>
              <w:t xml:space="preserve">ВВП </w:t>
            </w:r>
          </w:p>
        </w:tc>
        <w:tc>
          <w:tcPr>
            <w:tcW w:w="1195" w:type="dxa"/>
            <w:tcBorders>
              <w:top w:val="double" w:sz="4" w:space="0" w:color="auto"/>
              <w:bottom w:val="single" w:sz="4" w:space="0" w:color="auto"/>
            </w:tcBorders>
            <w:shd w:val="clear" w:color="auto" w:fill="E0E0E0"/>
            <w:vAlign w:val="bottom"/>
          </w:tcPr>
          <w:p w14:paraId="484265BA"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13 746,6</w:t>
            </w:r>
          </w:p>
        </w:tc>
        <w:tc>
          <w:tcPr>
            <w:tcW w:w="1003" w:type="dxa"/>
            <w:tcBorders>
              <w:top w:val="double" w:sz="4" w:space="0" w:color="auto"/>
              <w:bottom w:val="single" w:sz="4" w:space="0" w:color="auto"/>
            </w:tcBorders>
            <w:shd w:val="clear" w:color="auto" w:fill="E0E0E0"/>
            <w:vAlign w:val="bottom"/>
          </w:tcPr>
          <w:p w14:paraId="36456E02"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sidRPr="000D3E53">
              <w:rPr>
                <w:rFonts w:ascii="Times New Roman" w:hAnsi="Times New Roman" w:cs="Times New Roman"/>
                <w:snapToGrid w:val="0"/>
                <w:sz w:val="22"/>
                <w:szCs w:val="22"/>
              </w:rPr>
              <w:t>100,0</w:t>
            </w:r>
          </w:p>
        </w:tc>
        <w:tc>
          <w:tcPr>
            <w:tcW w:w="1208" w:type="dxa"/>
            <w:tcBorders>
              <w:top w:val="double" w:sz="4" w:space="0" w:color="auto"/>
              <w:bottom w:val="single" w:sz="4" w:space="0" w:color="auto"/>
            </w:tcBorders>
            <w:shd w:val="clear" w:color="auto" w:fill="E0E0E0"/>
            <w:vAlign w:val="bottom"/>
          </w:tcPr>
          <w:p w14:paraId="209A099C"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14 635,3</w:t>
            </w:r>
          </w:p>
        </w:tc>
        <w:tc>
          <w:tcPr>
            <w:tcW w:w="1078" w:type="dxa"/>
            <w:tcBorders>
              <w:top w:val="double" w:sz="4" w:space="0" w:color="auto"/>
              <w:bottom w:val="single" w:sz="4" w:space="0" w:color="auto"/>
            </w:tcBorders>
            <w:shd w:val="clear" w:color="auto" w:fill="E0E0E0"/>
            <w:vAlign w:val="bottom"/>
          </w:tcPr>
          <w:p w14:paraId="506F7911"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sidRPr="000D3E53">
              <w:rPr>
                <w:rFonts w:ascii="Times New Roman" w:hAnsi="Times New Roman" w:cs="Times New Roman"/>
                <w:snapToGrid w:val="0"/>
                <w:sz w:val="22"/>
                <w:szCs w:val="22"/>
              </w:rPr>
              <w:t>100,0</w:t>
            </w:r>
          </w:p>
        </w:tc>
        <w:tc>
          <w:tcPr>
            <w:tcW w:w="923" w:type="dxa"/>
            <w:tcBorders>
              <w:top w:val="double" w:sz="4" w:space="0" w:color="auto"/>
              <w:bottom w:val="single" w:sz="4" w:space="0" w:color="auto"/>
            </w:tcBorders>
            <w:shd w:val="clear" w:color="auto" w:fill="E0E0E0"/>
            <w:vAlign w:val="bottom"/>
          </w:tcPr>
          <w:p w14:paraId="5F846162"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102,0</w:t>
            </w:r>
          </w:p>
        </w:tc>
      </w:tr>
      <w:tr w:rsidR="00AD0F31" w:rsidRPr="000D3E53" w14:paraId="751C3491" w14:textId="77777777" w:rsidTr="005F4E3E">
        <w:tc>
          <w:tcPr>
            <w:tcW w:w="4224" w:type="dxa"/>
            <w:tcBorders>
              <w:top w:val="single" w:sz="4" w:space="0" w:color="auto"/>
              <w:bottom w:val="single" w:sz="4" w:space="0" w:color="auto"/>
            </w:tcBorders>
            <w:vAlign w:val="bottom"/>
          </w:tcPr>
          <w:p w14:paraId="254F1FB9" w14:textId="77777777" w:rsidR="00AD0F31" w:rsidRPr="000D3E53" w:rsidRDefault="00AD0F31" w:rsidP="005F4E3E">
            <w:pPr>
              <w:widowControl w:val="0"/>
              <w:spacing w:before="0" w:after="0" w:line="240" w:lineRule="auto"/>
              <w:ind w:left="176"/>
              <w:rPr>
                <w:rFonts w:ascii="Times New Roman" w:hAnsi="Times New Roman" w:cs="Times New Roman"/>
                <w:snapToGrid w:val="0"/>
                <w:sz w:val="22"/>
                <w:szCs w:val="22"/>
              </w:rPr>
            </w:pPr>
            <w:r w:rsidRPr="000D3E53">
              <w:rPr>
                <w:rFonts w:ascii="Times New Roman" w:hAnsi="Times New Roman" w:cs="Times New Roman"/>
                <w:snapToGrid w:val="0"/>
                <w:sz w:val="22"/>
                <w:szCs w:val="22"/>
              </w:rPr>
              <w:t>в том числе:</w:t>
            </w:r>
          </w:p>
        </w:tc>
        <w:tc>
          <w:tcPr>
            <w:tcW w:w="1195" w:type="dxa"/>
            <w:tcBorders>
              <w:top w:val="single" w:sz="4" w:space="0" w:color="auto"/>
              <w:bottom w:val="single" w:sz="4" w:space="0" w:color="auto"/>
            </w:tcBorders>
            <w:vAlign w:val="bottom"/>
          </w:tcPr>
          <w:p w14:paraId="6780C410"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p>
        </w:tc>
        <w:tc>
          <w:tcPr>
            <w:tcW w:w="1003" w:type="dxa"/>
            <w:tcBorders>
              <w:top w:val="single" w:sz="4" w:space="0" w:color="auto"/>
              <w:bottom w:val="single" w:sz="4" w:space="0" w:color="auto"/>
            </w:tcBorders>
            <w:vAlign w:val="bottom"/>
          </w:tcPr>
          <w:p w14:paraId="51EE7B12"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p>
        </w:tc>
        <w:tc>
          <w:tcPr>
            <w:tcW w:w="1208" w:type="dxa"/>
            <w:tcBorders>
              <w:top w:val="single" w:sz="4" w:space="0" w:color="auto"/>
              <w:bottom w:val="single" w:sz="4" w:space="0" w:color="auto"/>
            </w:tcBorders>
            <w:vAlign w:val="bottom"/>
          </w:tcPr>
          <w:p w14:paraId="44F43289"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p>
        </w:tc>
        <w:tc>
          <w:tcPr>
            <w:tcW w:w="1078" w:type="dxa"/>
            <w:tcBorders>
              <w:top w:val="single" w:sz="4" w:space="0" w:color="auto"/>
              <w:bottom w:val="single" w:sz="4" w:space="0" w:color="auto"/>
            </w:tcBorders>
            <w:vAlign w:val="bottom"/>
          </w:tcPr>
          <w:p w14:paraId="6743992B"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p>
        </w:tc>
        <w:tc>
          <w:tcPr>
            <w:tcW w:w="923" w:type="dxa"/>
            <w:tcBorders>
              <w:top w:val="single" w:sz="4" w:space="0" w:color="auto"/>
              <w:bottom w:val="single" w:sz="4" w:space="0" w:color="auto"/>
            </w:tcBorders>
            <w:vAlign w:val="bottom"/>
          </w:tcPr>
          <w:p w14:paraId="2757F9F0"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p>
        </w:tc>
      </w:tr>
      <w:tr w:rsidR="00AD0F31" w:rsidRPr="000D3E53" w14:paraId="4885B48B" w14:textId="77777777" w:rsidTr="005F4E3E">
        <w:tc>
          <w:tcPr>
            <w:tcW w:w="4224" w:type="dxa"/>
            <w:tcBorders>
              <w:top w:val="single" w:sz="4" w:space="0" w:color="auto"/>
              <w:bottom w:val="single" w:sz="4" w:space="0" w:color="auto"/>
            </w:tcBorders>
            <w:vAlign w:val="bottom"/>
          </w:tcPr>
          <w:p w14:paraId="56198A59" w14:textId="77777777" w:rsidR="00AD0F31" w:rsidRPr="000D3E53" w:rsidRDefault="00AD0F31" w:rsidP="005F4E3E">
            <w:pPr>
              <w:widowControl w:val="0"/>
              <w:spacing w:before="0" w:after="0" w:line="240" w:lineRule="auto"/>
              <w:ind w:left="176"/>
              <w:rPr>
                <w:rFonts w:ascii="Times New Roman" w:hAnsi="Times New Roman" w:cs="Times New Roman"/>
                <w:snapToGrid w:val="0"/>
                <w:sz w:val="22"/>
                <w:szCs w:val="22"/>
              </w:rPr>
            </w:pPr>
            <w:r w:rsidRPr="000D3E53">
              <w:rPr>
                <w:rFonts w:ascii="Times New Roman" w:hAnsi="Times New Roman" w:cs="Times New Roman"/>
                <w:snapToGrid w:val="0"/>
                <w:sz w:val="22"/>
                <w:szCs w:val="22"/>
              </w:rPr>
              <w:t>- производство товаров</w:t>
            </w:r>
          </w:p>
        </w:tc>
        <w:tc>
          <w:tcPr>
            <w:tcW w:w="1195" w:type="dxa"/>
            <w:tcBorders>
              <w:top w:val="single" w:sz="4" w:space="0" w:color="auto"/>
              <w:bottom w:val="single" w:sz="4" w:space="0" w:color="auto"/>
            </w:tcBorders>
            <w:vAlign w:val="bottom"/>
          </w:tcPr>
          <w:p w14:paraId="2CDD52EC"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5 791,4</w:t>
            </w:r>
          </w:p>
        </w:tc>
        <w:tc>
          <w:tcPr>
            <w:tcW w:w="1003" w:type="dxa"/>
            <w:tcBorders>
              <w:top w:val="single" w:sz="4" w:space="0" w:color="auto"/>
              <w:bottom w:val="single" w:sz="4" w:space="0" w:color="auto"/>
            </w:tcBorders>
            <w:vAlign w:val="bottom"/>
          </w:tcPr>
          <w:p w14:paraId="41C2F25D"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42,1</w:t>
            </w:r>
          </w:p>
        </w:tc>
        <w:tc>
          <w:tcPr>
            <w:tcW w:w="1208" w:type="dxa"/>
            <w:tcBorders>
              <w:top w:val="single" w:sz="4" w:space="0" w:color="auto"/>
              <w:bottom w:val="single" w:sz="4" w:space="0" w:color="auto"/>
            </w:tcBorders>
            <w:vAlign w:val="bottom"/>
          </w:tcPr>
          <w:p w14:paraId="6ED8B053"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5 831,1</w:t>
            </w:r>
          </w:p>
        </w:tc>
        <w:tc>
          <w:tcPr>
            <w:tcW w:w="1078" w:type="dxa"/>
            <w:tcBorders>
              <w:top w:val="single" w:sz="4" w:space="0" w:color="auto"/>
              <w:bottom w:val="single" w:sz="4" w:space="0" w:color="auto"/>
            </w:tcBorders>
            <w:vAlign w:val="bottom"/>
          </w:tcPr>
          <w:p w14:paraId="09F1587E"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39,8</w:t>
            </w:r>
          </w:p>
        </w:tc>
        <w:tc>
          <w:tcPr>
            <w:tcW w:w="923" w:type="dxa"/>
            <w:tcBorders>
              <w:top w:val="single" w:sz="4" w:space="0" w:color="auto"/>
              <w:bottom w:val="single" w:sz="4" w:space="0" w:color="auto"/>
            </w:tcBorders>
            <w:vAlign w:val="bottom"/>
          </w:tcPr>
          <w:p w14:paraId="0ADC8277"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96,7</w:t>
            </w:r>
          </w:p>
        </w:tc>
      </w:tr>
      <w:tr w:rsidR="00AD0F31" w:rsidRPr="000D3E53" w14:paraId="043E66BC" w14:textId="77777777" w:rsidTr="005F4E3E">
        <w:tc>
          <w:tcPr>
            <w:tcW w:w="4224" w:type="dxa"/>
            <w:tcBorders>
              <w:top w:val="single" w:sz="4" w:space="0" w:color="auto"/>
              <w:bottom w:val="single" w:sz="4" w:space="0" w:color="auto"/>
            </w:tcBorders>
            <w:vAlign w:val="bottom"/>
          </w:tcPr>
          <w:p w14:paraId="4C6C23DE" w14:textId="77777777" w:rsidR="00AD0F31" w:rsidRPr="000D3E53" w:rsidRDefault="00AD0F31" w:rsidP="005F4E3E">
            <w:pPr>
              <w:widowControl w:val="0"/>
              <w:spacing w:before="0" w:after="0" w:line="240" w:lineRule="auto"/>
              <w:ind w:left="176"/>
              <w:rPr>
                <w:rFonts w:ascii="Times New Roman" w:hAnsi="Times New Roman" w:cs="Times New Roman"/>
                <w:snapToGrid w:val="0"/>
                <w:sz w:val="22"/>
                <w:szCs w:val="22"/>
              </w:rPr>
            </w:pPr>
            <w:r w:rsidRPr="000D3E53">
              <w:rPr>
                <w:rFonts w:ascii="Times New Roman" w:hAnsi="Times New Roman" w:cs="Times New Roman"/>
                <w:snapToGrid w:val="0"/>
                <w:sz w:val="22"/>
                <w:szCs w:val="22"/>
              </w:rPr>
              <w:t>- производство рыночных услуг</w:t>
            </w:r>
          </w:p>
        </w:tc>
        <w:tc>
          <w:tcPr>
            <w:tcW w:w="1195" w:type="dxa"/>
            <w:tcBorders>
              <w:top w:val="single" w:sz="4" w:space="0" w:color="auto"/>
              <w:bottom w:val="single" w:sz="4" w:space="0" w:color="auto"/>
            </w:tcBorders>
            <w:vAlign w:val="bottom"/>
          </w:tcPr>
          <w:p w14:paraId="6BA8E0A6" w14:textId="77777777" w:rsidR="00AD0F31" w:rsidRPr="000D3E53" w:rsidRDefault="00AD0F31" w:rsidP="005F4E3E">
            <w:pPr>
              <w:widowControl w:val="0"/>
              <w:tabs>
                <w:tab w:val="left" w:pos="774"/>
              </w:tabs>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4 246,4</w:t>
            </w:r>
          </w:p>
        </w:tc>
        <w:tc>
          <w:tcPr>
            <w:tcW w:w="1003" w:type="dxa"/>
            <w:tcBorders>
              <w:top w:val="single" w:sz="4" w:space="0" w:color="auto"/>
              <w:bottom w:val="single" w:sz="4" w:space="0" w:color="auto"/>
            </w:tcBorders>
            <w:vAlign w:val="bottom"/>
          </w:tcPr>
          <w:p w14:paraId="48BF3AD0" w14:textId="77777777" w:rsidR="00AD0F31" w:rsidRPr="000D3E53" w:rsidRDefault="00AD0F31" w:rsidP="005F4E3E">
            <w:pPr>
              <w:widowControl w:val="0"/>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30,9</w:t>
            </w:r>
          </w:p>
        </w:tc>
        <w:tc>
          <w:tcPr>
            <w:tcW w:w="1208" w:type="dxa"/>
            <w:tcBorders>
              <w:top w:val="single" w:sz="4" w:space="0" w:color="auto"/>
              <w:bottom w:val="single" w:sz="4" w:space="0" w:color="auto"/>
            </w:tcBorders>
            <w:vAlign w:val="bottom"/>
          </w:tcPr>
          <w:p w14:paraId="6B4016CD" w14:textId="77777777" w:rsidR="00AD0F31" w:rsidRPr="000D3E53" w:rsidRDefault="00AD0F31" w:rsidP="005F4E3E">
            <w:pPr>
              <w:widowControl w:val="0"/>
              <w:tabs>
                <w:tab w:val="left" w:pos="774"/>
              </w:tabs>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4 686,8</w:t>
            </w:r>
          </w:p>
        </w:tc>
        <w:tc>
          <w:tcPr>
            <w:tcW w:w="1078" w:type="dxa"/>
            <w:tcBorders>
              <w:top w:val="single" w:sz="4" w:space="0" w:color="auto"/>
              <w:bottom w:val="single" w:sz="4" w:space="0" w:color="auto"/>
            </w:tcBorders>
            <w:vAlign w:val="bottom"/>
          </w:tcPr>
          <w:p w14:paraId="14B79D21" w14:textId="77777777" w:rsidR="00AD0F31" w:rsidRPr="000D3E53" w:rsidRDefault="00AD0F31" w:rsidP="005F4E3E">
            <w:pPr>
              <w:widowControl w:val="0"/>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32,0</w:t>
            </w:r>
          </w:p>
        </w:tc>
        <w:tc>
          <w:tcPr>
            <w:tcW w:w="923" w:type="dxa"/>
            <w:tcBorders>
              <w:top w:val="single" w:sz="4" w:space="0" w:color="auto"/>
              <w:bottom w:val="single" w:sz="4" w:space="0" w:color="auto"/>
            </w:tcBorders>
            <w:vAlign w:val="bottom"/>
          </w:tcPr>
          <w:p w14:paraId="6313A8C5" w14:textId="77777777" w:rsidR="00AD0F31" w:rsidRPr="000D3E53" w:rsidRDefault="00AD0F31" w:rsidP="005F4E3E">
            <w:pPr>
              <w:widowControl w:val="0"/>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105,8</w:t>
            </w:r>
          </w:p>
        </w:tc>
      </w:tr>
      <w:tr w:rsidR="00AD0F31" w:rsidRPr="000D3E53" w14:paraId="2D6AACA1" w14:textId="77777777" w:rsidTr="005F4E3E">
        <w:tc>
          <w:tcPr>
            <w:tcW w:w="4224" w:type="dxa"/>
            <w:tcBorders>
              <w:top w:val="single" w:sz="4" w:space="0" w:color="auto"/>
              <w:bottom w:val="single" w:sz="4" w:space="0" w:color="auto"/>
            </w:tcBorders>
            <w:vAlign w:val="bottom"/>
          </w:tcPr>
          <w:p w14:paraId="68F7F39D" w14:textId="77777777" w:rsidR="00AD0F31" w:rsidRPr="000D3E53" w:rsidRDefault="00AD0F31" w:rsidP="005F4E3E">
            <w:pPr>
              <w:widowControl w:val="0"/>
              <w:spacing w:before="0" w:after="0" w:line="240" w:lineRule="auto"/>
              <w:ind w:left="176"/>
              <w:rPr>
                <w:rFonts w:ascii="Times New Roman" w:hAnsi="Times New Roman" w:cs="Times New Roman"/>
                <w:snapToGrid w:val="0"/>
                <w:sz w:val="22"/>
                <w:szCs w:val="22"/>
              </w:rPr>
            </w:pPr>
            <w:r w:rsidRPr="000D3E53">
              <w:rPr>
                <w:rFonts w:ascii="Times New Roman" w:hAnsi="Times New Roman" w:cs="Times New Roman"/>
                <w:snapToGrid w:val="0"/>
                <w:sz w:val="22"/>
                <w:szCs w:val="22"/>
              </w:rPr>
              <w:t>- производство нерыночных услуг</w:t>
            </w:r>
          </w:p>
        </w:tc>
        <w:tc>
          <w:tcPr>
            <w:tcW w:w="1195" w:type="dxa"/>
            <w:tcBorders>
              <w:top w:val="single" w:sz="4" w:space="0" w:color="auto"/>
              <w:bottom w:val="single" w:sz="4" w:space="0" w:color="auto"/>
            </w:tcBorders>
            <w:vAlign w:val="bottom"/>
          </w:tcPr>
          <w:p w14:paraId="0B49CC85" w14:textId="77777777" w:rsidR="00AD0F31" w:rsidRPr="000D3E53" w:rsidRDefault="00AD0F31" w:rsidP="005F4E3E">
            <w:pPr>
              <w:widowControl w:val="0"/>
              <w:tabs>
                <w:tab w:val="left" w:pos="774"/>
              </w:tabs>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3 291,7</w:t>
            </w:r>
          </w:p>
        </w:tc>
        <w:tc>
          <w:tcPr>
            <w:tcW w:w="1003" w:type="dxa"/>
            <w:tcBorders>
              <w:top w:val="single" w:sz="4" w:space="0" w:color="auto"/>
              <w:bottom w:val="single" w:sz="4" w:space="0" w:color="auto"/>
            </w:tcBorders>
            <w:vAlign w:val="bottom"/>
          </w:tcPr>
          <w:p w14:paraId="2937AECF" w14:textId="77777777" w:rsidR="00AD0F31" w:rsidRPr="000D3E53" w:rsidRDefault="00AD0F31" w:rsidP="005F4E3E">
            <w:pPr>
              <w:widowControl w:val="0"/>
              <w:tabs>
                <w:tab w:val="left" w:pos="774"/>
              </w:tabs>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23,9</w:t>
            </w:r>
          </w:p>
        </w:tc>
        <w:tc>
          <w:tcPr>
            <w:tcW w:w="1208" w:type="dxa"/>
            <w:tcBorders>
              <w:top w:val="single" w:sz="4" w:space="0" w:color="auto"/>
              <w:bottom w:val="single" w:sz="4" w:space="0" w:color="auto"/>
            </w:tcBorders>
            <w:vAlign w:val="bottom"/>
          </w:tcPr>
          <w:p w14:paraId="583A0048" w14:textId="77777777" w:rsidR="00AD0F31" w:rsidRPr="000D3E53" w:rsidRDefault="00AD0F31" w:rsidP="005F4E3E">
            <w:pPr>
              <w:widowControl w:val="0"/>
              <w:tabs>
                <w:tab w:val="left" w:pos="774"/>
              </w:tabs>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3 803,3</w:t>
            </w:r>
          </w:p>
        </w:tc>
        <w:tc>
          <w:tcPr>
            <w:tcW w:w="1078" w:type="dxa"/>
            <w:tcBorders>
              <w:top w:val="single" w:sz="4" w:space="0" w:color="auto"/>
              <w:bottom w:val="single" w:sz="4" w:space="0" w:color="auto"/>
            </w:tcBorders>
            <w:vAlign w:val="bottom"/>
          </w:tcPr>
          <w:p w14:paraId="4429B621" w14:textId="77777777" w:rsidR="00AD0F31" w:rsidRPr="000D3E53" w:rsidRDefault="00AD0F31" w:rsidP="005F4E3E">
            <w:pPr>
              <w:widowControl w:val="0"/>
              <w:tabs>
                <w:tab w:val="left" w:pos="774"/>
              </w:tabs>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26,0</w:t>
            </w:r>
          </w:p>
        </w:tc>
        <w:tc>
          <w:tcPr>
            <w:tcW w:w="923" w:type="dxa"/>
            <w:tcBorders>
              <w:top w:val="single" w:sz="4" w:space="0" w:color="auto"/>
              <w:bottom w:val="single" w:sz="4" w:space="0" w:color="auto"/>
            </w:tcBorders>
            <w:vAlign w:val="bottom"/>
          </w:tcPr>
          <w:p w14:paraId="0F3CE004" w14:textId="77777777" w:rsidR="00AD0F31" w:rsidRPr="000D3E53" w:rsidRDefault="00AD0F31" w:rsidP="005F4E3E">
            <w:pPr>
              <w:widowControl w:val="0"/>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110,0</w:t>
            </w:r>
          </w:p>
        </w:tc>
      </w:tr>
      <w:tr w:rsidR="00AD0F31" w:rsidRPr="000D3E53" w14:paraId="6E6FF29A" w14:textId="77777777" w:rsidTr="005F4E3E">
        <w:trPr>
          <w:trHeight w:val="71"/>
        </w:trPr>
        <w:tc>
          <w:tcPr>
            <w:tcW w:w="4224" w:type="dxa"/>
            <w:tcBorders>
              <w:top w:val="single" w:sz="4" w:space="0" w:color="auto"/>
            </w:tcBorders>
            <w:vAlign w:val="bottom"/>
          </w:tcPr>
          <w:p w14:paraId="706D78A6" w14:textId="77777777" w:rsidR="00AD0F31" w:rsidRPr="000D3E53" w:rsidRDefault="00AD0F31" w:rsidP="005F4E3E">
            <w:pPr>
              <w:widowControl w:val="0"/>
              <w:spacing w:before="0" w:after="0" w:line="240" w:lineRule="auto"/>
              <w:ind w:left="176" w:right="-156"/>
              <w:rPr>
                <w:rFonts w:ascii="Times New Roman" w:hAnsi="Times New Roman" w:cs="Times New Roman"/>
                <w:snapToGrid w:val="0"/>
                <w:sz w:val="22"/>
                <w:szCs w:val="22"/>
              </w:rPr>
            </w:pPr>
            <w:r w:rsidRPr="000D3E53">
              <w:rPr>
                <w:rFonts w:ascii="Times New Roman" w:hAnsi="Times New Roman" w:cs="Times New Roman"/>
                <w:snapToGrid w:val="0"/>
                <w:sz w:val="22"/>
                <w:szCs w:val="22"/>
              </w:rPr>
              <w:t>- чистые налоги на продукты и импорт</w:t>
            </w:r>
          </w:p>
        </w:tc>
        <w:tc>
          <w:tcPr>
            <w:tcW w:w="1195" w:type="dxa"/>
            <w:tcBorders>
              <w:top w:val="single" w:sz="4" w:space="0" w:color="auto"/>
            </w:tcBorders>
            <w:vAlign w:val="bottom"/>
          </w:tcPr>
          <w:p w14:paraId="32BA622E"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417,1</w:t>
            </w:r>
          </w:p>
        </w:tc>
        <w:tc>
          <w:tcPr>
            <w:tcW w:w="1003" w:type="dxa"/>
            <w:tcBorders>
              <w:top w:val="single" w:sz="4" w:space="0" w:color="auto"/>
            </w:tcBorders>
            <w:vAlign w:val="bottom"/>
          </w:tcPr>
          <w:p w14:paraId="33554B83"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3,0</w:t>
            </w:r>
          </w:p>
        </w:tc>
        <w:tc>
          <w:tcPr>
            <w:tcW w:w="1208" w:type="dxa"/>
            <w:tcBorders>
              <w:top w:val="single" w:sz="4" w:space="0" w:color="auto"/>
            </w:tcBorders>
            <w:vAlign w:val="bottom"/>
          </w:tcPr>
          <w:p w14:paraId="6A3EC165"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314,2</w:t>
            </w:r>
          </w:p>
        </w:tc>
        <w:tc>
          <w:tcPr>
            <w:tcW w:w="1078" w:type="dxa"/>
            <w:tcBorders>
              <w:top w:val="single" w:sz="4" w:space="0" w:color="auto"/>
            </w:tcBorders>
            <w:vAlign w:val="bottom"/>
          </w:tcPr>
          <w:p w14:paraId="048E339C"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2,1</w:t>
            </w:r>
          </w:p>
        </w:tc>
        <w:tc>
          <w:tcPr>
            <w:tcW w:w="923" w:type="dxa"/>
            <w:tcBorders>
              <w:top w:val="single" w:sz="4" w:space="0" w:color="auto"/>
            </w:tcBorders>
            <w:vAlign w:val="bottom"/>
          </w:tcPr>
          <w:p w14:paraId="5E5E9B12" w14:textId="77777777" w:rsidR="00AD0F31" w:rsidRPr="000D3E53" w:rsidRDefault="00AD0F31" w:rsidP="005F4E3E">
            <w:pPr>
              <w:widowControl w:val="0"/>
              <w:spacing w:before="0" w:after="0" w:line="240" w:lineRule="auto"/>
              <w:ind w:right="170"/>
              <w:jc w:val="right"/>
              <w:rPr>
                <w:rFonts w:ascii="Times New Roman" w:hAnsi="Times New Roman" w:cs="Times New Roman"/>
                <w:snapToGrid w:val="0"/>
                <w:sz w:val="22"/>
                <w:szCs w:val="22"/>
              </w:rPr>
            </w:pPr>
            <w:r>
              <w:rPr>
                <w:rFonts w:ascii="Times New Roman" w:hAnsi="Times New Roman" w:cs="Times New Roman"/>
                <w:snapToGrid w:val="0"/>
                <w:sz w:val="22"/>
                <w:szCs w:val="22"/>
              </w:rPr>
              <w:t>71,7</w:t>
            </w:r>
          </w:p>
        </w:tc>
      </w:tr>
    </w:tbl>
    <w:p w14:paraId="57BB01D1" w14:textId="77777777" w:rsidR="00AD0F31" w:rsidRPr="00E14EF5" w:rsidRDefault="00AD0F31" w:rsidP="00AD0F31">
      <w:pPr>
        <w:widowControl w:val="0"/>
        <w:spacing w:before="120" w:after="0" w:line="240" w:lineRule="auto"/>
        <w:ind w:firstLine="425"/>
        <w:jc w:val="both"/>
        <w:rPr>
          <w:rFonts w:ascii="Times New Roman" w:hAnsi="Times New Roman" w:cs="Times New Roman"/>
          <w:sz w:val="24"/>
          <w:szCs w:val="24"/>
        </w:rPr>
      </w:pPr>
      <w:r w:rsidRPr="00E14EF5">
        <w:rPr>
          <w:rFonts w:ascii="Times New Roman" w:hAnsi="Times New Roman" w:cs="Times New Roman"/>
          <w:sz w:val="24"/>
          <w:szCs w:val="24"/>
        </w:rPr>
        <w:t>В сфере услуг объём добавленной стоимости составил 8 490,0 млн руб., превысив в сопоставимых ценах параметры предыдущего года на 7,6%. Структурное представление сферы обслуживания в ВВП возросло с 54,8% до 58,0%. При этом объём добавленной стоимости в сегменте рыночных услуг, как и в предыдущем году, превзошёл результативность нерыночных услуг, что определило их соотношение</w:t>
      </w:r>
      <w:r>
        <w:rPr>
          <w:rFonts w:ascii="Times New Roman" w:hAnsi="Times New Roman" w:cs="Times New Roman"/>
          <w:sz w:val="24"/>
          <w:szCs w:val="24"/>
        </w:rPr>
        <w:t xml:space="preserve"> как </w:t>
      </w:r>
      <w:r w:rsidRPr="00E14EF5">
        <w:rPr>
          <w:rFonts w:ascii="Times New Roman" w:hAnsi="Times New Roman" w:cs="Times New Roman"/>
          <w:sz w:val="24"/>
          <w:szCs w:val="24"/>
        </w:rPr>
        <w:t xml:space="preserve">55,2 : 44,8. </w:t>
      </w:r>
    </w:p>
    <w:p w14:paraId="3C41A324" w14:textId="77777777" w:rsidR="00AD0F31" w:rsidRPr="00E14EF5" w:rsidRDefault="00AD0F31" w:rsidP="00AD0F31">
      <w:pPr>
        <w:widowControl w:val="0"/>
        <w:spacing w:before="0" w:after="0" w:line="240" w:lineRule="auto"/>
        <w:ind w:firstLine="425"/>
        <w:jc w:val="both"/>
        <w:rPr>
          <w:rFonts w:ascii="Times New Roman" w:hAnsi="Times New Roman" w:cs="Times New Roman"/>
          <w:sz w:val="24"/>
          <w:szCs w:val="24"/>
        </w:rPr>
      </w:pPr>
      <w:r w:rsidRPr="00E14EF5">
        <w:rPr>
          <w:rFonts w:ascii="Times New Roman" w:hAnsi="Times New Roman" w:cs="Times New Roman"/>
          <w:sz w:val="24"/>
          <w:szCs w:val="24"/>
        </w:rPr>
        <w:t xml:space="preserve">Рыночная компонента услуг характеризовалась приростом добавленной стоимости </w:t>
      </w:r>
      <w:r>
        <w:rPr>
          <w:rFonts w:ascii="Times New Roman" w:hAnsi="Times New Roman" w:cs="Times New Roman"/>
          <w:sz w:val="24"/>
          <w:szCs w:val="24"/>
        </w:rPr>
        <w:t>на</w:t>
      </w:r>
      <w:r w:rsidRPr="00E14EF5">
        <w:rPr>
          <w:rFonts w:ascii="Times New Roman" w:hAnsi="Times New Roman" w:cs="Times New Roman"/>
          <w:sz w:val="24"/>
          <w:szCs w:val="24"/>
        </w:rPr>
        <w:t xml:space="preserve"> 5,8%, до 4 686,8 млн руб., и стала отражением улучшения ситуации в большинстве секторов. Её доля в ВВП составила 32,0%, увеличившись на 1,1 п.п. Финансовые, торговые организации, а также хозяйствующие субъекты, </w:t>
      </w:r>
      <w:r>
        <w:rPr>
          <w:rFonts w:ascii="Times New Roman" w:hAnsi="Times New Roman" w:cs="Times New Roman"/>
          <w:sz w:val="24"/>
          <w:szCs w:val="24"/>
        </w:rPr>
        <w:t>относящиеся к сфере</w:t>
      </w:r>
      <w:r w:rsidRPr="00E14EF5">
        <w:rPr>
          <w:rFonts w:ascii="Times New Roman" w:hAnsi="Times New Roman" w:cs="Times New Roman"/>
          <w:sz w:val="24"/>
          <w:szCs w:val="24"/>
        </w:rPr>
        <w:t xml:space="preserve"> жилищно-коммунального хозяйства, связи и здравоохранения, показали наиболее высокие темпы роста в сопоставимых ценах (108%-130%), в сумме сформировав более 77% совокупной добавленной стоимости в секторе рыночных услуг. </w:t>
      </w:r>
    </w:p>
    <w:p w14:paraId="3D1C6B5A" w14:textId="0EF35A03" w:rsidR="00AD0F31" w:rsidRPr="00AD7DEB" w:rsidRDefault="00AD0F31" w:rsidP="00AD0F31">
      <w:pPr>
        <w:widowControl w:val="0"/>
        <w:spacing w:before="0" w:after="0" w:line="240" w:lineRule="auto"/>
        <w:ind w:firstLine="425"/>
        <w:jc w:val="both"/>
        <w:rPr>
          <w:rFonts w:ascii="Times New Roman" w:hAnsi="Times New Roman" w:cs="Times New Roman"/>
          <w:strike/>
          <w:sz w:val="24"/>
          <w:szCs w:val="24"/>
        </w:rPr>
      </w:pPr>
      <w:r w:rsidRPr="00AD7DEB">
        <w:rPr>
          <w:rFonts w:ascii="Times New Roman" w:hAnsi="Times New Roman" w:cs="Times New Roman"/>
          <w:sz w:val="24"/>
          <w:szCs w:val="24"/>
        </w:rPr>
        <w:t xml:space="preserve">На фоне расширения государственного финансирования бюджетной сферы добавленная стоимость в секторе нерыночных услуг возросла в сопоставимой оценке на 10,0%, до </w:t>
      </w:r>
      <w:r w:rsidR="0045061B">
        <w:rPr>
          <w:rFonts w:ascii="Times New Roman" w:hAnsi="Times New Roman" w:cs="Times New Roman"/>
          <w:sz w:val="24"/>
          <w:szCs w:val="24"/>
        </w:rPr>
        <w:br/>
      </w:r>
      <w:r w:rsidRPr="00AD7DEB">
        <w:rPr>
          <w:rFonts w:ascii="Times New Roman" w:hAnsi="Times New Roman" w:cs="Times New Roman"/>
          <w:sz w:val="24"/>
          <w:szCs w:val="24"/>
        </w:rPr>
        <w:t xml:space="preserve">3 803,3 млн руб. В результате его доля в ВВП повысилась на 2,1 п.п., до 26,0%. Наращивание добавленной стоимости относительно базисной отметки фиксировалось по большинству отраслей. В целом на долю основных статей (здравоохранение, социальное обеспечение и </w:t>
      </w:r>
      <w:r w:rsidRPr="00AD7DEB">
        <w:rPr>
          <w:rFonts w:ascii="Times New Roman" w:hAnsi="Times New Roman" w:cs="Times New Roman"/>
          <w:sz w:val="24"/>
          <w:szCs w:val="24"/>
        </w:rPr>
        <w:lastRenderedPageBreak/>
        <w:t xml:space="preserve">образование) пришлось 47,1%. </w:t>
      </w:r>
    </w:p>
    <w:p w14:paraId="064F3C48" w14:textId="521B0EE4" w:rsidR="00AD0F31" w:rsidRPr="008A651D" w:rsidRDefault="00AD0F31" w:rsidP="00AD0F31">
      <w:pPr>
        <w:widowControl w:val="0"/>
        <w:spacing w:before="0" w:after="0" w:line="240" w:lineRule="auto"/>
        <w:ind w:firstLine="425"/>
        <w:jc w:val="both"/>
        <w:rPr>
          <w:rFonts w:ascii="Times New Roman" w:hAnsi="Times New Roman" w:cs="Times New Roman"/>
          <w:sz w:val="24"/>
          <w:szCs w:val="24"/>
        </w:rPr>
      </w:pPr>
      <w:r w:rsidRPr="00AD7DEB">
        <w:rPr>
          <w:rFonts w:ascii="Times New Roman" w:hAnsi="Times New Roman" w:cs="Times New Roman"/>
          <w:sz w:val="24"/>
          <w:szCs w:val="24"/>
        </w:rPr>
        <w:t>Фискальные доходы государства характеризовались сокращением в сопоставимой оценке поступлений налогов на продукты и импорт, включаемых в расчёт ВВП, на 2,</w:t>
      </w:r>
      <w:r>
        <w:rPr>
          <w:rFonts w:ascii="Times New Roman" w:hAnsi="Times New Roman" w:cs="Times New Roman"/>
          <w:sz w:val="24"/>
          <w:szCs w:val="24"/>
        </w:rPr>
        <w:t>4</w:t>
      </w:r>
      <w:r w:rsidRPr="00AD7DEB">
        <w:rPr>
          <w:rFonts w:ascii="Times New Roman" w:hAnsi="Times New Roman" w:cs="Times New Roman"/>
          <w:sz w:val="24"/>
          <w:szCs w:val="24"/>
        </w:rPr>
        <w:t xml:space="preserve">%, до </w:t>
      </w:r>
      <w:r w:rsidR="0045061B">
        <w:rPr>
          <w:rFonts w:ascii="Times New Roman" w:hAnsi="Times New Roman" w:cs="Times New Roman"/>
          <w:sz w:val="24"/>
          <w:szCs w:val="24"/>
        </w:rPr>
        <w:br/>
      </w:r>
      <w:r w:rsidRPr="00AD7DEB">
        <w:rPr>
          <w:rFonts w:ascii="Times New Roman" w:hAnsi="Times New Roman" w:cs="Times New Roman"/>
          <w:sz w:val="24"/>
          <w:szCs w:val="24"/>
        </w:rPr>
        <w:t>780,2 млн руб. При этом объём расходов бюджета, группируемых как субсидии на продукты и услуги, расширился на 29,0%, составив 466,1 млн руб. В результате по итогам 2019 года по статье «чистые налоги на продукты и импорт» сформировалось сокращение показателя на 28,3%, до 314,2 млн руб., а его удельный вес снизился на 0,9 п.п., до 2,1% ВВП.</w:t>
      </w:r>
    </w:p>
    <w:p w14:paraId="37A831CE" w14:textId="77777777" w:rsidR="000910DB" w:rsidRPr="008A651D" w:rsidRDefault="000910DB" w:rsidP="008A651D">
      <w:pPr>
        <w:spacing w:before="0" w:after="0" w:line="240" w:lineRule="auto"/>
        <w:ind w:right="-1" w:firstLine="425"/>
        <w:jc w:val="both"/>
        <w:rPr>
          <w:rFonts w:ascii="Times New Roman" w:hAnsi="Times New Roman" w:cs="Times New Roman"/>
          <w:sz w:val="24"/>
          <w:szCs w:val="24"/>
        </w:rPr>
      </w:pPr>
      <w:r w:rsidRPr="008A651D">
        <w:rPr>
          <w:rFonts w:ascii="Times New Roman" w:hAnsi="Times New Roman" w:cs="Times New Roman"/>
          <w:sz w:val="24"/>
          <w:szCs w:val="24"/>
        </w:rPr>
        <w:t>Объём промышленного производства по итогам 2019 г</w:t>
      </w:r>
      <w:r w:rsidR="0059592B">
        <w:rPr>
          <w:rFonts w:ascii="Times New Roman" w:hAnsi="Times New Roman" w:cs="Times New Roman"/>
          <w:sz w:val="24"/>
          <w:szCs w:val="24"/>
        </w:rPr>
        <w:t xml:space="preserve">ода сложился на уровне </w:t>
      </w:r>
      <w:r w:rsidR="0059592B">
        <w:rPr>
          <w:rFonts w:ascii="Times New Roman" w:hAnsi="Times New Roman" w:cs="Times New Roman"/>
          <w:sz w:val="24"/>
          <w:szCs w:val="24"/>
        </w:rPr>
        <w:br/>
        <w:t>12 156,9</w:t>
      </w:r>
      <w:r w:rsidRPr="008A651D">
        <w:rPr>
          <w:rFonts w:ascii="Times New Roman" w:hAnsi="Times New Roman" w:cs="Times New Roman"/>
          <w:sz w:val="24"/>
          <w:szCs w:val="24"/>
        </w:rPr>
        <w:t xml:space="preserve"> млн руб., что у</w:t>
      </w:r>
      <w:r w:rsidR="00271C81">
        <w:rPr>
          <w:rFonts w:ascii="Times New Roman" w:hAnsi="Times New Roman" w:cs="Times New Roman"/>
          <w:sz w:val="24"/>
          <w:szCs w:val="24"/>
        </w:rPr>
        <w:t>ступило 2,8</w:t>
      </w:r>
      <w:r w:rsidRPr="008A651D">
        <w:rPr>
          <w:rFonts w:ascii="Times New Roman" w:hAnsi="Times New Roman" w:cs="Times New Roman"/>
          <w:sz w:val="24"/>
          <w:szCs w:val="24"/>
        </w:rPr>
        <w:t>% сопоставимому показателю 2018 года (табл. 1.2)</w:t>
      </w:r>
      <w:r w:rsidR="0059592B">
        <w:rPr>
          <w:rStyle w:val="ae"/>
          <w:rFonts w:ascii="Times New Roman" w:hAnsi="Times New Roman"/>
          <w:sz w:val="24"/>
          <w:szCs w:val="24"/>
        </w:rPr>
        <w:footnoteReference w:id="4"/>
      </w:r>
      <w:r w:rsidRPr="008A651D">
        <w:rPr>
          <w:rFonts w:ascii="Times New Roman" w:hAnsi="Times New Roman" w:cs="Times New Roman"/>
          <w:sz w:val="24"/>
          <w:szCs w:val="24"/>
        </w:rPr>
        <w:t>. Понижательная динамика в большей степени определялась сокращением выработки в чёрной металлургии. Без учёта производственных результатов данной отрасли объём индустриального выпуска превысил параметры 2018 года на 4,0%.</w:t>
      </w:r>
    </w:p>
    <w:p w14:paraId="4A8B7D35" w14:textId="77777777" w:rsidR="000910DB" w:rsidRPr="008A651D" w:rsidRDefault="000910DB" w:rsidP="008A651D">
      <w:pPr>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Среднемесячный объ</w:t>
      </w:r>
      <w:r w:rsidR="00271C81">
        <w:rPr>
          <w:rFonts w:ascii="Times New Roman" w:hAnsi="Times New Roman" w:cs="Times New Roman"/>
          <w:sz w:val="24"/>
          <w:szCs w:val="24"/>
        </w:rPr>
        <w:t>ём производства составил 1 013,1</w:t>
      </w:r>
      <w:r w:rsidR="00C71D58">
        <w:rPr>
          <w:rFonts w:ascii="Times New Roman" w:hAnsi="Times New Roman" w:cs="Times New Roman"/>
          <w:sz w:val="24"/>
          <w:szCs w:val="24"/>
        </w:rPr>
        <w:t xml:space="preserve"> млн руб. против 1 057,9</w:t>
      </w:r>
      <w:r w:rsidRPr="008A651D">
        <w:rPr>
          <w:rFonts w:ascii="Times New Roman" w:hAnsi="Times New Roman" w:cs="Times New Roman"/>
          <w:sz w:val="24"/>
          <w:szCs w:val="24"/>
        </w:rPr>
        <w:t xml:space="preserve"> млн руб. годом ранее. Наиболее результативными стали июль и август, когда были достигнуты максимальные объёмы выпуска (1 175,6 млн руб. и 1 175,7 млн руб. соответственно).</w:t>
      </w:r>
    </w:p>
    <w:p w14:paraId="644F3E22" w14:textId="77777777" w:rsidR="000910DB" w:rsidRPr="00B2387C" w:rsidRDefault="000910DB" w:rsidP="00642AF4">
      <w:pPr>
        <w:spacing w:before="120" w:after="120"/>
        <w:jc w:val="right"/>
        <w:rPr>
          <w:rFonts w:ascii="Times New Roman" w:hAnsi="Times New Roman" w:cs="Times New Roman"/>
          <w:b/>
          <w:i/>
        </w:rPr>
      </w:pPr>
      <w:r w:rsidRPr="00B2387C">
        <w:rPr>
          <w:rFonts w:ascii="Times New Roman" w:hAnsi="Times New Roman" w:cs="Times New Roman"/>
          <w:b/>
          <w:i/>
          <w:sz w:val="24"/>
        </w:rPr>
        <w:t>Таблица</w:t>
      </w:r>
      <w:r w:rsidRPr="00B2387C">
        <w:rPr>
          <w:rFonts w:ascii="Times New Roman" w:hAnsi="Times New Roman" w:cs="Times New Roman"/>
          <w:b/>
          <w:i/>
        </w:rPr>
        <w:t xml:space="preserve"> 1.2</w:t>
      </w:r>
    </w:p>
    <w:p w14:paraId="4F0F7D0F" w14:textId="77777777" w:rsidR="000910DB" w:rsidRPr="008A651D" w:rsidRDefault="000910DB" w:rsidP="00B2387C">
      <w:pPr>
        <w:widowControl w:val="0"/>
        <w:spacing w:before="0" w:after="120" w:line="240" w:lineRule="auto"/>
        <w:jc w:val="center"/>
        <w:rPr>
          <w:rFonts w:ascii="Times New Roman" w:hAnsi="Times New Roman" w:cs="Times New Roman"/>
          <w:b/>
          <w:i/>
          <w:sz w:val="24"/>
          <w:szCs w:val="24"/>
        </w:rPr>
      </w:pPr>
      <w:r w:rsidRPr="008A651D">
        <w:rPr>
          <w:rFonts w:ascii="Times New Roman" w:hAnsi="Times New Roman" w:cs="Times New Roman"/>
          <w:b/>
          <w:i/>
          <w:sz w:val="24"/>
          <w:szCs w:val="24"/>
        </w:rPr>
        <w:t>Динамика объёмов производства по отраслям промышленности в 2019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942"/>
        <w:gridCol w:w="1406"/>
        <w:gridCol w:w="1126"/>
        <w:gridCol w:w="1153"/>
      </w:tblGrid>
      <w:tr w:rsidR="000910DB" w:rsidRPr="008A651D" w14:paraId="21FDC8F7" w14:textId="77777777" w:rsidTr="000910DB">
        <w:trPr>
          <w:cantSplit/>
          <w:trHeight w:val="448"/>
        </w:trPr>
        <w:tc>
          <w:tcPr>
            <w:tcW w:w="3085" w:type="pct"/>
            <w:tcBorders>
              <w:bottom w:val="double" w:sz="4" w:space="0" w:color="auto"/>
            </w:tcBorders>
            <w:shd w:val="clear" w:color="auto" w:fill="CCCCCC"/>
            <w:vAlign w:val="center"/>
          </w:tcPr>
          <w:p w14:paraId="203D9912" w14:textId="77777777" w:rsidR="000910DB" w:rsidRPr="008A651D" w:rsidRDefault="000910DB" w:rsidP="008A651D">
            <w:pPr>
              <w:widowControl w:val="0"/>
              <w:spacing w:before="0" w:after="0" w:line="240" w:lineRule="auto"/>
              <w:jc w:val="center"/>
              <w:rPr>
                <w:rFonts w:ascii="Times New Roman" w:hAnsi="Times New Roman" w:cs="Times New Roman"/>
                <w:snapToGrid w:val="0"/>
                <w:sz w:val="22"/>
                <w:szCs w:val="22"/>
              </w:rPr>
            </w:pPr>
          </w:p>
        </w:tc>
        <w:tc>
          <w:tcPr>
            <w:tcW w:w="730" w:type="pct"/>
            <w:tcBorders>
              <w:bottom w:val="double" w:sz="4" w:space="0" w:color="auto"/>
            </w:tcBorders>
            <w:shd w:val="clear" w:color="auto" w:fill="CCCCCC"/>
            <w:vAlign w:val="center"/>
          </w:tcPr>
          <w:p w14:paraId="7625FB3D" w14:textId="77777777" w:rsidR="000910DB" w:rsidRPr="008A651D" w:rsidRDefault="000910DB" w:rsidP="008A651D">
            <w:pPr>
              <w:widowControl w:val="0"/>
              <w:spacing w:before="0" w:after="0" w:line="240" w:lineRule="auto"/>
              <w:jc w:val="center"/>
              <w:rPr>
                <w:rFonts w:ascii="Times New Roman" w:hAnsi="Times New Roman" w:cs="Times New Roman"/>
                <w:snapToGrid w:val="0"/>
                <w:sz w:val="22"/>
                <w:szCs w:val="22"/>
              </w:rPr>
            </w:pPr>
            <w:r w:rsidRPr="008A651D">
              <w:rPr>
                <w:rFonts w:ascii="Times New Roman" w:hAnsi="Times New Roman" w:cs="Times New Roman"/>
                <w:snapToGrid w:val="0"/>
                <w:sz w:val="22"/>
                <w:szCs w:val="22"/>
              </w:rPr>
              <w:t>млн руб.</w:t>
            </w:r>
          </w:p>
        </w:tc>
        <w:tc>
          <w:tcPr>
            <w:tcW w:w="585" w:type="pct"/>
            <w:tcBorders>
              <w:bottom w:val="double" w:sz="4" w:space="0" w:color="auto"/>
            </w:tcBorders>
            <w:shd w:val="clear" w:color="auto" w:fill="CCCCCC"/>
            <w:vAlign w:val="center"/>
          </w:tcPr>
          <w:p w14:paraId="2A2439BD" w14:textId="77777777" w:rsidR="000910DB" w:rsidRPr="008A651D" w:rsidRDefault="000910DB" w:rsidP="008A651D">
            <w:pPr>
              <w:widowControl w:val="0"/>
              <w:spacing w:before="0" w:after="0" w:line="240" w:lineRule="auto"/>
              <w:jc w:val="center"/>
              <w:rPr>
                <w:rFonts w:ascii="Times New Roman" w:hAnsi="Times New Roman" w:cs="Times New Roman"/>
                <w:snapToGrid w:val="0"/>
                <w:sz w:val="22"/>
                <w:szCs w:val="22"/>
              </w:rPr>
            </w:pPr>
            <w:r w:rsidRPr="008A651D">
              <w:rPr>
                <w:rFonts w:ascii="Times New Roman" w:hAnsi="Times New Roman" w:cs="Times New Roman"/>
                <w:snapToGrid w:val="0"/>
                <w:sz w:val="22"/>
                <w:szCs w:val="22"/>
              </w:rPr>
              <w:t>удельный</w:t>
            </w:r>
          </w:p>
          <w:p w14:paraId="4AC7D4C3" w14:textId="77777777" w:rsidR="000910DB" w:rsidRPr="008A651D" w:rsidRDefault="000910DB" w:rsidP="008A651D">
            <w:pPr>
              <w:widowControl w:val="0"/>
              <w:spacing w:before="0" w:after="0" w:line="240" w:lineRule="auto"/>
              <w:jc w:val="center"/>
              <w:rPr>
                <w:rFonts w:ascii="Times New Roman" w:hAnsi="Times New Roman" w:cs="Times New Roman"/>
                <w:snapToGrid w:val="0"/>
                <w:sz w:val="22"/>
                <w:szCs w:val="22"/>
              </w:rPr>
            </w:pPr>
            <w:r w:rsidRPr="008A651D">
              <w:rPr>
                <w:rFonts w:ascii="Times New Roman" w:hAnsi="Times New Roman" w:cs="Times New Roman"/>
                <w:snapToGrid w:val="0"/>
                <w:sz w:val="22"/>
                <w:szCs w:val="22"/>
              </w:rPr>
              <w:t>вес, %</w:t>
            </w:r>
          </w:p>
        </w:tc>
        <w:tc>
          <w:tcPr>
            <w:tcW w:w="599" w:type="pct"/>
            <w:tcBorders>
              <w:bottom w:val="double" w:sz="4" w:space="0" w:color="auto"/>
            </w:tcBorders>
            <w:shd w:val="clear" w:color="auto" w:fill="CCCCCC"/>
            <w:vAlign w:val="center"/>
          </w:tcPr>
          <w:p w14:paraId="6F3A1328" w14:textId="77777777" w:rsidR="000910DB" w:rsidRPr="008A651D" w:rsidRDefault="000910DB" w:rsidP="008A651D">
            <w:pPr>
              <w:widowControl w:val="0"/>
              <w:spacing w:before="0" w:after="0" w:line="240" w:lineRule="auto"/>
              <w:ind w:left="-57"/>
              <w:jc w:val="center"/>
              <w:rPr>
                <w:rFonts w:ascii="Times New Roman" w:hAnsi="Times New Roman" w:cs="Times New Roman"/>
                <w:snapToGrid w:val="0"/>
                <w:sz w:val="22"/>
                <w:szCs w:val="22"/>
              </w:rPr>
            </w:pPr>
            <w:r w:rsidRPr="008A651D">
              <w:rPr>
                <w:rFonts w:ascii="Times New Roman" w:hAnsi="Times New Roman" w:cs="Times New Roman"/>
                <w:snapToGrid w:val="0"/>
                <w:sz w:val="22"/>
                <w:szCs w:val="22"/>
              </w:rPr>
              <w:t xml:space="preserve">темп </w:t>
            </w:r>
            <w:r w:rsidRPr="008A651D">
              <w:rPr>
                <w:rFonts w:ascii="Times New Roman" w:hAnsi="Times New Roman" w:cs="Times New Roman"/>
                <w:snapToGrid w:val="0"/>
                <w:sz w:val="22"/>
                <w:szCs w:val="22"/>
              </w:rPr>
              <w:br/>
              <w:t>роста, %</w:t>
            </w:r>
          </w:p>
        </w:tc>
      </w:tr>
      <w:tr w:rsidR="000910DB" w:rsidRPr="008A651D" w14:paraId="19242F5A" w14:textId="77777777" w:rsidTr="00692D17">
        <w:trPr>
          <w:trHeight w:val="240"/>
        </w:trPr>
        <w:tc>
          <w:tcPr>
            <w:tcW w:w="3085" w:type="pct"/>
            <w:tcBorders>
              <w:top w:val="double" w:sz="4" w:space="0" w:color="auto"/>
            </w:tcBorders>
            <w:shd w:val="clear" w:color="auto" w:fill="E0E0E0"/>
            <w:vAlign w:val="bottom"/>
          </w:tcPr>
          <w:p w14:paraId="201360B5" w14:textId="77777777" w:rsidR="000910DB" w:rsidRPr="008A651D" w:rsidRDefault="000910DB" w:rsidP="008A651D">
            <w:pPr>
              <w:widowControl w:val="0"/>
              <w:spacing w:before="0" w:after="0" w:line="240" w:lineRule="auto"/>
              <w:ind w:firstLine="142"/>
              <w:rPr>
                <w:rFonts w:ascii="Times New Roman" w:hAnsi="Times New Roman" w:cs="Times New Roman"/>
                <w:snapToGrid w:val="0"/>
                <w:sz w:val="22"/>
                <w:szCs w:val="22"/>
              </w:rPr>
            </w:pPr>
            <w:r w:rsidRPr="008A651D">
              <w:rPr>
                <w:rFonts w:ascii="Times New Roman" w:hAnsi="Times New Roman" w:cs="Times New Roman"/>
                <w:snapToGrid w:val="0"/>
                <w:sz w:val="22"/>
                <w:szCs w:val="22"/>
              </w:rPr>
              <w:t>Объём производства промышленной продукции, всего</w:t>
            </w:r>
          </w:p>
        </w:tc>
        <w:tc>
          <w:tcPr>
            <w:tcW w:w="730" w:type="pct"/>
            <w:tcBorders>
              <w:top w:val="double" w:sz="4" w:space="0" w:color="auto"/>
            </w:tcBorders>
            <w:shd w:val="clear" w:color="auto" w:fill="E0E0E0"/>
            <w:vAlign w:val="center"/>
          </w:tcPr>
          <w:p w14:paraId="2271C357" w14:textId="77777777" w:rsidR="000910DB" w:rsidRPr="00C71D58" w:rsidRDefault="00C71D58" w:rsidP="00692D17">
            <w:pPr>
              <w:widowControl w:val="0"/>
              <w:spacing w:before="0" w:after="0" w:line="240" w:lineRule="auto"/>
              <w:ind w:right="397"/>
              <w:jc w:val="right"/>
              <w:rPr>
                <w:rFonts w:ascii="Times New Roman" w:hAnsi="Times New Roman" w:cs="Times New Roman"/>
                <w:bCs/>
              </w:rPr>
            </w:pPr>
            <w:r w:rsidRPr="00C71D58">
              <w:rPr>
                <w:rFonts w:ascii="Times New Roman" w:hAnsi="Times New Roman" w:cs="Times New Roman"/>
                <w:bCs/>
              </w:rPr>
              <w:t>12 156,9</w:t>
            </w:r>
          </w:p>
        </w:tc>
        <w:tc>
          <w:tcPr>
            <w:tcW w:w="585" w:type="pct"/>
            <w:tcBorders>
              <w:top w:val="double" w:sz="4" w:space="0" w:color="auto"/>
            </w:tcBorders>
            <w:shd w:val="clear" w:color="auto" w:fill="E0E0E0"/>
            <w:vAlign w:val="center"/>
          </w:tcPr>
          <w:p w14:paraId="015FB44E" w14:textId="77777777" w:rsidR="000910DB" w:rsidRPr="008A651D" w:rsidRDefault="000910DB" w:rsidP="00692D17">
            <w:pPr>
              <w:widowControl w:val="0"/>
              <w:spacing w:before="0" w:after="0" w:line="240" w:lineRule="auto"/>
              <w:ind w:left="-28" w:right="340"/>
              <w:jc w:val="right"/>
              <w:rPr>
                <w:rFonts w:ascii="Times New Roman" w:hAnsi="Times New Roman" w:cs="Times New Roman"/>
              </w:rPr>
            </w:pPr>
            <w:r w:rsidRPr="008A651D">
              <w:rPr>
                <w:rFonts w:ascii="Times New Roman" w:hAnsi="Times New Roman" w:cs="Times New Roman"/>
              </w:rPr>
              <w:t>100,0</w:t>
            </w:r>
          </w:p>
        </w:tc>
        <w:tc>
          <w:tcPr>
            <w:tcW w:w="599" w:type="pct"/>
            <w:tcBorders>
              <w:top w:val="double" w:sz="4" w:space="0" w:color="auto"/>
            </w:tcBorders>
            <w:shd w:val="clear" w:color="auto" w:fill="E0E0E0"/>
            <w:vAlign w:val="center"/>
          </w:tcPr>
          <w:p w14:paraId="4F94C3B1" w14:textId="77777777" w:rsidR="000910DB" w:rsidRPr="008A651D" w:rsidRDefault="00A515A0" w:rsidP="00692D17">
            <w:pPr>
              <w:widowControl w:val="0"/>
              <w:spacing w:before="0" w:after="0" w:line="240" w:lineRule="auto"/>
              <w:ind w:right="312"/>
              <w:jc w:val="right"/>
              <w:rPr>
                <w:rFonts w:ascii="Times New Roman" w:hAnsi="Times New Roman" w:cs="Times New Roman"/>
              </w:rPr>
            </w:pPr>
            <w:r>
              <w:rPr>
                <w:rFonts w:ascii="Times New Roman" w:hAnsi="Times New Roman" w:cs="Times New Roman"/>
              </w:rPr>
              <w:t>97,2</w:t>
            </w:r>
          </w:p>
        </w:tc>
      </w:tr>
      <w:tr w:rsidR="000910DB" w:rsidRPr="008A651D" w14:paraId="676EFA84" w14:textId="77777777" w:rsidTr="00692D17">
        <w:trPr>
          <w:trHeight w:val="270"/>
        </w:trPr>
        <w:tc>
          <w:tcPr>
            <w:tcW w:w="3085" w:type="pct"/>
            <w:tcBorders>
              <w:bottom w:val="single" w:sz="4" w:space="0" w:color="auto"/>
            </w:tcBorders>
            <w:vAlign w:val="bottom"/>
          </w:tcPr>
          <w:p w14:paraId="1C394AAB" w14:textId="77777777" w:rsidR="000910DB" w:rsidRPr="008A651D" w:rsidRDefault="000910DB" w:rsidP="008A651D">
            <w:pPr>
              <w:widowControl w:val="0"/>
              <w:spacing w:before="0" w:after="0" w:line="240" w:lineRule="auto"/>
              <w:ind w:left="292"/>
              <w:rPr>
                <w:rFonts w:ascii="Times New Roman" w:hAnsi="Times New Roman" w:cs="Times New Roman"/>
                <w:snapToGrid w:val="0"/>
                <w:sz w:val="22"/>
                <w:szCs w:val="22"/>
              </w:rPr>
            </w:pPr>
            <w:r w:rsidRPr="008A651D">
              <w:rPr>
                <w:rFonts w:ascii="Times New Roman" w:hAnsi="Times New Roman" w:cs="Times New Roman"/>
                <w:snapToGrid w:val="0"/>
                <w:sz w:val="22"/>
                <w:szCs w:val="22"/>
              </w:rPr>
              <w:t>в том числе по отраслям:</w:t>
            </w:r>
          </w:p>
        </w:tc>
        <w:tc>
          <w:tcPr>
            <w:tcW w:w="730" w:type="pct"/>
            <w:tcBorders>
              <w:bottom w:val="single" w:sz="4" w:space="0" w:color="auto"/>
            </w:tcBorders>
            <w:vAlign w:val="center"/>
          </w:tcPr>
          <w:p w14:paraId="5CF233B9" w14:textId="77777777" w:rsidR="000910DB" w:rsidRPr="008A651D" w:rsidRDefault="000910DB" w:rsidP="00692D17">
            <w:pPr>
              <w:widowControl w:val="0"/>
              <w:spacing w:before="0" w:after="0" w:line="240" w:lineRule="auto"/>
              <w:ind w:right="454"/>
              <w:jc w:val="right"/>
              <w:rPr>
                <w:rFonts w:ascii="Times New Roman" w:hAnsi="Times New Roman" w:cs="Times New Roman"/>
              </w:rPr>
            </w:pPr>
          </w:p>
        </w:tc>
        <w:tc>
          <w:tcPr>
            <w:tcW w:w="585" w:type="pct"/>
            <w:tcBorders>
              <w:bottom w:val="single" w:sz="4" w:space="0" w:color="auto"/>
            </w:tcBorders>
            <w:vAlign w:val="center"/>
          </w:tcPr>
          <w:p w14:paraId="52B7237C" w14:textId="77777777" w:rsidR="000910DB" w:rsidRPr="008A651D" w:rsidRDefault="000910DB" w:rsidP="00692D17">
            <w:pPr>
              <w:widowControl w:val="0"/>
              <w:spacing w:before="0" w:after="0" w:line="240" w:lineRule="auto"/>
              <w:ind w:left="-28" w:right="340"/>
              <w:jc w:val="right"/>
              <w:rPr>
                <w:rFonts w:ascii="Times New Roman" w:hAnsi="Times New Roman" w:cs="Times New Roman"/>
              </w:rPr>
            </w:pPr>
          </w:p>
        </w:tc>
        <w:tc>
          <w:tcPr>
            <w:tcW w:w="599" w:type="pct"/>
            <w:tcBorders>
              <w:bottom w:val="single" w:sz="4" w:space="0" w:color="auto"/>
            </w:tcBorders>
            <w:vAlign w:val="center"/>
          </w:tcPr>
          <w:p w14:paraId="56D93FBC" w14:textId="77777777" w:rsidR="000910DB" w:rsidRPr="008A651D" w:rsidRDefault="000910DB" w:rsidP="00692D17">
            <w:pPr>
              <w:widowControl w:val="0"/>
              <w:spacing w:before="0" w:after="0" w:line="240" w:lineRule="auto"/>
              <w:ind w:right="312"/>
              <w:jc w:val="right"/>
              <w:rPr>
                <w:rFonts w:ascii="Times New Roman" w:hAnsi="Times New Roman" w:cs="Times New Roman"/>
              </w:rPr>
            </w:pPr>
          </w:p>
        </w:tc>
      </w:tr>
      <w:tr w:rsidR="000910DB" w:rsidRPr="008A651D" w14:paraId="07B620B4" w14:textId="77777777" w:rsidTr="00692D17">
        <w:trPr>
          <w:trHeight w:val="270"/>
        </w:trPr>
        <w:tc>
          <w:tcPr>
            <w:tcW w:w="3085" w:type="pct"/>
            <w:tcBorders>
              <w:top w:val="single" w:sz="4" w:space="0" w:color="auto"/>
              <w:bottom w:val="single" w:sz="4" w:space="0" w:color="auto"/>
            </w:tcBorders>
            <w:vAlign w:val="bottom"/>
          </w:tcPr>
          <w:p w14:paraId="278D9763" w14:textId="77777777" w:rsidR="000910DB" w:rsidRPr="008A651D" w:rsidRDefault="000910DB" w:rsidP="008A651D">
            <w:pPr>
              <w:widowControl w:val="0"/>
              <w:tabs>
                <w:tab w:val="left" w:pos="396"/>
              </w:tabs>
              <w:spacing w:before="0" w:after="0" w:line="240" w:lineRule="auto"/>
              <w:ind w:left="284" w:firstLine="22"/>
              <w:rPr>
                <w:rFonts w:ascii="Times New Roman" w:hAnsi="Times New Roman" w:cs="Times New Roman"/>
                <w:snapToGrid w:val="0"/>
                <w:sz w:val="22"/>
                <w:szCs w:val="22"/>
              </w:rPr>
            </w:pPr>
            <w:r w:rsidRPr="008A651D">
              <w:rPr>
                <w:rFonts w:ascii="Times New Roman" w:hAnsi="Times New Roman" w:cs="Times New Roman"/>
                <w:snapToGrid w:val="0"/>
                <w:sz w:val="22"/>
                <w:szCs w:val="22"/>
              </w:rPr>
              <w:t>- электроэнергетика</w:t>
            </w:r>
          </w:p>
        </w:tc>
        <w:tc>
          <w:tcPr>
            <w:tcW w:w="730" w:type="pct"/>
            <w:tcBorders>
              <w:top w:val="single" w:sz="4" w:space="0" w:color="auto"/>
              <w:bottom w:val="single" w:sz="4" w:space="0" w:color="auto"/>
            </w:tcBorders>
            <w:vAlign w:val="center"/>
          </w:tcPr>
          <w:p w14:paraId="7DF566FC"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sidRPr="00C71D58">
              <w:rPr>
                <w:rFonts w:ascii="Times New Roman" w:hAnsi="Times New Roman" w:cs="Times New Roman"/>
              </w:rPr>
              <w:t>3 752,1</w:t>
            </w:r>
          </w:p>
        </w:tc>
        <w:tc>
          <w:tcPr>
            <w:tcW w:w="585" w:type="pct"/>
            <w:tcBorders>
              <w:top w:val="single" w:sz="4" w:space="0" w:color="auto"/>
              <w:bottom w:val="single" w:sz="4" w:space="0" w:color="auto"/>
            </w:tcBorders>
            <w:vAlign w:val="center"/>
          </w:tcPr>
          <w:p w14:paraId="4A7CD053"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30,9</w:t>
            </w:r>
          </w:p>
        </w:tc>
        <w:tc>
          <w:tcPr>
            <w:tcW w:w="599" w:type="pct"/>
            <w:tcBorders>
              <w:top w:val="single" w:sz="4" w:space="0" w:color="auto"/>
              <w:bottom w:val="single" w:sz="4" w:space="0" w:color="auto"/>
            </w:tcBorders>
            <w:vAlign w:val="center"/>
          </w:tcPr>
          <w:p w14:paraId="3150E6E1"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105,9</w:t>
            </w:r>
          </w:p>
        </w:tc>
      </w:tr>
      <w:tr w:rsidR="000910DB" w:rsidRPr="008A651D" w14:paraId="08BDCCC5" w14:textId="77777777" w:rsidTr="00692D17">
        <w:trPr>
          <w:trHeight w:val="270"/>
        </w:trPr>
        <w:tc>
          <w:tcPr>
            <w:tcW w:w="3085" w:type="pct"/>
            <w:tcBorders>
              <w:top w:val="single" w:sz="4" w:space="0" w:color="auto"/>
              <w:bottom w:val="single" w:sz="4" w:space="0" w:color="auto"/>
            </w:tcBorders>
            <w:vAlign w:val="bottom"/>
          </w:tcPr>
          <w:p w14:paraId="7111607F" w14:textId="77777777" w:rsidR="000910DB" w:rsidRPr="008A651D" w:rsidRDefault="000910DB" w:rsidP="008A651D">
            <w:pPr>
              <w:widowControl w:val="0"/>
              <w:tabs>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чёрная металлургия</w:t>
            </w:r>
          </w:p>
        </w:tc>
        <w:tc>
          <w:tcPr>
            <w:tcW w:w="730" w:type="pct"/>
            <w:tcBorders>
              <w:top w:val="single" w:sz="4" w:space="0" w:color="auto"/>
              <w:bottom w:val="single" w:sz="4" w:space="0" w:color="auto"/>
            </w:tcBorders>
            <w:vAlign w:val="center"/>
          </w:tcPr>
          <w:p w14:paraId="42AFD070"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3 311,2</w:t>
            </w:r>
          </w:p>
        </w:tc>
        <w:tc>
          <w:tcPr>
            <w:tcW w:w="585" w:type="pct"/>
            <w:tcBorders>
              <w:top w:val="single" w:sz="4" w:space="0" w:color="auto"/>
              <w:bottom w:val="single" w:sz="4" w:space="0" w:color="auto"/>
            </w:tcBorders>
            <w:vAlign w:val="center"/>
          </w:tcPr>
          <w:p w14:paraId="6DDC2C88"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2</w:t>
            </w:r>
            <w:r w:rsidR="00A515A0">
              <w:rPr>
                <w:rFonts w:ascii="Times New Roman" w:hAnsi="Times New Roman" w:cs="Times New Roman"/>
              </w:rPr>
              <w:t>7,2</w:t>
            </w:r>
          </w:p>
        </w:tc>
        <w:tc>
          <w:tcPr>
            <w:tcW w:w="599" w:type="pct"/>
            <w:tcBorders>
              <w:top w:val="single" w:sz="4" w:space="0" w:color="auto"/>
              <w:bottom w:val="single" w:sz="4" w:space="0" w:color="auto"/>
            </w:tcBorders>
            <w:vAlign w:val="center"/>
          </w:tcPr>
          <w:p w14:paraId="32A54110"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81,6</w:t>
            </w:r>
          </w:p>
        </w:tc>
      </w:tr>
      <w:tr w:rsidR="000910DB" w:rsidRPr="008A651D" w14:paraId="3D47C135" w14:textId="77777777" w:rsidTr="00692D17">
        <w:trPr>
          <w:trHeight w:val="270"/>
        </w:trPr>
        <w:tc>
          <w:tcPr>
            <w:tcW w:w="3085" w:type="pct"/>
            <w:tcBorders>
              <w:top w:val="single" w:sz="4" w:space="0" w:color="auto"/>
              <w:bottom w:val="single" w:sz="4" w:space="0" w:color="auto"/>
            </w:tcBorders>
            <w:vAlign w:val="bottom"/>
          </w:tcPr>
          <w:p w14:paraId="74655FC1" w14:textId="77777777" w:rsidR="000910DB" w:rsidRPr="008A651D" w:rsidRDefault="000910DB" w:rsidP="008A651D">
            <w:pPr>
              <w:widowControl w:val="0"/>
              <w:tabs>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химическая промышленность</w:t>
            </w:r>
          </w:p>
        </w:tc>
        <w:tc>
          <w:tcPr>
            <w:tcW w:w="730" w:type="pct"/>
            <w:tcBorders>
              <w:top w:val="single" w:sz="4" w:space="0" w:color="auto"/>
              <w:bottom w:val="single" w:sz="4" w:space="0" w:color="auto"/>
            </w:tcBorders>
            <w:vAlign w:val="center"/>
          </w:tcPr>
          <w:p w14:paraId="7017662C"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299,0</w:t>
            </w:r>
          </w:p>
        </w:tc>
        <w:tc>
          <w:tcPr>
            <w:tcW w:w="585" w:type="pct"/>
            <w:tcBorders>
              <w:top w:val="single" w:sz="4" w:space="0" w:color="auto"/>
              <w:bottom w:val="single" w:sz="4" w:space="0" w:color="auto"/>
            </w:tcBorders>
            <w:vAlign w:val="center"/>
          </w:tcPr>
          <w:p w14:paraId="4CB797F3" w14:textId="77777777" w:rsidR="000910DB" w:rsidRPr="008A651D" w:rsidRDefault="00A515A0"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2,5</w:t>
            </w:r>
          </w:p>
        </w:tc>
        <w:tc>
          <w:tcPr>
            <w:tcW w:w="599" w:type="pct"/>
            <w:tcBorders>
              <w:top w:val="single" w:sz="4" w:space="0" w:color="auto"/>
              <w:bottom w:val="single" w:sz="4" w:space="0" w:color="auto"/>
            </w:tcBorders>
            <w:vAlign w:val="center"/>
          </w:tcPr>
          <w:p w14:paraId="3A4D29C2" w14:textId="77777777" w:rsidR="000910DB" w:rsidRPr="008A651D" w:rsidRDefault="00A515A0" w:rsidP="00692D17">
            <w:pPr>
              <w:widowControl w:val="0"/>
              <w:spacing w:before="0" w:after="0" w:line="240" w:lineRule="auto"/>
              <w:ind w:right="312"/>
              <w:jc w:val="right"/>
              <w:rPr>
                <w:rFonts w:ascii="Times New Roman" w:hAnsi="Times New Roman" w:cs="Times New Roman"/>
              </w:rPr>
            </w:pPr>
            <w:r>
              <w:rPr>
                <w:rFonts w:ascii="Times New Roman" w:hAnsi="Times New Roman" w:cs="Times New Roman"/>
              </w:rPr>
              <w:t>108,6</w:t>
            </w:r>
          </w:p>
        </w:tc>
      </w:tr>
      <w:tr w:rsidR="000910DB" w:rsidRPr="008A651D" w14:paraId="5EBC081B" w14:textId="77777777" w:rsidTr="00692D17">
        <w:trPr>
          <w:trHeight w:val="270"/>
        </w:trPr>
        <w:tc>
          <w:tcPr>
            <w:tcW w:w="3085" w:type="pct"/>
            <w:tcBorders>
              <w:top w:val="single" w:sz="4" w:space="0" w:color="auto"/>
              <w:bottom w:val="single" w:sz="4" w:space="0" w:color="auto"/>
            </w:tcBorders>
            <w:vAlign w:val="bottom"/>
          </w:tcPr>
          <w:p w14:paraId="04CBDDE8" w14:textId="77777777" w:rsidR="000910DB" w:rsidRPr="008A651D" w:rsidRDefault="000910DB" w:rsidP="008A651D">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машиностроение и металлообработка</w:t>
            </w:r>
          </w:p>
        </w:tc>
        <w:tc>
          <w:tcPr>
            <w:tcW w:w="730" w:type="pct"/>
            <w:tcBorders>
              <w:top w:val="single" w:sz="4" w:space="0" w:color="auto"/>
              <w:bottom w:val="single" w:sz="4" w:space="0" w:color="auto"/>
            </w:tcBorders>
            <w:vAlign w:val="center"/>
          </w:tcPr>
          <w:p w14:paraId="1C0CC3FB"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491,7</w:t>
            </w:r>
          </w:p>
        </w:tc>
        <w:tc>
          <w:tcPr>
            <w:tcW w:w="585" w:type="pct"/>
            <w:tcBorders>
              <w:top w:val="single" w:sz="4" w:space="0" w:color="auto"/>
              <w:bottom w:val="single" w:sz="4" w:space="0" w:color="auto"/>
            </w:tcBorders>
            <w:vAlign w:val="center"/>
          </w:tcPr>
          <w:p w14:paraId="30C73E97" w14:textId="77777777" w:rsidR="000910DB" w:rsidRPr="008A651D" w:rsidRDefault="00A515A0"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4,</w:t>
            </w:r>
            <w:r w:rsidR="00AD0801">
              <w:rPr>
                <w:rFonts w:ascii="Times New Roman" w:hAnsi="Times New Roman" w:cs="Times New Roman"/>
              </w:rPr>
              <w:t>1</w:t>
            </w:r>
          </w:p>
        </w:tc>
        <w:tc>
          <w:tcPr>
            <w:tcW w:w="599" w:type="pct"/>
            <w:tcBorders>
              <w:top w:val="single" w:sz="4" w:space="0" w:color="auto"/>
              <w:bottom w:val="single" w:sz="4" w:space="0" w:color="auto"/>
            </w:tcBorders>
            <w:vAlign w:val="center"/>
          </w:tcPr>
          <w:p w14:paraId="66B8E87E" w14:textId="77777777" w:rsidR="000910DB" w:rsidRPr="008A651D" w:rsidRDefault="00A515A0" w:rsidP="00692D17">
            <w:pPr>
              <w:widowControl w:val="0"/>
              <w:spacing w:before="0" w:after="0" w:line="240" w:lineRule="auto"/>
              <w:ind w:right="312"/>
              <w:jc w:val="right"/>
              <w:rPr>
                <w:rFonts w:ascii="Times New Roman" w:hAnsi="Times New Roman" w:cs="Times New Roman"/>
              </w:rPr>
            </w:pPr>
            <w:r>
              <w:rPr>
                <w:rFonts w:ascii="Times New Roman" w:hAnsi="Times New Roman" w:cs="Times New Roman"/>
              </w:rPr>
              <w:t>122,1</w:t>
            </w:r>
          </w:p>
        </w:tc>
      </w:tr>
      <w:tr w:rsidR="000910DB" w:rsidRPr="008A651D" w14:paraId="5C06B1A1" w14:textId="77777777" w:rsidTr="00692D17">
        <w:trPr>
          <w:trHeight w:val="270"/>
        </w:trPr>
        <w:tc>
          <w:tcPr>
            <w:tcW w:w="3085" w:type="pct"/>
            <w:tcBorders>
              <w:top w:val="single" w:sz="4" w:space="0" w:color="auto"/>
              <w:bottom w:val="single" w:sz="4" w:space="0" w:color="auto"/>
            </w:tcBorders>
            <w:vAlign w:val="bottom"/>
          </w:tcPr>
          <w:p w14:paraId="6E8FE7F2" w14:textId="77777777" w:rsidR="000910DB" w:rsidRPr="008A651D" w:rsidRDefault="000910DB" w:rsidP="008A651D">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электротехническая промышленность</w:t>
            </w:r>
          </w:p>
        </w:tc>
        <w:tc>
          <w:tcPr>
            <w:tcW w:w="730" w:type="pct"/>
            <w:tcBorders>
              <w:top w:val="single" w:sz="4" w:space="0" w:color="auto"/>
              <w:bottom w:val="single" w:sz="4" w:space="0" w:color="auto"/>
            </w:tcBorders>
            <w:vAlign w:val="center"/>
          </w:tcPr>
          <w:p w14:paraId="21C21D96"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272,3</w:t>
            </w:r>
          </w:p>
        </w:tc>
        <w:tc>
          <w:tcPr>
            <w:tcW w:w="585" w:type="pct"/>
            <w:tcBorders>
              <w:top w:val="single" w:sz="4" w:space="0" w:color="auto"/>
              <w:bottom w:val="single" w:sz="4" w:space="0" w:color="auto"/>
            </w:tcBorders>
            <w:vAlign w:val="center"/>
          </w:tcPr>
          <w:p w14:paraId="2EF5C1E9"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2,2</w:t>
            </w:r>
          </w:p>
        </w:tc>
        <w:tc>
          <w:tcPr>
            <w:tcW w:w="599" w:type="pct"/>
            <w:tcBorders>
              <w:top w:val="single" w:sz="4" w:space="0" w:color="auto"/>
              <w:bottom w:val="single" w:sz="4" w:space="0" w:color="auto"/>
            </w:tcBorders>
            <w:vAlign w:val="center"/>
          </w:tcPr>
          <w:p w14:paraId="251CC6E3" w14:textId="77777777" w:rsidR="000910DB" w:rsidRPr="008A651D" w:rsidRDefault="00A515A0" w:rsidP="00692D17">
            <w:pPr>
              <w:widowControl w:val="0"/>
              <w:spacing w:before="0" w:after="0" w:line="240" w:lineRule="auto"/>
              <w:ind w:right="312"/>
              <w:jc w:val="right"/>
              <w:rPr>
                <w:rFonts w:ascii="Times New Roman" w:hAnsi="Times New Roman" w:cs="Times New Roman"/>
              </w:rPr>
            </w:pPr>
            <w:r>
              <w:rPr>
                <w:rFonts w:ascii="Times New Roman" w:hAnsi="Times New Roman" w:cs="Times New Roman"/>
              </w:rPr>
              <w:t>108,6</w:t>
            </w:r>
          </w:p>
        </w:tc>
      </w:tr>
      <w:tr w:rsidR="000910DB" w:rsidRPr="008A651D" w14:paraId="0A7F5687" w14:textId="77777777" w:rsidTr="00692D17">
        <w:trPr>
          <w:trHeight w:val="60"/>
        </w:trPr>
        <w:tc>
          <w:tcPr>
            <w:tcW w:w="3085" w:type="pct"/>
            <w:tcBorders>
              <w:top w:val="single" w:sz="4" w:space="0" w:color="auto"/>
              <w:bottom w:val="single" w:sz="4" w:space="0" w:color="auto"/>
            </w:tcBorders>
            <w:vAlign w:val="bottom"/>
          </w:tcPr>
          <w:p w14:paraId="07D94C0D" w14:textId="77777777" w:rsidR="000910DB" w:rsidRPr="008A651D" w:rsidRDefault="000910DB" w:rsidP="008A651D">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лесная и деревообрабатывающая промышленность</w:t>
            </w:r>
          </w:p>
        </w:tc>
        <w:tc>
          <w:tcPr>
            <w:tcW w:w="730" w:type="pct"/>
            <w:tcBorders>
              <w:top w:val="single" w:sz="4" w:space="0" w:color="auto"/>
              <w:bottom w:val="single" w:sz="4" w:space="0" w:color="auto"/>
            </w:tcBorders>
            <w:vAlign w:val="center"/>
          </w:tcPr>
          <w:p w14:paraId="36474B0A"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7,7</w:t>
            </w:r>
          </w:p>
        </w:tc>
        <w:tc>
          <w:tcPr>
            <w:tcW w:w="585" w:type="pct"/>
            <w:tcBorders>
              <w:top w:val="single" w:sz="4" w:space="0" w:color="auto"/>
              <w:bottom w:val="single" w:sz="4" w:space="0" w:color="auto"/>
            </w:tcBorders>
            <w:vAlign w:val="center"/>
          </w:tcPr>
          <w:p w14:paraId="6816A0F0"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0,1</w:t>
            </w:r>
          </w:p>
        </w:tc>
        <w:tc>
          <w:tcPr>
            <w:tcW w:w="599" w:type="pct"/>
            <w:tcBorders>
              <w:top w:val="single" w:sz="4" w:space="0" w:color="auto"/>
              <w:bottom w:val="single" w:sz="4" w:space="0" w:color="auto"/>
            </w:tcBorders>
            <w:vAlign w:val="center"/>
          </w:tcPr>
          <w:p w14:paraId="4728FD04"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89,2</w:t>
            </w:r>
          </w:p>
        </w:tc>
      </w:tr>
      <w:tr w:rsidR="000910DB" w:rsidRPr="008A651D" w14:paraId="1C435AA5" w14:textId="77777777" w:rsidTr="00692D17">
        <w:trPr>
          <w:trHeight w:val="111"/>
        </w:trPr>
        <w:tc>
          <w:tcPr>
            <w:tcW w:w="3085" w:type="pct"/>
            <w:tcBorders>
              <w:top w:val="single" w:sz="4" w:space="0" w:color="auto"/>
              <w:bottom w:val="single" w:sz="4" w:space="0" w:color="auto"/>
            </w:tcBorders>
            <w:vAlign w:val="bottom"/>
          </w:tcPr>
          <w:p w14:paraId="522724E0" w14:textId="77777777" w:rsidR="000910DB" w:rsidRPr="008A651D" w:rsidRDefault="000910DB" w:rsidP="008A651D">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промышленность строительных материалов</w:t>
            </w:r>
          </w:p>
        </w:tc>
        <w:tc>
          <w:tcPr>
            <w:tcW w:w="730" w:type="pct"/>
            <w:tcBorders>
              <w:top w:val="single" w:sz="4" w:space="0" w:color="auto"/>
              <w:bottom w:val="single" w:sz="4" w:space="0" w:color="auto"/>
            </w:tcBorders>
            <w:vAlign w:val="center"/>
          </w:tcPr>
          <w:p w14:paraId="42BE892E"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631,3</w:t>
            </w:r>
          </w:p>
        </w:tc>
        <w:tc>
          <w:tcPr>
            <w:tcW w:w="585" w:type="pct"/>
            <w:tcBorders>
              <w:top w:val="single" w:sz="4" w:space="0" w:color="auto"/>
              <w:bottom w:val="single" w:sz="4" w:space="0" w:color="auto"/>
            </w:tcBorders>
            <w:vAlign w:val="center"/>
          </w:tcPr>
          <w:p w14:paraId="22A18174" w14:textId="77777777" w:rsidR="000910DB" w:rsidRPr="008A651D" w:rsidRDefault="00A515A0"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5,2</w:t>
            </w:r>
          </w:p>
        </w:tc>
        <w:tc>
          <w:tcPr>
            <w:tcW w:w="599" w:type="pct"/>
            <w:tcBorders>
              <w:top w:val="single" w:sz="4" w:space="0" w:color="auto"/>
              <w:bottom w:val="single" w:sz="4" w:space="0" w:color="auto"/>
            </w:tcBorders>
            <w:vAlign w:val="center"/>
          </w:tcPr>
          <w:p w14:paraId="28F00D84"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105,3</w:t>
            </w:r>
          </w:p>
        </w:tc>
      </w:tr>
      <w:tr w:rsidR="000910DB" w:rsidRPr="008A651D" w14:paraId="2E919120" w14:textId="77777777" w:rsidTr="00692D17">
        <w:trPr>
          <w:trHeight w:val="240"/>
        </w:trPr>
        <w:tc>
          <w:tcPr>
            <w:tcW w:w="3085" w:type="pct"/>
            <w:tcBorders>
              <w:top w:val="single" w:sz="4" w:space="0" w:color="auto"/>
              <w:bottom w:val="single" w:sz="4" w:space="0" w:color="auto"/>
            </w:tcBorders>
            <w:vAlign w:val="bottom"/>
          </w:tcPr>
          <w:p w14:paraId="5EF92FAD" w14:textId="77777777" w:rsidR="000910DB" w:rsidRPr="008A651D" w:rsidRDefault="000910DB" w:rsidP="008A651D">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лёгкая промышленность</w:t>
            </w:r>
          </w:p>
        </w:tc>
        <w:tc>
          <w:tcPr>
            <w:tcW w:w="730" w:type="pct"/>
            <w:tcBorders>
              <w:top w:val="single" w:sz="4" w:space="0" w:color="auto"/>
              <w:bottom w:val="single" w:sz="4" w:space="0" w:color="auto"/>
            </w:tcBorders>
            <w:vAlign w:val="center"/>
          </w:tcPr>
          <w:p w14:paraId="18A6E17B"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1 476,3</w:t>
            </w:r>
          </w:p>
        </w:tc>
        <w:tc>
          <w:tcPr>
            <w:tcW w:w="585" w:type="pct"/>
            <w:tcBorders>
              <w:top w:val="single" w:sz="4" w:space="0" w:color="auto"/>
              <w:bottom w:val="single" w:sz="4" w:space="0" w:color="auto"/>
            </w:tcBorders>
            <w:vAlign w:val="center"/>
          </w:tcPr>
          <w:p w14:paraId="5524F929" w14:textId="77777777" w:rsidR="000910DB" w:rsidRPr="008A651D" w:rsidRDefault="00A515A0"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12,1</w:t>
            </w:r>
          </w:p>
        </w:tc>
        <w:tc>
          <w:tcPr>
            <w:tcW w:w="599" w:type="pct"/>
            <w:tcBorders>
              <w:top w:val="single" w:sz="4" w:space="0" w:color="auto"/>
              <w:bottom w:val="single" w:sz="4" w:space="0" w:color="auto"/>
            </w:tcBorders>
            <w:vAlign w:val="center"/>
          </w:tcPr>
          <w:p w14:paraId="06776CB2"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95,1</w:t>
            </w:r>
          </w:p>
        </w:tc>
      </w:tr>
      <w:tr w:rsidR="000910DB" w:rsidRPr="008A651D" w14:paraId="1A938717" w14:textId="77777777" w:rsidTr="00692D17">
        <w:trPr>
          <w:trHeight w:val="240"/>
        </w:trPr>
        <w:tc>
          <w:tcPr>
            <w:tcW w:w="3085" w:type="pct"/>
            <w:tcBorders>
              <w:top w:val="single" w:sz="4" w:space="0" w:color="auto"/>
              <w:bottom w:val="single" w:sz="4" w:space="0" w:color="auto"/>
            </w:tcBorders>
            <w:vAlign w:val="bottom"/>
          </w:tcPr>
          <w:p w14:paraId="217955C3" w14:textId="77777777" w:rsidR="000910DB" w:rsidRPr="008A651D" w:rsidRDefault="000910DB" w:rsidP="008A651D">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пищевая промышленность</w:t>
            </w:r>
          </w:p>
        </w:tc>
        <w:tc>
          <w:tcPr>
            <w:tcW w:w="730" w:type="pct"/>
            <w:tcBorders>
              <w:top w:val="single" w:sz="4" w:space="0" w:color="auto"/>
              <w:bottom w:val="single" w:sz="4" w:space="0" w:color="auto"/>
            </w:tcBorders>
            <w:vAlign w:val="center"/>
          </w:tcPr>
          <w:p w14:paraId="46DBEB36" w14:textId="77777777" w:rsidR="000910DB" w:rsidRPr="008A651D" w:rsidRDefault="00C71D58"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1 728,6</w:t>
            </w:r>
          </w:p>
        </w:tc>
        <w:tc>
          <w:tcPr>
            <w:tcW w:w="585" w:type="pct"/>
            <w:tcBorders>
              <w:top w:val="single" w:sz="4" w:space="0" w:color="auto"/>
              <w:bottom w:val="single" w:sz="4" w:space="0" w:color="auto"/>
            </w:tcBorders>
            <w:vAlign w:val="center"/>
          </w:tcPr>
          <w:p w14:paraId="7DDB5A7E" w14:textId="77777777" w:rsidR="000910DB" w:rsidRPr="008A651D" w:rsidRDefault="00A515A0" w:rsidP="00692D17">
            <w:pPr>
              <w:widowControl w:val="0"/>
              <w:spacing w:before="0" w:after="0" w:line="240" w:lineRule="auto"/>
              <w:ind w:left="-28" w:right="397"/>
              <w:jc w:val="right"/>
              <w:rPr>
                <w:rFonts w:ascii="Times New Roman" w:hAnsi="Times New Roman" w:cs="Times New Roman"/>
              </w:rPr>
            </w:pPr>
            <w:r>
              <w:rPr>
                <w:rFonts w:ascii="Times New Roman" w:hAnsi="Times New Roman" w:cs="Times New Roman"/>
              </w:rPr>
              <w:t>14,2</w:t>
            </w:r>
          </w:p>
        </w:tc>
        <w:tc>
          <w:tcPr>
            <w:tcW w:w="599" w:type="pct"/>
            <w:tcBorders>
              <w:top w:val="single" w:sz="4" w:space="0" w:color="auto"/>
              <w:bottom w:val="single" w:sz="4" w:space="0" w:color="auto"/>
            </w:tcBorders>
            <w:vAlign w:val="center"/>
          </w:tcPr>
          <w:p w14:paraId="632B98D8" w14:textId="77777777" w:rsidR="000910DB" w:rsidRPr="008A651D" w:rsidRDefault="00A515A0" w:rsidP="00692D17">
            <w:pPr>
              <w:widowControl w:val="0"/>
              <w:spacing w:before="0" w:after="0" w:line="240" w:lineRule="auto"/>
              <w:ind w:right="312"/>
              <w:jc w:val="right"/>
              <w:rPr>
                <w:rFonts w:ascii="Times New Roman" w:hAnsi="Times New Roman" w:cs="Times New Roman"/>
              </w:rPr>
            </w:pPr>
            <w:r>
              <w:rPr>
                <w:rFonts w:ascii="Times New Roman" w:hAnsi="Times New Roman" w:cs="Times New Roman"/>
              </w:rPr>
              <w:t>104,7</w:t>
            </w:r>
          </w:p>
        </w:tc>
      </w:tr>
      <w:tr w:rsidR="000910DB" w:rsidRPr="008A651D" w14:paraId="1C7665B4" w14:textId="77777777" w:rsidTr="00692D17">
        <w:trPr>
          <w:trHeight w:val="71"/>
        </w:trPr>
        <w:tc>
          <w:tcPr>
            <w:tcW w:w="3085" w:type="pct"/>
            <w:tcBorders>
              <w:top w:val="single" w:sz="4" w:space="0" w:color="auto"/>
              <w:bottom w:val="single" w:sz="4" w:space="0" w:color="auto"/>
            </w:tcBorders>
            <w:vAlign w:val="bottom"/>
          </w:tcPr>
          <w:p w14:paraId="28B2310F" w14:textId="77777777" w:rsidR="000910DB" w:rsidRPr="008A651D" w:rsidRDefault="000910DB" w:rsidP="00B2387C">
            <w:pPr>
              <w:widowControl w:val="0"/>
              <w:tabs>
                <w:tab w:val="left" w:pos="526"/>
              </w:tabs>
              <w:spacing w:before="0" w:after="0" w:line="240" w:lineRule="auto"/>
              <w:ind w:left="421" w:hanging="137"/>
              <w:rPr>
                <w:rFonts w:ascii="Times New Roman" w:hAnsi="Times New Roman" w:cs="Times New Roman"/>
                <w:snapToGrid w:val="0"/>
                <w:sz w:val="22"/>
                <w:szCs w:val="22"/>
              </w:rPr>
            </w:pPr>
            <w:r w:rsidRPr="008A651D">
              <w:rPr>
                <w:rFonts w:ascii="Times New Roman" w:hAnsi="Times New Roman" w:cs="Times New Roman"/>
                <w:snapToGrid w:val="0"/>
                <w:sz w:val="22"/>
                <w:szCs w:val="22"/>
              </w:rPr>
              <w:t>- мукомольно-крупяная и комбикормовая промышленность</w:t>
            </w:r>
          </w:p>
        </w:tc>
        <w:tc>
          <w:tcPr>
            <w:tcW w:w="730" w:type="pct"/>
            <w:tcBorders>
              <w:top w:val="single" w:sz="4" w:space="0" w:color="auto"/>
              <w:bottom w:val="single" w:sz="4" w:space="0" w:color="auto"/>
            </w:tcBorders>
            <w:vAlign w:val="center"/>
          </w:tcPr>
          <w:p w14:paraId="5710CCA9"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161,7</w:t>
            </w:r>
          </w:p>
        </w:tc>
        <w:tc>
          <w:tcPr>
            <w:tcW w:w="585" w:type="pct"/>
            <w:tcBorders>
              <w:top w:val="single" w:sz="4" w:space="0" w:color="auto"/>
              <w:bottom w:val="single" w:sz="4" w:space="0" w:color="auto"/>
            </w:tcBorders>
            <w:vAlign w:val="center"/>
          </w:tcPr>
          <w:p w14:paraId="3A8862C9"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1,3</w:t>
            </w:r>
          </w:p>
        </w:tc>
        <w:tc>
          <w:tcPr>
            <w:tcW w:w="599" w:type="pct"/>
            <w:tcBorders>
              <w:top w:val="single" w:sz="4" w:space="0" w:color="auto"/>
              <w:bottom w:val="single" w:sz="4" w:space="0" w:color="auto"/>
            </w:tcBorders>
            <w:vAlign w:val="center"/>
          </w:tcPr>
          <w:p w14:paraId="1D42885F"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98,8</w:t>
            </w:r>
          </w:p>
        </w:tc>
      </w:tr>
      <w:tr w:rsidR="000910DB" w:rsidRPr="008A651D" w14:paraId="6B9BE9F9" w14:textId="77777777" w:rsidTr="00692D17">
        <w:trPr>
          <w:trHeight w:val="141"/>
        </w:trPr>
        <w:tc>
          <w:tcPr>
            <w:tcW w:w="3085" w:type="pct"/>
            <w:tcBorders>
              <w:top w:val="single" w:sz="4" w:space="0" w:color="auto"/>
            </w:tcBorders>
            <w:vAlign w:val="bottom"/>
          </w:tcPr>
          <w:p w14:paraId="05285EEB" w14:textId="77777777" w:rsidR="000910DB" w:rsidRPr="008A651D" w:rsidRDefault="000910DB" w:rsidP="008A651D">
            <w:pPr>
              <w:widowControl w:val="0"/>
              <w:tabs>
                <w:tab w:val="left" w:pos="396"/>
              </w:tabs>
              <w:spacing w:before="0" w:after="0" w:line="240" w:lineRule="auto"/>
              <w:ind w:left="284"/>
              <w:rPr>
                <w:rFonts w:ascii="Times New Roman" w:hAnsi="Times New Roman" w:cs="Times New Roman"/>
                <w:snapToGrid w:val="0"/>
                <w:sz w:val="22"/>
                <w:szCs w:val="22"/>
              </w:rPr>
            </w:pPr>
            <w:r w:rsidRPr="008A651D">
              <w:rPr>
                <w:rFonts w:ascii="Times New Roman" w:hAnsi="Times New Roman" w:cs="Times New Roman"/>
                <w:snapToGrid w:val="0"/>
                <w:sz w:val="22"/>
                <w:szCs w:val="22"/>
              </w:rPr>
              <w:t>- полиграфическая промышленность</w:t>
            </w:r>
          </w:p>
        </w:tc>
        <w:tc>
          <w:tcPr>
            <w:tcW w:w="730" w:type="pct"/>
            <w:tcBorders>
              <w:top w:val="single" w:sz="4" w:space="0" w:color="auto"/>
            </w:tcBorders>
            <w:vAlign w:val="center"/>
          </w:tcPr>
          <w:p w14:paraId="78CE1D82"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25,0</w:t>
            </w:r>
          </w:p>
        </w:tc>
        <w:tc>
          <w:tcPr>
            <w:tcW w:w="585" w:type="pct"/>
            <w:tcBorders>
              <w:top w:val="single" w:sz="4" w:space="0" w:color="auto"/>
            </w:tcBorders>
            <w:vAlign w:val="center"/>
          </w:tcPr>
          <w:p w14:paraId="164EF0A7" w14:textId="77777777" w:rsidR="000910DB" w:rsidRPr="008A651D" w:rsidRDefault="000910DB" w:rsidP="00692D17">
            <w:pPr>
              <w:widowControl w:val="0"/>
              <w:spacing w:before="0" w:after="0" w:line="240" w:lineRule="auto"/>
              <w:ind w:left="-28" w:right="397"/>
              <w:jc w:val="right"/>
              <w:rPr>
                <w:rFonts w:ascii="Times New Roman" w:hAnsi="Times New Roman" w:cs="Times New Roman"/>
              </w:rPr>
            </w:pPr>
            <w:r w:rsidRPr="008A651D">
              <w:rPr>
                <w:rFonts w:ascii="Times New Roman" w:hAnsi="Times New Roman" w:cs="Times New Roman"/>
              </w:rPr>
              <w:t>0,2</w:t>
            </w:r>
          </w:p>
        </w:tc>
        <w:tc>
          <w:tcPr>
            <w:tcW w:w="599" w:type="pct"/>
            <w:tcBorders>
              <w:top w:val="single" w:sz="4" w:space="0" w:color="auto"/>
            </w:tcBorders>
            <w:vAlign w:val="center"/>
          </w:tcPr>
          <w:p w14:paraId="6D72E3D9" w14:textId="77777777" w:rsidR="000910DB" w:rsidRPr="008A651D" w:rsidRDefault="000910DB" w:rsidP="00692D17">
            <w:pPr>
              <w:widowControl w:val="0"/>
              <w:spacing w:before="0" w:after="0" w:line="240" w:lineRule="auto"/>
              <w:ind w:right="312"/>
              <w:jc w:val="right"/>
              <w:rPr>
                <w:rFonts w:ascii="Times New Roman" w:hAnsi="Times New Roman" w:cs="Times New Roman"/>
              </w:rPr>
            </w:pPr>
            <w:r w:rsidRPr="008A651D">
              <w:rPr>
                <w:rFonts w:ascii="Times New Roman" w:hAnsi="Times New Roman" w:cs="Times New Roman"/>
              </w:rPr>
              <w:t>97,4</w:t>
            </w:r>
          </w:p>
        </w:tc>
      </w:tr>
    </w:tbl>
    <w:p w14:paraId="576BF642" w14:textId="77777777" w:rsidR="000910DB" w:rsidRPr="008A651D" w:rsidRDefault="006A090D" w:rsidP="00AD0801">
      <w:pPr>
        <w:spacing w:before="12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Порядка трети совокупного</w:t>
      </w:r>
      <w:r w:rsidR="000910DB" w:rsidRPr="008A651D">
        <w:rPr>
          <w:rFonts w:ascii="Times New Roman" w:hAnsi="Times New Roman" w:cs="Times New Roman"/>
          <w:sz w:val="24"/>
          <w:szCs w:val="24"/>
        </w:rPr>
        <w:t xml:space="preserve"> объёма производства был</w:t>
      </w:r>
      <w:r w:rsidR="00AD0801">
        <w:rPr>
          <w:rFonts w:ascii="Times New Roman" w:hAnsi="Times New Roman" w:cs="Times New Roman"/>
          <w:sz w:val="24"/>
          <w:szCs w:val="24"/>
        </w:rPr>
        <w:t>о</w:t>
      </w:r>
      <w:r w:rsidR="000910DB" w:rsidRPr="008A651D">
        <w:rPr>
          <w:rFonts w:ascii="Times New Roman" w:hAnsi="Times New Roman" w:cs="Times New Roman"/>
          <w:sz w:val="24"/>
          <w:szCs w:val="24"/>
        </w:rPr>
        <w:t xml:space="preserve"> сформирован</w:t>
      </w:r>
      <w:r w:rsidR="00AD0801">
        <w:rPr>
          <w:rFonts w:ascii="Times New Roman" w:hAnsi="Times New Roman" w:cs="Times New Roman"/>
          <w:sz w:val="24"/>
          <w:szCs w:val="24"/>
        </w:rPr>
        <w:t>о</w:t>
      </w:r>
      <w:r w:rsidR="000910DB" w:rsidRPr="008A651D">
        <w:rPr>
          <w:rFonts w:ascii="Times New Roman" w:hAnsi="Times New Roman" w:cs="Times New Roman"/>
          <w:sz w:val="24"/>
          <w:szCs w:val="24"/>
        </w:rPr>
        <w:t xml:space="preserve"> предп</w:t>
      </w:r>
      <w:r>
        <w:rPr>
          <w:rFonts w:ascii="Times New Roman" w:hAnsi="Times New Roman" w:cs="Times New Roman"/>
          <w:sz w:val="24"/>
          <w:szCs w:val="24"/>
        </w:rPr>
        <w:t>риятиями электроэнергетики (25,2</w:t>
      </w:r>
      <w:r w:rsidR="000910DB" w:rsidRPr="008A651D">
        <w:rPr>
          <w:rFonts w:ascii="Times New Roman" w:hAnsi="Times New Roman" w:cs="Times New Roman"/>
          <w:sz w:val="24"/>
          <w:szCs w:val="24"/>
        </w:rPr>
        <w:t>% годом ранее), выработка на которых по итогам 2019 г</w:t>
      </w:r>
      <w:r>
        <w:rPr>
          <w:rFonts w:ascii="Times New Roman" w:hAnsi="Times New Roman" w:cs="Times New Roman"/>
          <w:sz w:val="24"/>
          <w:szCs w:val="24"/>
        </w:rPr>
        <w:t>ода возросла на 5,9%, до 3 752,1</w:t>
      </w:r>
      <w:r w:rsidR="000910DB" w:rsidRPr="008A651D">
        <w:rPr>
          <w:rFonts w:ascii="Times New Roman" w:hAnsi="Times New Roman" w:cs="Times New Roman"/>
          <w:sz w:val="24"/>
          <w:szCs w:val="24"/>
        </w:rPr>
        <w:t xml:space="preserve"> млн руб. В натуральном выражении объём сгенерированной</w:t>
      </w:r>
      <w:r>
        <w:rPr>
          <w:rFonts w:ascii="Times New Roman" w:hAnsi="Times New Roman" w:cs="Times New Roman"/>
          <w:sz w:val="24"/>
          <w:szCs w:val="24"/>
        </w:rPr>
        <w:t xml:space="preserve"> электроэнергии составил 4 719,2</w:t>
      </w:r>
      <w:r w:rsidR="00983334">
        <w:rPr>
          <w:rFonts w:ascii="Times New Roman" w:hAnsi="Times New Roman" w:cs="Times New Roman"/>
          <w:sz w:val="24"/>
          <w:szCs w:val="24"/>
        </w:rPr>
        <w:t xml:space="preserve"> млн кВт/ч (+7</w:t>
      </w:r>
      <w:r>
        <w:rPr>
          <w:rFonts w:ascii="Times New Roman" w:hAnsi="Times New Roman" w:cs="Times New Roman"/>
          <w:sz w:val="24"/>
          <w:szCs w:val="24"/>
        </w:rPr>
        <w:t>,1</w:t>
      </w:r>
      <w:r w:rsidR="000910DB" w:rsidRPr="008A651D">
        <w:rPr>
          <w:rFonts w:ascii="Times New Roman" w:hAnsi="Times New Roman" w:cs="Times New Roman"/>
          <w:sz w:val="24"/>
          <w:szCs w:val="24"/>
        </w:rPr>
        <w:t xml:space="preserve">%). Высокие результаты отрасли во многом определялись стабильными поставками электроэнергии на экспорт. </w:t>
      </w:r>
    </w:p>
    <w:p w14:paraId="63D3251B" w14:textId="7AA0875A" w:rsidR="000910DB" w:rsidRPr="008A651D" w:rsidRDefault="000910DB" w:rsidP="008A651D">
      <w:pPr>
        <w:spacing w:before="0" w:after="0" w:line="240" w:lineRule="auto"/>
        <w:ind w:right="-1"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Несмотря на то, что чёрная металлургия в отчётном периоде испытывала сложности как с поставками сырья, так и с реализацией готовой продукции на внешние рынки, во внутригодовой динамике разрыв между производственными параметрами отчётного и базисного периодов </w:t>
      </w:r>
      <w:r w:rsidR="00C731F8">
        <w:rPr>
          <w:rFonts w:ascii="Times New Roman" w:hAnsi="Times New Roman" w:cs="Times New Roman"/>
          <w:sz w:val="24"/>
          <w:szCs w:val="24"/>
        </w:rPr>
        <w:t>сокращался</w:t>
      </w:r>
      <w:r w:rsidRPr="008A651D">
        <w:rPr>
          <w:rFonts w:ascii="Times New Roman" w:hAnsi="Times New Roman" w:cs="Times New Roman"/>
          <w:sz w:val="24"/>
          <w:szCs w:val="24"/>
        </w:rPr>
        <w:t xml:space="preserve">. </w:t>
      </w:r>
      <w:r w:rsidR="005A6289">
        <w:rPr>
          <w:rFonts w:ascii="Times New Roman" w:hAnsi="Times New Roman" w:cs="Times New Roman"/>
          <w:sz w:val="24"/>
          <w:szCs w:val="24"/>
        </w:rPr>
        <w:t>В</w:t>
      </w:r>
      <w:r w:rsidRPr="008A651D">
        <w:rPr>
          <w:rFonts w:ascii="Times New Roman" w:hAnsi="Times New Roman" w:cs="Times New Roman"/>
          <w:sz w:val="24"/>
          <w:szCs w:val="24"/>
        </w:rPr>
        <w:t xml:space="preserve">ыпуск по итогам года составил </w:t>
      </w:r>
      <w:r w:rsidR="006A090D">
        <w:rPr>
          <w:rFonts w:ascii="Times New Roman" w:hAnsi="Times New Roman" w:cs="Times New Roman"/>
          <w:sz w:val="24"/>
          <w:szCs w:val="24"/>
        </w:rPr>
        <w:t>3 311,2 млн руб. (27,2</w:t>
      </w:r>
      <w:r w:rsidRPr="008A651D">
        <w:rPr>
          <w:rFonts w:ascii="Times New Roman" w:hAnsi="Times New Roman" w:cs="Times New Roman"/>
          <w:sz w:val="24"/>
          <w:szCs w:val="24"/>
        </w:rPr>
        <w:t>% в структуре совокупного объёма произв</w:t>
      </w:r>
      <w:r w:rsidR="006A090D">
        <w:rPr>
          <w:rFonts w:ascii="Times New Roman" w:hAnsi="Times New Roman" w:cs="Times New Roman"/>
          <w:sz w:val="24"/>
          <w:szCs w:val="24"/>
        </w:rPr>
        <w:t>одства против 36,8</w:t>
      </w:r>
      <w:r w:rsidR="00EA4AD3" w:rsidRPr="008A651D">
        <w:rPr>
          <w:rFonts w:ascii="Times New Roman" w:hAnsi="Times New Roman" w:cs="Times New Roman"/>
          <w:sz w:val="24"/>
          <w:szCs w:val="24"/>
        </w:rPr>
        <w:t>% годом ранее</w:t>
      </w:r>
      <w:r w:rsidRPr="008A651D">
        <w:rPr>
          <w:rFonts w:ascii="Times New Roman" w:hAnsi="Times New Roman" w:cs="Times New Roman"/>
          <w:sz w:val="24"/>
          <w:szCs w:val="24"/>
        </w:rPr>
        <w:t xml:space="preserve">), что на 18,4% ниже показателя 2018 года. </w:t>
      </w:r>
    </w:p>
    <w:p w14:paraId="36436290" w14:textId="77777777" w:rsidR="001B5FB7" w:rsidRPr="008A651D" w:rsidRDefault="001B5FB7" w:rsidP="008A651D">
      <w:pPr>
        <w:spacing w:before="0" w:after="0" w:line="240" w:lineRule="auto"/>
        <w:ind w:right="-1" w:firstLine="425"/>
        <w:jc w:val="both"/>
        <w:rPr>
          <w:rFonts w:ascii="Times New Roman" w:hAnsi="Times New Roman" w:cs="Times New Roman"/>
          <w:strike/>
          <w:sz w:val="24"/>
          <w:szCs w:val="24"/>
        </w:rPr>
      </w:pPr>
      <w:r w:rsidRPr="008A651D">
        <w:rPr>
          <w:rFonts w:ascii="Times New Roman" w:hAnsi="Times New Roman" w:cs="Times New Roman"/>
          <w:sz w:val="24"/>
          <w:szCs w:val="24"/>
        </w:rPr>
        <w:lastRenderedPageBreak/>
        <w:t>Производственные п</w:t>
      </w:r>
      <w:r w:rsidR="00EA4AD3" w:rsidRPr="008A651D">
        <w:rPr>
          <w:rFonts w:ascii="Times New Roman" w:hAnsi="Times New Roman" w:cs="Times New Roman"/>
          <w:sz w:val="24"/>
          <w:szCs w:val="24"/>
        </w:rPr>
        <w:t xml:space="preserve">араметры лёгкой </w:t>
      </w:r>
      <w:r w:rsidR="00EA4AD3" w:rsidRPr="00C731F8">
        <w:rPr>
          <w:rFonts w:ascii="Times New Roman" w:hAnsi="Times New Roman" w:cs="Times New Roman"/>
          <w:sz w:val="24"/>
          <w:szCs w:val="24"/>
        </w:rPr>
        <w:t xml:space="preserve">промышленности </w:t>
      </w:r>
      <w:r w:rsidRPr="00C731F8">
        <w:rPr>
          <w:rFonts w:ascii="Times New Roman" w:hAnsi="Times New Roman" w:cs="Times New Roman"/>
          <w:sz w:val="24"/>
          <w:szCs w:val="24"/>
        </w:rPr>
        <w:t>характеризовались снижением на протяжении практически всего года, что во многом было связано со сложностями реализации товаров, обусловленными высоким уровнем конкуренции на заруб</w:t>
      </w:r>
      <w:r w:rsidRPr="008A651D">
        <w:rPr>
          <w:rFonts w:ascii="Times New Roman" w:hAnsi="Times New Roman" w:cs="Times New Roman"/>
          <w:sz w:val="24"/>
          <w:szCs w:val="24"/>
        </w:rPr>
        <w:t xml:space="preserve">ежных рынках. </w:t>
      </w:r>
      <w:r w:rsidR="00C731F8">
        <w:rPr>
          <w:rFonts w:ascii="Times New Roman" w:hAnsi="Times New Roman" w:cs="Times New Roman"/>
          <w:sz w:val="24"/>
          <w:szCs w:val="24"/>
        </w:rPr>
        <w:t>В целом</w:t>
      </w:r>
      <w:r w:rsidRPr="008A651D">
        <w:rPr>
          <w:rFonts w:ascii="Times New Roman" w:hAnsi="Times New Roman" w:cs="Times New Roman"/>
          <w:sz w:val="24"/>
          <w:szCs w:val="24"/>
        </w:rPr>
        <w:t xml:space="preserve"> объём выработки за 2019 год сократился на 4,9%, до 1 476,3 млн руб. Удельный вес отрасли в совокупном объёме выпу</w:t>
      </w:r>
      <w:r w:rsidR="006A090D">
        <w:rPr>
          <w:rFonts w:ascii="Times New Roman" w:hAnsi="Times New Roman" w:cs="Times New Roman"/>
          <w:sz w:val="24"/>
          <w:szCs w:val="24"/>
        </w:rPr>
        <w:t>ска зафиксирован на отметке 12,1</w:t>
      </w:r>
      <w:r w:rsidRPr="008A651D">
        <w:rPr>
          <w:rFonts w:ascii="Times New Roman" w:hAnsi="Times New Roman" w:cs="Times New Roman"/>
          <w:sz w:val="24"/>
          <w:szCs w:val="24"/>
        </w:rPr>
        <w:t>%, что сопоставимо с параметрами 2018 года.</w:t>
      </w:r>
    </w:p>
    <w:p w14:paraId="5228FB6A" w14:textId="77777777" w:rsidR="000910DB" w:rsidRPr="006A090D" w:rsidRDefault="00B2387C" w:rsidP="008A651D">
      <w:pPr>
        <w:spacing w:before="0" w:after="0" w:line="240" w:lineRule="auto"/>
        <w:ind w:right="-1" w:firstLine="425"/>
        <w:jc w:val="both"/>
        <w:rPr>
          <w:rFonts w:ascii="Times New Roman" w:hAnsi="Times New Roman" w:cs="Times New Roman"/>
          <w:sz w:val="24"/>
          <w:szCs w:val="24"/>
          <w:highlight w:val="yellow"/>
        </w:rPr>
      </w:pPr>
      <w:r w:rsidRPr="008A651D">
        <w:rPr>
          <w:rFonts w:ascii="Times New Roman" w:hAnsi="Times New Roman" w:cs="Times New Roman"/>
          <w:sz w:val="24"/>
          <w:szCs w:val="24"/>
        </w:rPr>
        <w:t xml:space="preserve">Нарастить </w:t>
      </w:r>
      <w:r w:rsidR="000910DB" w:rsidRPr="008A651D">
        <w:rPr>
          <w:rFonts w:ascii="Times New Roman" w:hAnsi="Times New Roman" w:cs="Times New Roman"/>
          <w:sz w:val="24"/>
          <w:szCs w:val="24"/>
        </w:rPr>
        <w:t xml:space="preserve">объём выработки </w:t>
      </w:r>
      <w:r>
        <w:rPr>
          <w:rFonts w:ascii="Times New Roman" w:hAnsi="Times New Roman" w:cs="Times New Roman"/>
          <w:sz w:val="24"/>
          <w:szCs w:val="24"/>
        </w:rPr>
        <w:t>у</w:t>
      </w:r>
      <w:r w:rsidRPr="008A651D">
        <w:rPr>
          <w:rFonts w:ascii="Times New Roman" w:hAnsi="Times New Roman" w:cs="Times New Roman"/>
          <w:sz w:val="24"/>
          <w:szCs w:val="24"/>
        </w:rPr>
        <w:t xml:space="preserve">далось </w:t>
      </w:r>
      <w:r>
        <w:rPr>
          <w:rFonts w:ascii="Times New Roman" w:hAnsi="Times New Roman" w:cs="Times New Roman"/>
          <w:sz w:val="24"/>
          <w:szCs w:val="24"/>
        </w:rPr>
        <w:t xml:space="preserve">организациям </w:t>
      </w:r>
      <w:r w:rsidR="000910DB" w:rsidRPr="008A651D">
        <w:rPr>
          <w:rFonts w:ascii="Times New Roman" w:hAnsi="Times New Roman" w:cs="Times New Roman"/>
          <w:sz w:val="24"/>
          <w:szCs w:val="24"/>
        </w:rPr>
        <w:t>промышленности строительны</w:t>
      </w:r>
      <w:r w:rsidR="006A090D">
        <w:rPr>
          <w:rFonts w:ascii="Times New Roman" w:hAnsi="Times New Roman" w:cs="Times New Roman"/>
          <w:sz w:val="24"/>
          <w:szCs w:val="24"/>
        </w:rPr>
        <w:t>х материалов – на 5,3%, до 631,3 млн руб. (5,2</w:t>
      </w:r>
      <w:r w:rsidR="000910DB" w:rsidRPr="008A651D">
        <w:rPr>
          <w:rFonts w:ascii="Times New Roman" w:hAnsi="Times New Roman" w:cs="Times New Roman"/>
          <w:sz w:val="24"/>
          <w:szCs w:val="24"/>
        </w:rPr>
        <w:t>% с</w:t>
      </w:r>
      <w:r w:rsidR="006A090D">
        <w:rPr>
          <w:rFonts w:ascii="Times New Roman" w:hAnsi="Times New Roman" w:cs="Times New Roman"/>
          <w:sz w:val="24"/>
          <w:szCs w:val="24"/>
        </w:rPr>
        <w:t>овокупного показателя против 4,8</w:t>
      </w:r>
      <w:r w:rsidR="000910DB" w:rsidRPr="008A651D">
        <w:rPr>
          <w:rFonts w:ascii="Times New Roman" w:hAnsi="Times New Roman" w:cs="Times New Roman"/>
          <w:sz w:val="24"/>
          <w:szCs w:val="24"/>
        </w:rPr>
        <w:t xml:space="preserve">% годом ранее). Загрузка производственных мощностей предприятий машиностроительной промышленности </w:t>
      </w:r>
      <w:r w:rsidR="006A090D">
        <w:rPr>
          <w:rFonts w:ascii="Times New Roman" w:hAnsi="Times New Roman" w:cs="Times New Roman"/>
          <w:sz w:val="24"/>
          <w:szCs w:val="24"/>
        </w:rPr>
        <w:t>увеличилась на 22,1</w:t>
      </w:r>
      <w:r w:rsidR="00A945AB" w:rsidRPr="008A651D">
        <w:rPr>
          <w:rFonts w:ascii="Times New Roman" w:hAnsi="Times New Roman" w:cs="Times New Roman"/>
          <w:sz w:val="24"/>
          <w:szCs w:val="24"/>
        </w:rPr>
        <w:t xml:space="preserve">%, до 491,7 млн руб. В результате </w:t>
      </w:r>
      <w:r w:rsidR="000910DB" w:rsidRPr="008A651D">
        <w:rPr>
          <w:rFonts w:ascii="Times New Roman" w:hAnsi="Times New Roman" w:cs="Times New Roman"/>
          <w:sz w:val="24"/>
          <w:szCs w:val="24"/>
        </w:rPr>
        <w:t xml:space="preserve">структурное представление </w:t>
      </w:r>
      <w:r w:rsidR="00AD0801">
        <w:rPr>
          <w:rFonts w:ascii="Times New Roman" w:hAnsi="Times New Roman" w:cs="Times New Roman"/>
          <w:sz w:val="24"/>
          <w:szCs w:val="24"/>
        </w:rPr>
        <w:t>отрасли расширилось на 0,9</w:t>
      </w:r>
      <w:r w:rsidR="00A945AB" w:rsidRPr="008A651D">
        <w:rPr>
          <w:rFonts w:ascii="Times New Roman" w:hAnsi="Times New Roman" w:cs="Times New Roman"/>
          <w:sz w:val="24"/>
          <w:szCs w:val="24"/>
        </w:rPr>
        <w:t xml:space="preserve"> п.п., </w:t>
      </w:r>
      <w:r w:rsidR="00AD0801">
        <w:rPr>
          <w:rFonts w:ascii="Times New Roman" w:hAnsi="Times New Roman" w:cs="Times New Roman"/>
          <w:sz w:val="24"/>
          <w:szCs w:val="24"/>
        </w:rPr>
        <w:t>до 4,1</w:t>
      </w:r>
      <w:r w:rsidR="000910DB" w:rsidRPr="008A651D">
        <w:rPr>
          <w:rFonts w:ascii="Times New Roman" w:hAnsi="Times New Roman" w:cs="Times New Roman"/>
          <w:sz w:val="24"/>
          <w:szCs w:val="24"/>
        </w:rPr>
        <w:t xml:space="preserve">%. </w:t>
      </w:r>
      <w:r w:rsidR="000910DB" w:rsidRPr="006A090D">
        <w:rPr>
          <w:rFonts w:ascii="Times New Roman" w:hAnsi="Times New Roman" w:cs="Times New Roman"/>
          <w:sz w:val="24"/>
          <w:szCs w:val="24"/>
        </w:rPr>
        <w:t xml:space="preserve">Работа предприятий электротехнической промышленности </w:t>
      </w:r>
      <w:r w:rsidRPr="006A090D">
        <w:rPr>
          <w:rFonts w:ascii="Times New Roman" w:hAnsi="Times New Roman" w:cs="Times New Roman"/>
          <w:sz w:val="24"/>
          <w:szCs w:val="24"/>
        </w:rPr>
        <w:t>показала</w:t>
      </w:r>
      <w:r w:rsidR="000910DB" w:rsidRPr="006A090D">
        <w:rPr>
          <w:rFonts w:ascii="Times New Roman" w:hAnsi="Times New Roman" w:cs="Times New Roman"/>
          <w:sz w:val="24"/>
          <w:szCs w:val="24"/>
        </w:rPr>
        <w:t xml:space="preserve"> рост</w:t>
      </w:r>
      <w:r w:rsidR="006A090D" w:rsidRPr="006A090D">
        <w:rPr>
          <w:rFonts w:ascii="Times New Roman" w:hAnsi="Times New Roman" w:cs="Times New Roman"/>
          <w:sz w:val="24"/>
          <w:szCs w:val="24"/>
        </w:rPr>
        <w:t xml:space="preserve"> на 8,6</w:t>
      </w:r>
      <w:r w:rsidRPr="006A090D">
        <w:rPr>
          <w:rFonts w:ascii="Times New Roman" w:hAnsi="Times New Roman" w:cs="Times New Roman"/>
          <w:sz w:val="24"/>
          <w:szCs w:val="24"/>
        </w:rPr>
        <w:t>%, до 272,</w:t>
      </w:r>
      <w:r w:rsidR="006A090D" w:rsidRPr="006A090D">
        <w:rPr>
          <w:rFonts w:ascii="Times New Roman" w:hAnsi="Times New Roman" w:cs="Times New Roman"/>
          <w:sz w:val="24"/>
          <w:szCs w:val="24"/>
        </w:rPr>
        <w:t>3</w:t>
      </w:r>
      <w:r w:rsidRPr="006A090D">
        <w:rPr>
          <w:rFonts w:ascii="Times New Roman" w:hAnsi="Times New Roman" w:cs="Times New Roman"/>
          <w:sz w:val="24"/>
          <w:szCs w:val="24"/>
        </w:rPr>
        <w:t xml:space="preserve"> млн руб.</w:t>
      </w:r>
      <w:r w:rsidR="000910DB" w:rsidRPr="006A090D">
        <w:rPr>
          <w:rFonts w:ascii="Times New Roman" w:hAnsi="Times New Roman" w:cs="Times New Roman"/>
          <w:sz w:val="24"/>
          <w:szCs w:val="24"/>
        </w:rPr>
        <w:t xml:space="preserve">, что обеспечило </w:t>
      </w:r>
      <w:r w:rsidR="00A945AB" w:rsidRPr="006A090D">
        <w:rPr>
          <w:rFonts w:ascii="Times New Roman" w:hAnsi="Times New Roman" w:cs="Times New Roman"/>
          <w:sz w:val="24"/>
          <w:szCs w:val="24"/>
        </w:rPr>
        <w:t>увеличение</w:t>
      </w:r>
      <w:r w:rsidR="000910DB" w:rsidRPr="006A090D">
        <w:rPr>
          <w:rFonts w:ascii="Times New Roman" w:hAnsi="Times New Roman" w:cs="Times New Roman"/>
          <w:sz w:val="24"/>
          <w:szCs w:val="24"/>
        </w:rPr>
        <w:t xml:space="preserve"> удельного веса отрасли в итоговом показателе на 0,4 п.п., до 2,2%.</w:t>
      </w:r>
      <w:r w:rsidR="000910DB" w:rsidRPr="006A090D">
        <w:rPr>
          <w:rFonts w:ascii="Times New Roman" w:hAnsi="Times New Roman" w:cs="Times New Roman"/>
          <w:sz w:val="24"/>
          <w:szCs w:val="24"/>
          <w:highlight w:val="yellow"/>
        </w:rPr>
        <w:t xml:space="preserve"> </w:t>
      </w:r>
    </w:p>
    <w:p w14:paraId="0941E7D4" w14:textId="77777777" w:rsidR="001B5FB7" w:rsidRPr="003147F9" w:rsidRDefault="001C45F7" w:rsidP="008A651D">
      <w:pPr>
        <w:spacing w:before="0" w:after="0" w:line="240" w:lineRule="auto"/>
        <w:ind w:right="-1" w:firstLine="425"/>
        <w:jc w:val="both"/>
        <w:rPr>
          <w:rFonts w:ascii="Times New Roman" w:hAnsi="Times New Roman" w:cs="Times New Roman"/>
          <w:sz w:val="24"/>
          <w:szCs w:val="24"/>
        </w:rPr>
      </w:pPr>
      <w:r>
        <w:rPr>
          <w:rFonts w:ascii="Times New Roman" w:hAnsi="Times New Roman" w:cs="Times New Roman"/>
          <w:sz w:val="24"/>
          <w:szCs w:val="24"/>
        </w:rPr>
        <w:t>Расширение</w:t>
      </w:r>
      <w:r w:rsidR="001B5FB7" w:rsidRPr="003147F9">
        <w:rPr>
          <w:rFonts w:ascii="Times New Roman" w:hAnsi="Times New Roman" w:cs="Times New Roman"/>
          <w:sz w:val="24"/>
          <w:szCs w:val="24"/>
        </w:rPr>
        <w:t xml:space="preserve"> объёмов производства зафиксировано и в химической пр</w:t>
      </w:r>
      <w:r w:rsidR="003147F9" w:rsidRPr="003147F9">
        <w:rPr>
          <w:rFonts w:ascii="Times New Roman" w:hAnsi="Times New Roman" w:cs="Times New Roman"/>
          <w:sz w:val="24"/>
          <w:szCs w:val="24"/>
        </w:rPr>
        <w:t>омышленности – на 8,6%, до 299,0</w:t>
      </w:r>
      <w:r w:rsidR="001B5FB7" w:rsidRPr="003147F9">
        <w:rPr>
          <w:rFonts w:ascii="Times New Roman" w:hAnsi="Times New Roman" w:cs="Times New Roman"/>
          <w:sz w:val="24"/>
          <w:szCs w:val="24"/>
        </w:rPr>
        <w:t xml:space="preserve"> млн руб. Структурное представление отрасли в сов</w:t>
      </w:r>
      <w:r w:rsidR="003147F9" w:rsidRPr="003147F9">
        <w:rPr>
          <w:rFonts w:ascii="Times New Roman" w:hAnsi="Times New Roman" w:cs="Times New Roman"/>
          <w:sz w:val="24"/>
          <w:szCs w:val="24"/>
        </w:rPr>
        <w:t>окупном показателе составило 2,5</w:t>
      </w:r>
      <w:r w:rsidR="001B5FB7" w:rsidRPr="003147F9">
        <w:rPr>
          <w:rFonts w:ascii="Times New Roman" w:hAnsi="Times New Roman" w:cs="Times New Roman"/>
          <w:sz w:val="24"/>
          <w:szCs w:val="24"/>
        </w:rPr>
        <w:t xml:space="preserve">% (2,2% в 2018 году). </w:t>
      </w:r>
    </w:p>
    <w:p w14:paraId="40676D15" w14:textId="315CD33B" w:rsidR="000910DB" w:rsidRPr="003147F9" w:rsidRDefault="001B5FB7" w:rsidP="008A651D">
      <w:pPr>
        <w:spacing w:before="0" w:after="0" w:line="240" w:lineRule="auto"/>
        <w:ind w:right="-1" w:firstLine="425"/>
        <w:jc w:val="both"/>
        <w:rPr>
          <w:rFonts w:ascii="Times New Roman" w:hAnsi="Times New Roman" w:cs="Times New Roman"/>
          <w:sz w:val="24"/>
          <w:szCs w:val="24"/>
        </w:rPr>
      </w:pPr>
      <w:r w:rsidRPr="003147F9">
        <w:rPr>
          <w:rFonts w:ascii="Times New Roman" w:hAnsi="Times New Roman" w:cs="Times New Roman"/>
          <w:sz w:val="24"/>
          <w:szCs w:val="24"/>
        </w:rPr>
        <w:t>Динамичное развитие демонстрировала пищевая промышленность, темпы роста в котор</w:t>
      </w:r>
      <w:r w:rsidR="003147F9" w:rsidRPr="003147F9">
        <w:rPr>
          <w:rFonts w:ascii="Times New Roman" w:hAnsi="Times New Roman" w:cs="Times New Roman"/>
          <w:sz w:val="24"/>
          <w:szCs w:val="24"/>
        </w:rPr>
        <w:t>ой по итогам года достигли 104,7</w:t>
      </w:r>
      <w:r w:rsidRPr="003147F9">
        <w:rPr>
          <w:rFonts w:ascii="Times New Roman" w:hAnsi="Times New Roman" w:cs="Times New Roman"/>
          <w:sz w:val="24"/>
          <w:szCs w:val="24"/>
        </w:rPr>
        <w:t>%, а совокупный вы</w:t>
      </w:r>
      <w:r w:rsidR="003147F9" w:rsidRPr="003147F9">
        <w:rPr>
          <w:rFonts w:ascii="Times New Roman" w:hAnsi="Times New Roman" w:cs="Times New Roman"/>
          <w:sz w:val="24"/>
          <w:szCs w:val="24"/>
        </w:rPr>
        <w:t>пуск сложился на уровне 1 728,6</w:t>
      </w:r>
      <w:r w:rsidRPr="003147F9">
        <w:rPr>
          <w:rFonts w:ascii="Times New Roman" w:hAnsi="Times New Roman" w:cs="Times New Roman"/>
          <w:sz w:val="24"/>
          <w:szCs w:val="24"/>
        </w:rPr>
        <w:t xml:space="preserve"> млн руб. Уд</w:t>
      </w:r>
      <w:r w:rsidR="003147F9" w:rsidRPr="003147F9">
        <w:rPr>
          <w:rFonts w:ascii="Times New Roman" w:hAnsi="Times New Roman" w:cs="Times New Roman"/>
          <w:sz w:val="24"/>
          <w:szCs w:val="24"/>
        </w:rPr>
        <w:t>ельный вес отрасли составил 14,2% (+1,8</w:t>
      </w:r>
      <w:r w:rsidRPr="003147F9">
        <w:rPr>
          <w:rFonts w:ascii="Times New Roman" w:hAnsi="Times New Roman" w:cs="Times New Roman"/>
          <w:sz w:val="24"/>
          <w:szCs w:val="24"/>
        </w:rPr>
        <w:t xml:space="preserve"> п.п.) в структуре промышленности. </w:t>
      </w:r>
      <w:r w:rsidR="00581952" w:rsidRPr="003147F9">
        <w:rPr>
          <w:rFonts w:ascii="Times New Roman" w:hAnsi="Times New Roman" w:cs="Times New Roman"/>
          <w:sz w:val="24"/>
          <w:szCs w:val="24"/>
        </w:rPr>
        <w:t>Рост был обеспечен увеличением</w:t>
      </w:r>
      <w:r w:rsidRPr="003147F9">
        <w:rPr>
          <w:rFonts w:ascii="Times New Roman" w:hAnsi="Times New Roman" w:cs="Times New Roman"/>
          <w:sz w:val="24"/>
          <w:szCs w:val="24"/>
        </w:rPr>
        <w:t xml:space="preserve"> выработк</w:t>
      </w:r>
      <w:r w:rsidR="00581952" w:rsidRPr="003147F9">
        <w:rPr>
          <w:rFonts w:ascii="Times New Roman" w:hAnsi="Times New Roman" w:cs="Times New Roman"/>
          <w:sz w:val="24"/>
          <w:szCs w:val="24"/>
        </w:rPr>
        <w:t>и</w:t>
      </w:r>
      <w:r w:rsidRPr="003147F9">
        <w:rPr>
          <w:rFonts w:ascii="Times New Roman" w:hAnsi="Times New Roman" w:cs="Times New Roman"/>
          <w:sz w:val="24"/>
          <w:szCs w:val="24"/>
        </w:rPr>
        <w:t xml:space="preserve"> мясной и молочной продукции, макаронных</w:t>
      </w:r>
      <w:r w:rsidR="00581952" w:rsidRPr="003147F9">
        <w:rPr>
          <w:rFonts w:ascii="Times New Roman" w:hAnsi="Times New Roman" w:cs="Times New Roman"/>
          <w:sz w:val="24"/>
          <w:szCs w:val="24"/>
        </w:rPr>
        <w:t>,</w:t>
      </w:r>
      <w:r w:rsidRPr="003147F9">
        <w:rPr>
          <w:rFonts w:ascii="Times New Roman" w:hAnsi="Times New Roman" w:cs="Times New Roman"/>
          <w:sz w:val="24"/>
          <w:szCs w:val="24"/>
        </w:rPr>
        <w:t xml:space="preserve"> колбасных и кондитерских изделий, </w:t>
      </w:r>
      <w:r w:rsidR="00581952" w:rsidRPr="003147F9">
        <w:rPr>
          <w:rFonts w:ascii="Times New Roman" w:hAnsi="Times New Roman" w:cs="Times New Roman"/>
          <w:sz w:val="24"/>
          <w:szCs w:val="24"/>
        </w:rPr>
        <w:t xml:space="preserve">а также </w:t>
      </w:r>
      <w:r w:rsidRPr="003147F9">
        <w:rPr>
          <w:rFonts w:ascii="Times New Roman" w:hAnsi="Times New Roman" w:cs="Times New Roman"/>
          <w:sz w:val="24"/>
          <w:szCs w:val="24"/>
        </w:rPr>
        <w:t>консервов</w:t>
      </w:r>
      <w:r w:rsidR="00581952" w:rsidRPr="003147F9">
        <w:rPr>
          <w:rFonts w:ascii="Times New Roman" w:hAnsi="Times New Roman" w:cs="Times New Roman"/>
          <w:sz w:val="24"/>
          <w:szCs w:val="24"/>
        </w:rPr>
        <w:t>, животного масла</w:t>
      </w:r>
      <w:r w:rsidRPr="003147F9">
        <w:rPr>
          <w:rFonts w:ascii="Times New Roman" w:hAnsi="Times New Roman" w:cs="Times New Roman"/>
          <w:sz w:val="24"/>
          <w:szCs w:val="24"/>
        </w:rPr>
        <w:t xml:space="preserve">. </w:t>
      </w:r>
    </w:p>
    <w:p w14:paraId="5AD099E4" w14:textId="77777777" w:rsidR="000910DB" w:rsidRPr="008A651D" w:rsidRDefault="00581952" w:rsidP="008A651D">
      <w:pPr>
        <w:spacing w:before="0" w:after="0" w:line="240" w:lineRule="auto"/>
        <w:ind w:right="-1" w:firstLine="425"/>
        <w:jc w:val="both"/>
        <w:rPr>
          <w:rFonts w:ascii="Times New Roman" w:hAnsi="Times New Roman" w:cs="Times New Roman"/>
          <w:sz w:val="24"/>
          <w:szCs w:val="24"/>
        </w:rPr>
      </w:pPr>
      <w:r w:rsidRPr="003147F9">
        <w:rPr>
          <w:rFonts w:ascii="Times New Roman" w:hAnsi="Times New Roman" w:cs="Times New Roman"/>
          <w:sz w:val="24"/>
          <w:szCs w:val="24"/>
        </w:rPr>
        <w:t>Прошлогодний уровень производства не был достигнут</w:t>
      </w:r>
      <w:r w:rsidR="000910DB" w:rsidRPr="003147F9">
        <w:rPr>
          <w:rFonts w:ascii="Times New Roman" w:hAnsi="Times New Roman" w:cs="Times New Roman"/>
          <w:sz w:val="24"/>
          <w:szCs w:val="24"/>
        </w:rPr>
        <w:t xml:space="preserve"> организациям</w:t>
      </w:r>
      <w:r w:rsidRPr="003147F9">
        <w:rPr>
          <w:rFonts w:ascii="Times New Roman" w:hAnsi="Times New Roman" w:cs="Times New Roman"/>
          <w:sz w:val="24"/>
          <w:szCs w:val="24"/>
        </w:rPr>
        <w:t>и</w:t>
      </w:r>
      <w:r w:rsidR="000910DB" w:rsidRPr="003147F9">
        <w:rPr>
          <w:rFonts w:ascii="Times New Roman" w:hAnsi="Times New Roman" w:cs="Times New Roman"/>
          <w:sz w:val="24"/>
          <w:szCs w:val="24"/>
        </w:rPr>
        <w:t xml:space="preserve"> </w:t>
      </w:r>
      <w:r w:rsidR="001B5FB7" w:rsidRPr="003147F9">
        <w:rPr>
          <w:rFonts w:ascii="Times New Roman" w:hAnsi="Times New Roman" w:cs="Times New Roman"/>
          <w:sz w:val="24"/>
          <w:szCs w:val="24"/>
        </w:rPr>
        <w:t xml:space="preserve">мукомольно-крупяной промышленности и </w:t>
      </w:r>
      <w:r w:rsidR="000910DB" w:rsidRPr="003147F9">
        <w:rPr>
          <w:rFonts w:ascii="Times New Roman" w:hAnsi="Times New Roman" w:cs="Times New Roman"/>
          <w:sz w:val="24"/>
          <w:szCs w:val="24"/>
        </w:rPr>
        <w:t xml:space="preserve">полиграфической отрасли: </w:t>
      </w:r>
      <w:r w:rsidRPr="003147F9">
        <w:rPr>
          <w:rFonts w:ascii="Times New Roman" w:hAnsi="Times New Roman" w:cs="Times New Roman"/>
          <w:sz w:val="24"/>
          <w:szCs w:val="24"/>
        </w:rPr>
        <w:t>выработка сократилась</w:t>
      </w:r>
      <w:r w:rsidR="000910DB" w:rsidRPr="003147F9">
        <w:rPr>
          <w:rFonts w:ascii="Times New Roman" w:hAnsi="Times New Roman" w:cs="Times New Roman"/>
          <w:sz w:val="24"/>
          <w:szCs w:val="24"/>
        </w:rPr>
        <w:t xml:space="preserve"> на </w:t>
      </w:r>
      <w:r w:rsidR="001B5FB7" w:rsidRPr="003147F9">
        <w:rPr>
          <w:rFonts w:ascii="Times New Roman" w:hAnsi="Times New Roman" w:cs="Times New Roman"/>
          <w:sz w:val="24"/>
          <w:szCs w:val="24"/>
        </w:rPr>
        <w:t>1,2%, до 161,7 млн руб.</w:t>
      </w:r>
      <w:r w:rsidRPr="003147F9">
        <w:rPr>
          <w:rFonts w:ascii="Times New Roman" w:hAnsi="Times New Roman" w:cs="Times New Roman"/>
          <w:sz w:val="24"/>
          <w:szCs w:val="24"/>
        </w:rPr>
        <w:t>,</w:t>
      </w:r>
      <w:r w:rsidR="001B5FB7" w:rsidRPr="003147F9">
        <w:rPr>
          <w:rFonts w:ascii="Times New Roman" w:hAnsi="Times New Roman" w:cs="Times New Roman"/>
          <w:sz w:val="24"/>
          <w:szCs w:val="24"/>
        </w:rPr>
        <w:t xml:space="preserve"> и на </w:t>
      </w:r>
      <w:r w:rsidR="000910DB" w:rsidRPr="003147F9">
        <w:rPr>
          <w:rFonts w:ascii="Times New Roman" w:hAnsi="Times New Roman" w:cs="Times New Roman"/>
          <w:sz w:val="24"/>
          <w:szCs w:val="24"/>
        </w:rPr>
        <w:t>2,6%, до 25,0 млн руб</w:t>
      </w:r>
      <w:r w:rsidR="001B5FB7" w:rsidRPr="003147F9">
        <w:rPr>
          <w:rFonts w:ascii="Times New Roman" w:hAnsi="Times New Roman" w:cs="Times New Roman"/>
          <w:sz w:val="24"/>
          <w:szCs w:val="24"/>
        </w:rPr>
        <w:t>. соответственно</w:t>
      </w:r>
      <w:r w:rsidR="000910DB" w:rsidRPr="003147F9">
        <w:rPr>
          <w:rFonts w:ascii="Times New Roman" w:hAnsi="Times New Roman" w:cs="Times New Roman"/>
          <w:sz w:val="24"/>
          <w:szCs w:val="24"/>
        </w:rPr>
        <w:t>.</w:t>
      </w:r>
    </w:p>
    <w:p w14:paraId="0FACA2D0" w14:textId="77777777" w:rsidR="00993DC3" w:rsidRPr="008A651D" w:rsidRDefault="00993DC3" w:rsidP="008A651D">
      <w:pPr>
        <w:spacing w:before="0" w:after="0" w:line="240" w:lineRule="auto"/>
        <w:ind w:firstLine="425"/>
        <w:jc w:val="both"/>
        <w:rPr>
          <w:rFonts w:ascii="Times New Roman" w:hAnsi="Times New Roman" w:cs="Times New Roman"/>
          <w:color w:val="000000" w:themeColor="text1"/>
          <w:sz w:val="24"/>
          <w:szCs w:val="24"/>
          <w:highlight w:val="red"/>
        </w:rPr>
      </w:pPr>
      <w:r w:rsidRPr="008A651D">
        <w:rPr>
          <w:rFonts w:ascii="Times New Roman" w:hAnsi="Times New Roman" w:cs="Times New Roman"/>
          <w:sz w:val="24"/>
          <w:szCs w:val="24"/>
        </w:rPr>
        <w:t xml:space="preserve">Результаты деятельности сельскохозяйственных организаций в 2019 году формировались в условиях некоторого сокращения посевных площадей земель, обрабатываемых крупными сельхозпроизводителями, – на 1,9%, до 171,6 тыс. га. Основную долю </w:t>
      </w:r>
      <w:r w:rsidR="00581952">
        <w:rPr>
          <w:rFonts w:ascii="Times New Roman" w:hAnsi="Times New Roman" w:cs="Times New Roman"/>
          <w:sz w:val="24"/>
          <w:szCs w:val="24"/>
        </w:rPr>
        <w:t>в них</w:t>
      </w:r>
      <w:r w:rsidRPr="008A651D">
        <w:rPr>
          <w:rFonts w:ascii="Times New Roman" w:hAnsi="Times New Roman" w:cs="Times New Roman"/>
          <w:sz w:val="24"/>
          <w:szCs w:val="24"/>
        </w:rPr>
        <w:t xml:space="preserve"> составляли зерновые и зернобобовые культуры (59,8%).</w:t>
      </w:r>
      <w:r w:rsidRPr="008A651D">
        <w:rPr>
          <w:rFonts w:ascii="Times New Roman" w:hAnsi="Times New Roman" w:cs="Times New Roman"/>
          <w:color w:val="000000" w:themeColor="text1"/>
          <w:sz w:val="24"/>
          <w:szCs w:val="24"/>
          <w:highlight w:val="red"/>
        </w:rPr>
        <w:t xml:space="preserve"> </w:t>
      </w:r>
    </w:p>
    <w:p w14:paraId="6CEEB703" w14:textId="77777777" w:rsidR="000910DB" w:rsidRPr="008A651D" w:rsidRDefault="004A4CE5" w:rsidP="008A651D">
      <w:pPr>
        <w:spacing w:before="0" w:after="0" w:line="240" w:lineRule="auto"/>
        <w:ind w:right="-1" w:firstLine="425"/>
        <w:jc w:val="both"/>
        <w:rPr>
          <w:rFonts w:ascii="Times New Roman" w:hAnsi="Times New Roman" w:cs="Times New Roman"/>
          <w:sz w:val="24"/>
          <w:szCs w:val="24"/>
        </w:rPr>
      </w:pPr>
      <w:r w:rsidRPr="008A651D">
        <w:rPr>
          <w:rFonts w:ascii="Times New Roman" w:hAnsi="Times New Roman" w:cs="Times New Roman"/>
          <w:color w:val="000000" w:themeColor="text1"/>
          <w:sz w:val="24"/>
          <w:szCs w:val="24"/>
        </w:rPr>
        <w:t>На фоне снижения урожайности намолот зерновых и зернобобовых культур сократился по сравнению с уровнем 2018 года на 2,3%, до 469,1 тыс. тонн.</w:t>
      </w:r>
      <w:r w:rsidR="000910DB" w:rsidRPr="008A651D">
        <w:rPr>
          <w:rFonts w:ascii="Times New Roman" w:hAnsi="Times New Roman" w:cs="Times New Roman"/>
          <w:sz w:val="24"/>
          <w:szCs w:val="24"/>
        </w:rPr>
        <w:t xml:space="preserve"> </w:t>
      </w:r>
    </w:p>
    <w:p w14:paraId="1CEFE9CD" w14:textId="77777777" w:rsidR="00993DC3" w:rsidRPr="008A651D" w:rsidRDefault="00581952" w:rsidP="008A651D">
      <w:pPr>
        <w:pStyle w:val="21"/>
        <w:suppressAutoHyphens/>
        <w:spacing w:before="0" w:after="0" w:line="240" w:lineRule="auto"/>
        <w:ind w:left="0" w:firstLine="425"/>
        <w:jc w:val="both"/>
        <w:rPr>
          <w:rFonts w:ascii="Times New Roman" w:hAnsi="Times New Roman" w:cs="Times New Roman"/>
          <w:bCs/>
          <w:sz w:val="24"/>
          <w:szCs w:val="24"/>
        </w:rPr>
      </w:pPr>
      <w:r>
        <w:rPr>
          <w:rFonts w:ascii="Times New Roman" w:hAnsi="Times New Roman" w:cs="Times New Roman"/>
          <w:sz w:val="24"/>
          <w:szCs w:val="24"/>
        </w:rPr>
        <w:t>В сфере овощеводства достигнуты хорошие результаты по сбору овощей открытого грунта: з</w:t>
      </w:r>
      <w:r w:rsidR="00443B5A" w:rsidRPr="008A651D">
        <w:rPr>
          <w:rFonts w:ascii="Times New Roman" w:hAnsi="Times New Roman" w:cs="Times New Roman"/>
          <w:sz w:val="24"/>
          <w:szCs w:val="24"/>
        </w:rPr>
        <w:t xml:space="preserve">а 2019 год было выращено 45,2 тыс. тонн, что на 44,8% больше уровня 2018 года. </w:t>
      </w:r>
      <w:r>
        <w:rPr>
          <w:rFonts w:ascii="Times New Roman" w:hAnsi="Times New Roman" w:cs="Times New Roman"/>
          <w:sz w:val="24"/>
          <w:szCs w:val="24"/>
        </w:rPr>
        <w:t xml:space="preserve">Данная динамика была обеспечена восстановительным ростом </w:t>
      </w:r>
      <w:r w:rsidRPr="008A651D">
        <w:rPr>
          <w:rFonts w:ascii="Times New Roman" w:hAnsi="Times New Roman" w:cs="Times New Roman"/>
          <w:sz w:val="24"/>
          <w:szCs w:val="24"/>
        </w:rPr>
        <w:t>объёма собранного картофеля на 69,5%</w:t>
      </w:r>
      <w:r>
        <w:rPr>
          <w:rFonts w:ascii="Times New Roman" w:hAnsi="Times New Roman" w:cs="Times New Roman"/>
          <w:sz w:val="24"/>
          <w:szCs w:val="24"/>
        </w:rPr>
        <w:t xml:space="preserve"> после его</w:t>
      </w:r>
      <w:r w:rsidR="00443B5A" w:rsidRPr="008A651D">
        <w:rPr>
          <w:rFonts w:ascii="Times New Roman" w:hAnsi="Times New Roman" w:cs="Times New Roman"/>
          <w:sz w:val="24"/>
          <w:szCs w:val="24"/>
        </w:rPr>
        <w:t xml:space="preserve"> снижения в 2018 году</w:t>
      </w:r>
      <w:r>
        <w:rPr>
          <w:rFonts w:ascii="Times New Roman" w:hAnsi="Times New Roman" w:cs="Times New Roman"/>
          <w:sz w:val="24"/>
          <w:szCs w:val="24"/>
        </w:rPr>
        <w:t xml:space="preserve"> </w:t>
      </w:r>
      <w:r w:rsidRPr="008A651D">
        <w:rPr>
          <w:rFonts w:ascii="Times New Roman" w:hAnsi="Times New Roman" w:cs="Times New Roman"/>
          <w:sz w:val="24"/>
          <w:szCs w:val="24"/>
        </w:rPr>
        <w:t>на 38,4%</w:t>
      </w:r>
      <w:r>
        <w:rPr>
          <w:rFonts w:ascii="Times New Roman" w:hAnsi="Times New Roman" w:cs="Times New Roman"/>
          <w:sz w:val="24"/>
          <w:szCs w:val="24"/>
        </w:rPr>
        <w:t>.</w:t>
      </w:r>
      <w:r w:rsidR="00443B5A" w:rsidRPr="008A651D">
        <w:rPr>
          <w:rFonts w:ascii="Times New Roman" w:hAnsi="Times New Roman" w:cs="Times New Roman"/>
          <w:sz w:val="24"/>
          <w:szCs w:val="24"/>
        </w:rPr>
        <w:t xml:space="preserve"> По сбору бахчевых культур наблюдалось сокращение объёма на 17,3%, до 2,5 тыс. тонн. Производство овощей защищённого грунта снизилось на 0,7%, до 1,2 тыс. тонн. </w:t>
      </w:r>
      <w:r w:rsidR="00993DC3" w:rsidRPr="008A651D">
        <w:rPr>
          <w:rFonts w:ascii="Times New Roman" w:hAnsi="Times New Roman" w:cs="Times New Roman"/>
          <w:bCs/>
          <w:sz w:val="24"/>
          <w:szCs w:val="24"/>
        </w:rPr>
        <w:t xml:space="preserve">Объём сбора плодовых культур снизился на 22,5%, до 19,8 тыс. тонн. В то же время урожай ягод увеличился на 48,9%, до 0,5 тыс. тонн; винограда – на 17,2%, до 27,3 тыс. тонн. </w:t>
      </w:r>
    </w:p>
    <w:p w14:paraId="3AE90CC1" w14:textId="01E7B51B" w:rsidR="00443B5A" w:rsidRPr="008A651D" w:rsidRDefault="00443B5A" w:rsidP="008A651D">
      <w:pPr>
        <w:spacing w:before="0" w:after="0" w:line="240" w:lineRule="auto"/>
        <w:ind w:right="-1" w:firstLine="425"/>
        <w:jc w:val="both"/>
        <w:rPr>
          <w:rFonts w:ascii="Times New Roman" w:hAnsi="Times New Roman" w:cs="Times New Roman"/>
          <w:color w:val="000000" w:themeColor="text1"/>
          <w:sz w:val="24"/>
          <w:szCs w:val="24"/>
          <w:lang w:val="x-none"/>
        </w:rPr>
      </w:pPr>
      <w:r w:rsidRPr="008A651D">
        <w:rPr>
          <w:rFonts w:ascii="Times New Roman" w:hAnsi="Times New Roman" w:cs="Times New Roman"/>
          <w:color w:val="000000" w:themeColor="text1"/>
          <w:sz w:val="24"/>
          <w:szCs w:val="24"/>
          <w:lang w:val="x-none"/>
        </w:rPr>
        <w:t xml:space="preserve">В животноводческой сфере объём выращенного скота и птицы возрос на 4,6%, до </w:t>
      </w:r>
      <w:r w:rsidRPr="008A651D">
        <w:rPr>
          <w:rFonts w:ascii="Times New Roman" w:hAnsi="Times New Roman" w:cs="Times New Roman"/>
          <w:color w:val="000000" w:themeColor="text1"/>
          <w:sz w:val="24"/>
          <w:szCs w:val="24"/>
          <w:lang w:val="x-none"/>
        </w:rPr>
        <w:br/>
        <w:t>7 185,8 тонн</w:t>
      </w:r>
      <w:r w:rsidRPr="008A651D">
        <w:rPr>
          <w:rFonts w:ascii="Times New Roman" w:hAnsi="Times New Roman" w:cs="Times New Roman"/>
          <w:color w:val="000000" w:themeColor="text1"/>
          <w:sz w:val="24"/>
          <w:szCs w:val="24"/>
        </w:rPr>
        <w:t>, а их</w:t>
      </w:r>
      <w:r w:rsidRPr="008A651D">
        <w:rPr>
          <w:rFonts w:ascii="Times New Roman" w:hAnsi="Times New Roman" w:cs="Times New Roman"/>
          <w:color w:val="000000" w:themeColor="text1"/>
          <w:sz w:val="24"/>
          <w:szCs w:val="24"/>
          <w:lang w:val="x-none"/>
        </w:rPr>
        <w:t xml:space="preserve"> реализация на убой </w:t>
      </w:r>
      <w:r w:rsidRPr="008A651D">
        <w:rPr>
          <w:rFonts w:ascii="Times New Roman" w:hAnsi="Times New Roman" w:cs="Times New Roman"/>
          <w:color w:val="000000" w:themeColor="text1"/>
          <w:sz w:val="24"/>
          <w:szCs w:val="24"/>
        </w:rPr>
        <w:t>–</w:t>
      </w:r>
      <w:r w:rsidRPr="008A651D">
        <w:rPr>
          <w:rFonts w:ascii="Times New Roman" w:hAnsi="Times New Roman" w:cs="Times New Roman"/>
          <w:color w:val="000000" w:themeColor="text1"/>
          <w:sz w:val="24"/>
          <w:szCs w:val="24"/>
          <w:lang w:val="x-none"/>
        </w:rPr>
        <w:t xml:space="preserve"> на 2,8%, до 7 163,1 тонн, за счёт повышения показателя по крупному рогатому скоту (+19,</w:t>
      </w:r>
      <w:r w:rsidRPr="008A651D">
        <w:rPr>
          <w:rFonts w:ascii="Times New Roman" w:hAnsi="Times New Roman" w:cs="Times New Roman"/>
          <w:color w:val="000000" w:themeColor="text1"/>
          <w:sz w:val="24"/>
          <w:szCs w:val="24"/>
        </w:rPr>
        <w:t>8</w:t>
      </w:r>
      <w:r w:rsidRPr="008A651D">
        <w:rPr>
          <w:rFonts w:ascii="Times New Roman" w:hAnsi="Times New Roman" w:cs="Times New Roman"/>
          <w:color w:val="000000" w:themeColor="text1"/>
          <w:sz w:val="24"/>
          <w:szCs w:val="24"/>
          <w:lang w:val="x-none"/>
        </w:rPr>
        <w:t>%, до 523,9 тонн) и по птице (+4,9%, до 4 246,8 тонн.). Производств</w:t>
      </w:r>
      <w:r w:rsidRPr="008A651D">
        <w:rPr>
          <w:rFonts w:ascii="Times New Roman" w:hAnsi="Times New Roman" w:cs="Times New Roman"/>
          <w:color w:val="000000" w:themeColor="text1"/>
          <w:sz w:val="24"/>
          <w:szCs w:val="24"/>
        </w:rPr>
        <w:t>о</w:t>
      </w:r>
      <w:r w:rsidRPr="008A651D">
        <w:rPr>
          <w:rFonts w:ascii="Times New Roman" w:hAnsi="Times New Roman" w:cs="Times New Roman"/>
          <w:color w:val="000000" w:themeColor="text1"/>
          <w:sz w:val="24"/>
          <w:szCs w:val="24"/>
          <w:lang w:val="x-none"/>
        </w:rPr>
        <w:t xml:space="preserve"> коровьего молока увеличилось на 1,7%, до 6 762,3 тонн, </w:t>
      </w:r>
      <w:r w:rsidRPr="008A651D">
        <w:rPr>
          <w:rFonts w:ascii="Times New Roman" w:hAnsi="Times New Roman" w:cs="Times New Roman"/>
          <w:color w:val="000000" w:themeColor="text1"/>
          <w:sz w:val="24"/>
          <w:szCs w:val="24"/>
        </w:rPr>
        <w:t xml:space="preserve">в том числе </w:t>
      </w:r>
      <w:r w:rsidR="00581952">
        <w:rPr>
          <w:rFonts w:ascii="Times New Roman" w:hAnsi="Times New Roman" w:cs="Times New Roman"/>
          <w:color w:val="000000" w:themeColor="text1"/>
          <w:sz w:val="24"/>
          <w:szCs w:val="24"/>
        </w:rPr>
        <w:t>в результате</w:t>
      </w:r>
      <w:r w:rsidRPr="008A651D">
        <w:rPr>
          <w:rFonts w:ascii="Times New Roman" w:hAnsi="Times New Roman" w:cs="Times New Roman"/>
          <w:color w:val="000000" w:themeColor="text1"/>
          <w:sz w:val="24"/>
          <w:szCs w:val="24"/>
        </w:rPr>
        <w:t xml:space="preserve"> роста</w:t>
      </w:r>
      <w:r w:rsidRPr="008A651D">
        <w:rPr>
          <w:rFonts w:ascii="Times New Roman" w:hAnsi="Times New Roman" w:cs="Times New Roman"/>
          <w:color w:val="000000" w:themeColor="text1"/>
          <w:sz w:val="24"/>
          <w:szCs w:val="24"/>
          <w:lang w:val="x-none"/>
        </w:rPr>
        <w:t xml:space="preserve"> среднесуточного удоя на одну корову </w:t>
      </w:r>
      <w:r w:rsidR="00581952">
        <w:rPr>
          <w:rFonts w:ascii="Times New Roman" w:hAnsi="Times New Roman" w:cs="Times New Roman"/>
          <w:color w:val="000000" w:themeColor="text1"/>
          <w:sz w:val="24"/>
          <w:szCs w:val="24"/>
        </w:rPr>
        <w:t>(</w:t>
      </w:r>
      <w:r w:rsidRPr="008A651D">
        <w:rPr>
          <w:rFonts w:ascii="Times New Roman" w:hAnsi="Times New Roman" w:cs="Times New Roman"/>
          <w:color w:val="000000" w:themeColor="text1"/>
          <w:sz w:val="24"/>
          <w:szCs w:val="24"/>
          <w:lang w:val="x-none"/>
        </w:rPr>
        <w:t>12,0 кг против 11,2 кг годом ранее</w:t>
      </w:r>
      <w:r w:rsidR="00581952">
        <w:rPr>
          <w:rFonts w:ascii="Times New Roman" w:hAnsi="Times New Roman" w:cs="Times New Roman"/>
          <w:color w:val="000000" w:themeColor="text1"/>
          <w:sz w:val="24"/>
          <w:szCs w:val="24"/>
        </w:rPr>
        <w:t>)</w:t>
      </w:r>
      <w:r w:rsidRPr="008A651D">
        <w:rPr>
          <w:rFonts w:ascii="Times New Roman" w:hAnsi="Times New Roman" w:cs="Times New Roman"/>
          <w:color w:val="000000" w:themeColor="text1"/>
          <w:sz w:val="24"/>
          <w:szCs w:val="24"/>
          <w:lang w:val="x-none"/>
        </w:rPr>
        <w:t xml:space="preserve">. Производство куриных яиц выросло в 1,5 раза, до 257,5 тыс. штук. </w:t>
      </w:r>
    </w:p>
    <w:p w14:paraId="199B1332" w14:textId="77777777" w:rsidR="00993DC3" w:rsidRPr="008A651D" w:rsidRDefault="00993DC3" w:rsidP="008A651D">
      <w:pPr>
        <w:pStyle w:val="a7"/>
        <w:tabs>
          <w:tab w:val="left" w:pos="708"/>
        </w:tabs>
        <w:suppressAutoHyphens/>
        <w:spacing w:before="0" w:after="0" w:line="240" w:lineRule="auto"/>
        <w:ind w:firstLine="425"/>
        <w:jc w:val="both"/>
        <w:rPr>
          <w:rFonts w:ascii="Times New Roman" w:hAnsi="Times New Roman" w:cs="Times New Roman"/>
          <w:color w:val="000000" w:themeColor="text1"/>
          <w:sz w:val="24"/>
          <w:szCs w:val="24"/>
          <w:highlight w:val="yellow"/>
        </w:rPr>
      </w:pPr>
      <w:r w:rsidRPr="008A651D">
        <w:rPr>
          <w:rFonts w:ascii="Times New Roman" w:hAnsi="Times New Roman" w:cs="Times New Roman"/>
          <w:sz w:val="24"/>
          <w:szCs w:val="24"/>
        </w:rPr>
        <w:t xml:space="preserve">Высокие показатели роста были характерны для рыбного хозяйства республики. Выращивание и улов рыбы сложились на уровне 158,0 тонн (+14,2% к показателю 2018 года). </w:t>
      </w:r>
    </w:p>
    <w:p w14:paraId="6D3C18CA" w14:textId="77777777" w:rsidR="0066320B" w:rsidRPr="008A651D" w:rsidRDefault="00CD5EDA" w:rsidP="008A651D">
      <w:pPr>
        <w:spacing w:before="0" w:after="0" w:line="240" w:lineRule="auto"/>
        <w:ind w:right="-1" w:firstLine="425"/>
        <w:jc w:val="both"/>
        <w:rPr>
          <w:rFonts w:ascii="Times New Roman" w:hAnsi="Times New Roman" w:cs="Times New Roman"/>
          <w:color w:val="000000" w:themeColor="text1"/>
          <w:sz w:val="24"/>
          <w:szCs w:val="24"/>
        </w:rPr>
      </w:pPr>
      <w:r w:rsidRPr="008A651D">
        <w:rPr>
          <w:rFonts w:ascii="Times New Roman" w:hAnsi="Times New Roman" w:cs="Times New Roman"/>
          <w:color w:val="000000" w:themeColor="text1"/>
          <w:sz w:val="24"/>
          <w:szCs w:val="24"/>
        </w:rPr>
        <w:t xml:space="preserve">В сфере капитальных вложений продолжилась динамика увеличения объёма инвестиций, наблюдаемая с середины </w:t>
      </w:r>
      <w:r w:rsidR="00EA4AD3" w:rsidRPr="008A651D">
        <w:rPr>
          <w:rFonts w:ascii="Times New Roman" w:hAnsi="Times New Roman" w:cs="Times New Roman"/>
          <w:color w:val="000000" w:themeColor="text1"/>
          <w:sz w:val="24"/>
          <w:szCs w:val="24"/>
        </w:rPr>
        <w:t>2018</w:t>
      </w:r>
      <w:r w:rsidRPr="008A651D">
        <w:rPr>
          <w:rFonts w:ascii="Times New Roman" w:hAnsi="Times New Roman" w:cs="Times New Roman"/>
          <w:color w:val="000000" w:themeColor="text1"/>
          <w:sz w:val="24"/>
          <w:szCs w:val="24"/>
        </w:rPr>
        <w:t xml:space="preserve"> года. По итогам 9 месяцев 2019 года объём инвестиций в основной капитал (с учётом малого бизнеса и индивидуальных застройщиков) составил </w:t>
      </w:r>
      <w:r w:rsidRPr="008A651D">
        <w:rPr>
          <w:rFonts w:ascii="Times New Roman" w:hAnsi="Times New Roman" w:cs="Times New Roman"/>
          <w:color w:val="000000" w:themeColor="text1"/>
          <w:sz w:val="24"/>
          <w:szCs w:val="24"/>
        </w:rPr>
        <w:lastRenderedPageBreak/>
        <w:t>1 412,0 млн руб</w:t>
      </w:r>
      <w:r w:rsidR="004B551B" w:rsidRPr="008A651D">
        <w:rPr>
          <w:rFonts w:ascii="Times New Roman" w:hAnsi="Times New Roman" w:cs="Times New Roman"/>
          <w:color w:val="000000" w:themeColor="text1"/>
          <w:sz w:val="24"/>
          <w:szCs w:val="24"/>
        </w:rPr>
        <w:t>., что на 29,1% превысило параметры базисного периода</w:t>
      </w:r>
      <w:r w:rsidRPr="008A651D">
        <w:rPr>
          <w:rFonts w:ascii="Times New Roman" w:hAnsi="Times New Roman" w:cs="Times New Roman"/>
          <w:color w:val="000000" w:themeColor="text1"/>
          <w:sz w:val="24"/>
          <w:szCs w:val="24"/>
        </w:rPr>
        <w:t xml:space="preserve">. При этом объём капитальных вложений крупных организаций сложился в объёме 1 086,2 млн руб. (+21,8% в сопоставимой оценке). </w:t>
      </w:r>
    </w:p>
    <w:p w14:paraId="358FDCFE" w14:textId="77777777" w:rsidR="00CD5EDA" w:rsidRPr="008A651D" w:rsidRDefault="0066320B" w:rsidP="008A651D">
      <w:pPr>
        <w:spacing w:before="0" w:after="0" w:line="240" w:lineRule="auto"/>
        <w:ind w:right="-1"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Повышательная динамика определялась как увеличением затрат на строительно-монтажные работы (на 40,9%, до 394,0 млн руб.), так и ростом инвестиций в приобретение машин, оборудования, транспортных средств (на 13,2%, до 671,9 млн руб.). </w:t>
      </w:r>
      <w:r w:rsidR="00CD5EDA" w:rsidRPr="008A651D">
        <w:rPr>
          <w:rFonts w:ascii="Times New Roman" w:hAnsi="Times New Roman" w:cs="Times New Roman"/>
          <w:color w:val="000000" w:themeColor="text1"/>
          <w:sz w:val="24"/>
          <w:szCs w:val="24"/>
        </w:rPr>
        <w:t>На обновление основных средств производственного назначения было направлено 981,2</w:t>
      </w:r>
      <w:r w:rsidRPr="008A651D">
        <w:rPr>
          <w:rFonts w:ascii="Times New Roman" w:hAnsi="Times New Roman" w:cs="Times New Roman"/>
          <w:color w:val="000000" w:themeColor="text1"/>
          <w:sz w:val="24"/>
          <w:szCs w:val="24"/>
        </w:rPr>
        <w:t xml:space="preserve"> млн руб. (+</w:t>
      </w:r>
      <w:r w:rsidR="00CD5EDA" w:rsidRPr="008A651D">
        <w:rPr>
          <w:rFonts w:ascii="Times New Roman" w:hAnsi="Times New Roman" w:cs="Times New Roman"/>
          <w:color w:val="000000" w:themeColor="text1"/>
          <w:sz w:val="24"/>
          <w:szCs w:val="24"/>
        </w:rPr>
        <w:t>27,4%</w:t>
      </w:r>
      <w:r w:rsidRPr="008A651D">
        <w:rPr>
          <w:rFonts w:ascii="Times New Roman" w:hAnsi="Times New Roman" w:cs="Times New Roman"/>
          <w:color w:val="000000" w:themeColor="text1"/>
          <w:sz w:val="24"/>
          <w:szCs w:val="24"/>
        </w:rPr>
        <w:t xml:space="preserve">), </w:t>
      </w:r>
      <w:r w:rsidR="00CD5EDA" w:rsidRPr="008A651D">
        <w:rPr>
          <w:rFonts w:ascii="Times New Roman" w:hAnsi="Times New Roman" w:cs="Times New Roman"/>
          <w:color w:val="000000" w:themeColor="text1"/>
          <w:sz w:val="24"/>
          <w:szCs w:val="24"/>
        </w:rPr>
        <w:t xml:space="preserve">вложения в непроизводственную инфраструктуру </w:t>
      </w:r>
      <w:r w:rsidRPr="008A651D">
        <w:rPr>
          <w:rFonts w:ascii="Times New Roman" w:hAnsi="Times New Roman" w:cs="Times New Roman"/>
          <w:color w:val="000000" w:themeColor="text1"/>
          <w:sz w:val="24"/>
          <w:szCs w:val="24"/>
        </w:rPr>
        <w:t>составили</w:t>
      </w:r>
      <w:r w:rsidR="00CD5EDA" w:rsidRPr="008A651D">
        <w:rPr>
          <w:rFonts w:ascii="Times New Roman" w:hAnsi="Times New Roman" w:cs="Times New Roman"/>
          <w:color w:val="000000" w:themeColor="text1"/>
          <w:sz w:val="24"/>
          <w:szCs w:val="24"/>
        </w:rPr>
        <w:t xml:space="preserve"> 104,9 млн руб.</w:t>
      </w:r>
      <w:r w:rsidRPr="008A651D">
        <w:rPr>
          <w:rFonts w:ascii="Times New Roman" w:hAnsi="Times New Roman" w:cs="Times New Roman"/>
          <w:color w:val="000000" w:themeColor="text1"/>
          <w:sz w:val="24"/>
          <w:szCs w:val="24"/>
        </w:rPr>
        <w:t xml:space="preserve"> (-14,7%).</w:t>
      </w:r>
    </w:p>
    <w:p w14:paraId="6B1DCD6B" w14:textId="77777777" w:rsidR="00471848" w:rsidRDefault="00CD5EDA" w:rsidP="008A651D">
      <w:pPr>
        <w:spacing w:before="0" w:after="0" w:line="240" w:lineRule="auto"/>
        <w:ind w:right="-1" w:firstLine="425"/>
        <w:jc w:val="both"/>
        <w:rPr>
          <w:rFonts w:ascii="Times New Roman" w:hAnsi="Times New Roman" w:cs="Times New Roman"/>
          <w:color w:val="000000" w:themeColor="text1"/>
          <w:sz w:val="24"/>
          <w:szCs w:val="24"/>
        </w:rPr>
      </w:pPr>
      <w:r w:rsidRPr="008A651D">
        <w:rPr>
          <w:rFonts w:ascii="Times New Roman" w:hAnsi="Times New Roman" w:cs="Times New Roman"/>
          <w:color w:val="000000" w:themeColor="text1"/>
          <w:sz w:val="24"/>
          <w:szCs w:val="24"/>
        </w:rPr>
        <w:t xml:space="preserve">Наибольший объём капитальных вложений произведён в промышленности – 39,1% </w:t>
      </w:r>
      <w:r w:rsidRPr="008A651D">
        <w:rPr>
          <w:rFonts w:ascii="Times New Roman" w:hAnsi="Times New Roman" w:cs="Times New Roman"/>
          <w:color w:val="000000" w:themeColor="text1"/>
          <w:sz w:val="24"/>
          <w:szCs w:val="24"/>
        </w:rPr>
        <w:br/>
        <w:t xml:space="preserve">(424,8 млн руб., +7,4%). Почти равные объёмы инвестиций зафиксированы в сельском хозяйстве и торговле (238,8 и 212,5 млн руб.). Причём в сельском хозяйстве рост составил </w:t>
      </w:r>
      <w:r w:rsidR="001E69D9">
        <w:rPr>
          <w:rFonts w:ascii="Times New Roman" w:hAnsi="Times New Roman" w:cs="Times New Roman"/>
          <w:color w:val="000000" w:themeColor="text1"/>
          <w:sz w:val="24"/>
          <w:szCs w:val="24"/>
        </w:rPr>
        <w:br/>
      </w:r>
      <w:r w:rsidRPr="008A651D">
        <w:rPr>
          <w:rFonts w:ascii="Times New Roman" w:hAnsi="Times New Roman" w:cs="Times New Roman"/>
          <w:color w:val="000000" w:themeColor="text1"/>
          <w:sz w:val="24"/>
          <w:szCs w:val="24"/>
        </w:rPr>
        <w:t xml:space="preserve">1,2 раза, а в торговле </w:t>
      </w:r>
      <w:r w:rsidR="00D943D4">
        <w:rPr>
          <w:rFonts w:ascii="Times New Roman" w:hAnsi="Times New Roman" w:cs="Times New Roman"/>
          <w:color w:val="000000" w:themeColor="text1"/>
          <w:sz w:val="24"/>
          <w:szCs w:val="24"/>
        </w:rPr>
        <w:t>–</w:t>
      </w:r>
      <w:r w:rsidRPr="008A651D">
        <w:rPr>
          <w:rFonts w:ascii="Times New Roman" w:hAnsi="Times New Roman" w:cs="Times New Roman"/>
          <w:color w:val="000000" w:themeColor="text1"/>
          <w:sz w:val="24"/>
          <w:szCs w:val="24"/>
        </w:rPr>
        <w:t xml:space="preserve"> 3,6 раза. Существенно возросли объёмы вложений в коммунальном хозяйстве (в 1,6 раза, до 20,6 млн руб.), строительстве (в 2,2 раза, до 5,8 млн руб.) и сфере социального обеспечения (в 2,7 раза, до 1,4 млн руб.). Объёмы средств, направленных на развитие организациями транспорта и связи, характеризовались сокращением на 12,4%, до 43,9 млн руб., и на 15,4%, до 45,0 млн руб. соответственно. </w:t>
      </w:r>
    </w:p>
    <w:p w14:paraId="715E7735" w14:textId="77777777" w:rsidR="000910DB" w:rsidRPr="008A651D" w:rsidRDefault="00CD5EDA" w:rsidP="008A651D">
      <w:pPr>
        <w:spacing w:before="0" w:after="0" w:line="240" w:lineRule="auto"/>
        <w:ind w:right="-1" w:firstLine="425"/>
        <w:jc w:val="both"/>
        <w:rPr>
          <w:rFonts w:ascii="Times New Roman" w:hAnsi="Times New Roman" w:cs="Times New Roman"/>
          <w:color w:val="000000" w:themeColor="text1"/>
          <w:sz w:val="24"/>
          <w:szCs w:val="24"/>
        </w:rPr>
      </w:pPr>
      <w:r w:rsidRPr="008A651D">
        <w:rPr>
          <w:rFonts w:ascii="Times New Roman" w:hAnsi="Times New Roman" w:cs="Times New Roman"/>
          <w:color w:val="000000" w:themeColor="text1"/>
          <w:sz w:val="24"/>
          <w:szCs w:val="24"/>
        </w:rPr>
        <w:t>Среди источников средств основной удельный вес приходи</w:t>
      </w:r>
      <w:r w:rsidR="00EA4AD3" w:rsidRPr="008A651D">
        <w:rPr>
          <w:rFonts w:ascii="Times New Roman" w:hAnsi="Times New Roman" w:cs="Times New Roman"/>
          <w:color w:val="000000" w:themeColor="text1"/>
          <w:sz w:val="24"/>
          <w:szCs w:val="24"/>
        </w:rPr>
        <w:t>л</w:t>
      </w:r>
      <w:r w:rsidRPr="008A651D">
        <w:rPr>
          <w:rFonts w:ascii="Times New Roman" w:hAnsi="Times New Roman" w:cs="Times New Roman"/>
          <w:color w:val="000000" w:themeColor="text1"/>
          <w:sz w:val="24"/>
          <w:szCs w:val="24"/>
        </w:rPr>
        <w:t xml:space="preserve">ся на собственные средства организаций – 89,7%. При этом </w:t>
      </w:r>
      <w:r w:rsidR="00D57767">
        <w:rPr>
          <w:rFonts w:ascii="Times New Roman" w:hAnsi="Times New Roman" w:cs="Times New Roman"/>
          <w:color w:val="000000" w:themeColor="text1"/>
          <w:sz w:val="24"/>
          <w:szCs w:val="24"/>
        </w:rPr>
        <w:t>ввиду расширения программ кредитования</w:t>
      </w:r>
      <w:r w:rsidR="00173F22">
        <w:rPr>
          <w:rFonts w:ascii="Times New Roman" w:hAnsi="Times New Roman" w:cs="Times New Roman"/>
          <w:color w:val="000000" w:themeColor="text1"/>
          <w:sz w:val="24"/>
          <w:szCs w:val="24"/>
        </w:rPr>
        <w:t xml:space="preserve"> </w:t>
      </w:r>
      <w:r w:rsidRPr="008A651D">
        <w:rPr>
          <w:rFonts w:ascii="Times New Roman" w:hAnsi="Times New Roman" w:cs="Times New Roman"/>
          <w:color w:val="000000" w:themeColor="text1"/>
          <w:sz w:val="24"/>
          <w:szCs w:val="24"/>
        </w:rPr>
        <w:t>необходимо отметить рост доли кредитов банков – с 1,6% до 3,9%.</w:t>
      </w:r>
      <w:r w:rsidR="00AC416B">
        <w:rPr>
          <w:rFonts w:ascii="Times New Roman" w:hAnsi="Times New Roman" w:cs="Times New Roman"/>
          <w:color w:val="000000" w:themeColor="text1"/>
          <w:sz w:val="24"/>
          <w:szCs w:val="24"/>
        </w:rPr>
        <w:t xml:space="preserve"> </w:t>
      </w:r>
    </w:p>
    <w:p w14:paraId="5010177A" w14:textId="77777777" w:rsidR="001039F8" w:rsidRDefault="001039F8" w:rsidP="008A651D">
      <w:pPr>
        <w:widowControl w:val="0"/>
        <w:autoSpaceDE w:val="0"/>
        <w:autoSpaceDN w:val="0"/>
        <w:adjustRightInd w:val="0"/>
        <w:spacing w:before="0" w:after="0" w:line="240" w:lineRule="auto"/>
        <w:ind w:firstLine="425"/>
        <w:jc w:val="both"/>
        <w:rPr>
          <w:rFonts w:ascii="Times New Roman" w:hAnsi="Times New Roman" w:cs="Times New Roman"/>
          <w:i/>
          <w:iCs/>
          <w:sz w:val="24"/>
          <w:szCs w:val="24"/>
        </w:rPr>
      </w:pPr>
    </w:p>
    <w:p w14:paraId="14617A77" w14:textId="77777777" w:rsidR="00BE7BE0" w:rsidRPr="00071AA5" w:rsidRDefault="00BE7BE0" w:rsidP="00B55541">
      <w:pPr>
        <w:pStyle w:val="2"/>
        <w:spacing w:before="0"/>
        <w:rPr>
          <w:rFonts w:ascii="Times New Roman" w:hAnsi="Times New Roman" w:cs="Times New Roman"/>
          <w:b/>
          <w:noProof/>
        </w:rPr>
      </w:pPr>
      <w:r w:rsidRPr="004D7D79">
        <w:rPr>
          <w:b/>
          <w:noProof/>
        </w:rPr>
        <w:t>Динамика цен</w:t>
      </w:r>
    </w:p>
    <w:p w14:paraId="7AA3E438" w14:textId="77777777" w:rsidR="001039F8" w:rsidRPr="00683E52" w:rsidRDefault="001039F8" w:rsidP="008A651D">
      <w:pPr>
        <w:widowControl w:val="0"/>
        <w:autoSpaceDE w:val="0"/>
        <w:autoSpaceDN w:val="0"/>
        <w:adjustRightInd w:val="0"/>
        <w:spacing w:before="0" w:after="0" w:line="240" w:lineRule="auto"/>
        <w:ind w:firstLine="425"/>
        <w:jc w:val="both"/>
        <w:rPr>
          <w:rFonts w:ascii="Times New Roman" w:hAnsi="Times New Roman" w:cs="Times New Roman"/>
          <w:i/>
          <w:iCs/>
          <w:sz w:val="16"/>
          <w:szCs w:val="16"/>
        </w:rPr>
      </w:pPr>
    </w:p>
    <w:p w14:paraId="7C7732FF" w14:textId="77777777" w:rsidR="00F31704" w:rsidRPr="008A651D" w:rsidRDefault="00BE7BE0"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На потребительском рынке Приднестровья </w:t>
      </w:r>
      <w:r w:rsidR="00064C03" w:rsidRPr="008A651D">
        <w:rPr>
          <w:rFonts w:ascii="Times New Roman" w:hAnsi="Times New Roman" w:cs="Times New Roman"/>
          <w:sz w:val="24"/>
          <w:szCs w:val="24"/>
        </w:rPr>
        <w:t xml:space="preserve">в 2019 году уровень инфляционного давления был ниже, чем в предыдущем году. Согласно данным Государственной службы статистики ПМР, сводный индекс потребительских цен сложился на уровне 104,7% (107,0% годом ранее, табл. </w:t>
      </w:r>
      <w:r w:rsidR="00F31704" w:rsidRPr="008A651D">
        <w:rPr>
          <w:rFonts w:ascii="Times New Roman" w:hAnsi="Times New Roman" w:cs="Times New Roman"/>
          <w:sz w:val="24"/>
          <w:szCs w:val="24"/>
        </w:rPr>
        <w:t>1.3</w:t>
      </w:r>
      <w:r w:rsidR="00064C03" w:rsidRPr="008A651D">
        <w:rPr>
          <w:rFonts w:ascii="Times New Roman" w:hAnsi="Times New Roman" w:cs="Times New Roman"/>
          <w:sz w:val="24"/>
          <w:szCs w:val="24"/>
        </w:rPr>
        <w:t xml:space="preserve">), что было приближено к нижней границе прогнозного диапазона </w:t>
      </w:r>
      <w:r w:rsidR="001E69D9">
        <w:rPr>
          <w:rFonts w:ascii="Times New Roman" w:hAnsi="Times New Roman" w:cs="Times New Roman"/>
          <w:sz w:val="24"/>
          <w:szCs w:val="24"/>
        </w:rPr>
        <w:t>П</w:t>
      </w:r>
      <w:r w:rsidR="00064C03" w:rsidRPr="008A651D">
        <w:rPr>
          <w:rFonts w:ascii="Times New Roman" w:hAnsi="Times New Roman" w:cs="Times New Roman"/>
          <w:sz w:val="24"/>
          <w:szCs w:val="24"/>
        </w:rPr>
        <w:t>риднестровского республиканского банка, представленного в «Основных направлениях единой государственной денежно-кредитной политики на 2019 год».</w:t>
      </w:r>
      <w:r w:rsidR="00F31704" w:rsidRPr="008A651D">
        <w:rPr>
          <w:rFonts w:ascii="Times New Roman" w:hAnsi="Times New Roman" w:cs="Times New Roman"/>
          <w:sz w:val="24"/>
          <w:szCs w:val="24"/>
        </w:rPr>
        <w:t xml:space="preserve"> </w:t>
      </w:r>
    </w:p>
    <w:p w14:paraId="204B92D6" w14:textId="77777777" w:rsidR="00BE7BE0" w:rsidRPr="008A651D" w:rsidRDefault="00EA1E8A" w:rsidP="00BA71C7">
      <w:pPr>
        <w:widowControl w:val="0"/>
        <w:spacing w:before="0" w:after="120" w:line="240" w:lineRule="auto"/>
        <w:ind w:firstLine="425"/>
        <w:jc w:val="right"/>
        <w:rPr>
          <w:rFonts w:ascii="Times New Roman" w:hAnsi="Times New Roman" w:cs="Times New Roman"/>
          <w:b/>
          <w:i/>
          <w:sz w:val="24"/>
          <w:szCs w:val="24"/>
        </w:rPr>
      </w:pPr>
      <w:r w:rsidRPr="008A651D">
        <w:rPr>
          <w:rFonts w:ascii="Times New Roman" w:hAnsi="Times New Roman" w:cs="Times New Roman"/>
          <w:b/>
          <w:i/>
          <w:sz w:val="24"/>
          <w:szCs w:val="24"/>
        </w:rPr>
        <w:t>Таблица 1.3</w:t>
      </w:r>
    </w:p>
    <w:p w14:paraId="0E4CD118" w14:textId="77777777" w:rsidR="000601A7" w:rsidRPr="008A651D" w:rsidRDefault="000601A7" w:rsidP="000C007E">
      <w:pPr>
        <w:widowControl w:val="0"/>
        <w:spacing w:before="0" w:after="60" w:line="240" w:lineRule="auto"/>
        <w:jc w:val="center"/>
        <w:outlineLvl w:val="0"/>
        <w:rPr>
          <w:rFonts w:ascii="Times New Roman" w:hAnsi="Times New Roman" w:cs="Times New Roman"/>
          <w:b/>
          <w:i/>
          <w:sz w:val="24"/>
          <w:szCs w:val="24"/>
        </w:rPr>
      </w:pPr>
      <w:r w:rsidRPr="008A651D">
        <w:rPr>
          <w:rFonts w:ascii="Times New Roman" w:hAnsi="Times New Roman" w:cs="Times New Roman"/>
          <w:b/>
          <w:i/>
          <w:sz w:val="24"/>
          <w:szCs w:val="24"/>
        </w:rPr>
        <w:t>Инфляция в ПМР в 2018-2019 гг., декабрь к декабрю,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76"/>
        <w:gridCol w:w="2476"/>
      </w:tblGrid>
      <w:tr w:rsidR="000601A7" w:rsidRPr="008A651D" w14:paraId="1D1E0BA5" w14:textId="77777777" w:rsidTr="00F31704">
        <w:trPr>
          <w:trHeight w:val="74"/>
        </w:trPr>
        <w:tc>
          <w:tcPr>
            <w:tcW w:w="2428" w:type="pct"/>
            <w:tcBorders>
              <w:top w:val="single" w:sz="4" w:space="0" w:color="auto"/>
              <w:left w:val="single" w:sz="4" w:space="0" w:color="auto"/>
            </w:tcBorders>
            <w:shd w:val="clear" w:color="auto" w:fill="BFBFBF" w:themeFill="background1" w:themeFillShade="BF"/>
          </w:tcPr>
          <w:p w14:paraId="33FE45C9" w14:textId="77777777" w:rsidR="000601A7" w:rsidRPr="008A651D" w:rsidRDefault="000601A7" w:rsidP="008A651D">
            <w:pPr>
              <w:widowControl w:val="0"/>
              <w:spacing w:before="0" w:after="0" w:line="240" w:lineRule="auto"/>
              <w:jc w:val="center"/>
              <w:rPr>
                <w:rFonts w:ascii="Times New Roman" w:hAnsi="Times New Roman" w:cs="Times New Roman"/>
                <w:sz w:val="22"/>
                <w:szCs w:val="22"/>
              </w:rPr>
            </w:pPr>
          </w:p>
        </w:tc>
        <w:tc>
          <w:tcPr>
            <w:tcW w:w="1286" w:type="pct"/>
            <w:tcBorders>
              <w:top w:val="single" w:sz="4" w:space="0" w:color="auto"/>
            </w:tcBorders>
            <w:shd w:val="clear" w:color="auto" w:fill="BFBFBF" w:themeFill="background1" w:themeFillShade="BF"/>
          </w:tcPr>
          <w:p w14:paraId="3CC7EF1C" w14:textId="77777777" w:rsidR="000601A7" w:rsidRPr="008A651D" w:rsidRDefault="000601A7" w:rsidP="008A651D">
            <w:pPr>
              <w:widowControl w:val="0"/>
              <w:spacing w:before="0" w:after="0" w:line="240" w:lineRule="auto"/>
              <w:jc w:val="center"/>
              <w:rPr>
                <w:rFonts w:ascii="Times New Roman" w:hAnsi="Times New Roman" w:cs="Times New Roman"/>
                <w:sz w:val="22"/>
                <w:szCs w:val="22"/>
              </w:rPr>
            </w:pPr>
            <w:r w:rsidRPr="008A651D">
              <w:rPr>
                <w:rFonts w:ascii="Times New Roman" w:hAnsi="Times New Roman" w:cs="Times New Roman"/>
                <w:sz w:val="22"/>
                <w:szCs w:val="22"/>
              </w:rPr>
              <w:t>2018 год</w:t>
            </w:r>
          </w:p>
        </w:tc>
        <w:tc>
          <w:tcPr>
            <w:tcW w:w="1286" w:type="pct"/>
            <w:tcBorders>
              <w:top w:val="single" w:sz="4" w:space="0" w:color="auto"/>
              <w:bottom w:val="single" w:sz="4" w:space="0" w:color="auto"/>
              <w:right w:val="single" w:sz="4" w:space="0" w:color="auto"/>
            </w:tcBorders>
            <w:shd w:val="clear" w:color="auto" w:fill="BFBFBF" w:themeFill="background1" w:themeFillShade="BF"/>
            <w:vAlign w:val="center"/>
          </w:tcPr>
          <w:p w14:paraId="5D2CDCC3" w14:textId="77777777" w:rsidR="000601A7" w:rsidRPr="008A651D" w:rsidRDefault="000601A7" w:rsidP="008A651D">
            <w:pPr>
              <w:widowControl w:val="0"/>
              <w:spacing w:before="0" w:after="0" w:line="240" w:lineRule="auto"/>
              <w:jc w:val="center"/>
              <w:rPr>
                <w:rFonts w:ascii="Times New Roman" w:hAnsi="Times New Roman" w:cs="Times New Roman"/>
                <w:sz w:val="22"/>
                <w:szCs w:val="22"/>
              </w:rPr>
            </w:pPr>
            <w:r w:rsidRPr="008A651D">
              <w:rPr>
                <w:rFonts w:ascii="Times New Roman" w:hAnsi="Times New Roman" w:cs="Times New Roman"/>
                <w:sz w:val="22"/>
                <w:szCs w:val="22"/>
              </w:rPr>
              <w:t>2019 год</w:t>
            </w:r>
          </w:p>
        </w:tc>
      </w:tr>
      <w:tr w:rsidR="000601A7" w:rsidRPr="008A651D" w14:paraId="6EBAC796" w14:textId="77777777" w:rsidTr="00F31704">
        <w:tc>
          <w:tcPr>
            <w:tcW w:w="2428" w:type="pct"/>
            <w:tcBorders>
              <w:top w:val="double" w:sz="4" w:space="0" w:color="auto"/>
              <w:left w:val="single" w:sz="4" w:space="0" w:color="auto"/>
            </w:tcBorders>
            <w:shd w:val="clear" w:color="auto" w:fill="BFBFBF" w:themeFill="background1" w:themeFillShade="BF"/>
            <w:vAlign w:val="center"/>
          </w:tcPr>
          <w:p w14:paraId="24B17483"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Инфляция</w:t>
            </w:r>
          </w:p>
        </w:tc>
        <w:tc>
          <w:tcPr>
            <w:tcW w:w="1286" w:type="pct"/>
            <w:tcBorders>
              <w:top w:val="double" w:sz="4" w:space="0" w:color="auto"/>
            </w:tcBorders>
            <w:shd w:val="clear" w:color="auto" w:fill="BFBFBF" w:themeFill="background1" w:themeFillShade="BF"/>
            <w:vAlign w:val="bottom"/>
          </w:tcPr>
          <w:p w14:paraId="46CF8893"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7,0</w:t>
            </w:r>
          </w:p>
        </w:tc>
        <w:tc>
          <w:tcPr>
            <w:tcW w:w="1286" w:type="pct"/>
            <w:tcBorders>
              <w:top w:val="double" w:sz="4" w:space="0" w:color="auto"/>
              <w:right w:val="single" w:sz="4" w:space="0" w:color="auto"/>
            </w:tcBorders>
            <w:shd w:val="clear" w:color="auto" w:fill="BFBFBF" w:themeFill="background1" w:themeFillShade="BF"/>
            <w:vAlign w:val="bottom"/>
          </w:tcPr>
          <w:p w14:paraId="22B75814"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4,7</w:t>
            </w:r>
          </w:p>
        </w:tc>
      </w:tr>
      <w:tr w:rsidR="000601A7" w:rsidRPr="008A651D" w14:paraId="0E5674C6" w14:textId="77777777" w:rsidTr="00F31704">
        <w:trPr>
          <w:trHeight w:val="62"/>
        </w:trPr>
        <w:tc>
          <w:tcPr>
            <w:tcW w:w="2428" w:type="pct"/>
            <w:tcBorders>
              <w:left w:val="single" w:sz="4" w:space="0" w:color="auto"/>
            </w:tcBorders>
            <w:vAlign w:val="center"/>
          </w:tcPr>
          <w:p w14:paraId="0E87BAE8"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 xml:space="preserve">  - продовольственные товары</w:t>
            </w:r>
          </w:p>
        </w:tc>
        <w:tc>
          <w:tcPr>
            <w:tcW w:w="1286" w:type="pct"/>
            <w:vAlign w:val="bottom"/>
          </w:tcPr>
          <w:p w14:paraId="081A220A"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13,0</w:t>
            </w:r>
          </w:p>
        </w:tc>
        <w:tc>
          <w:tcPr>
            <w:tcW w:w="1286" w:type="pct"/>
            <w:tcBorders>
              <w:right w:val="single" w:sz="4" w:space="0" w:color="auto"/>
            </w:tcBorders>
            <w:vAlign w:val="bottom"/>
          </w:tcPr>
          <w:p w14:paraId="6D987F3F"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w:t>
            </w:r>
          </w:p>
        </w:tc>
      </w:tr>
      <w:tr w:rsidR="000601A7" w:rsidRPr="008A651D" w14:paraId="11A51E71" w14:textId="77777777" w:rsidTr="00F31704">
        <w:trPr>
          <w:trHeight w:val="62"/>
        </w:trPr>
        <w:tc>
          <w:tcPr>
            <w:tcW w:w="2428" w:type="pct"/>
            <w:tcBorders>
              <w:left w:val="single" w:sz="4" w:space="0" w:color="auto"/>
            </w:tcBorders>
            <w:vAlign w:val="center"/>
          </w:tcPr>
          <w:p w14:paraId="25CA7E2A"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 xml:space="preserve">  - непродовольственные товары</w:t>
            </w:r>
          </w:p>
        </w:tc>
        <w:tc>
          <w:tcPr>
            <w:tcW w:w="1286" w:type="pct"/>
            <w:vAlign w:val="bottom"/>
          </w:tcPr>
          <w:p w14:paraId="6456C781"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3,3</w:t>
            </w:r>
          </w:p>
        </w:tc>
        <w:tc>
          <w:tcPr>
            <w:tcW w:w="1286" w:type="pct"/>
            <w:tcBorders>
              <w:right w:val="single" w:sz="4" w:space="0" w:color="auto"/>
            </w:tcBorders>
            <w:vAlign w:val="bottom"/>
          </w:tcPr>
          <w:p w14:paraId="70308D2E"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r>
      <w:tr w:rsidR="000601A7" w:rsidRPr="008A651D" w14:paraId="4E6964CD" w14:textId="77777777" w:rsidTr="00F31704">
        <w:trPr>
          <w:trHeight w:val="62"/>
        </w:trPr>
        <w:tc>
          <w:tcPr>
            <w:tcW w:w="2428" w:type="pct"/>
            <w:tcBorders>
              <w:left w:val="single" w:sz="4" w:space="0" w:color="auto"/>
            </w:tcBorders>
            <w:shd w:val="clear" w:color="auto" w:fill="auto"/>
          </w:tcPr>
          <w:p w14:paraId="068D8AEE"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 xml:space="preserve">  - услуги</w:t>
            </w:r>
          </w:p>
        </w:tc>
        <w:tc>
          <w:tcPr>
            <w:tcW w:w="1286" w:type="pct"/>
            <w:shd w:val="clear" w:color="auto" w:fill="auto"/>
            <w:vAlign w:val="bottom"/>
          </w:tcPr>
          <w:p w14:paraId="7F177093"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2,3</w:t>
            </w:r>
          </w:p>
        </w:tc>
        <w:tc>
          <w:tcPr>
            <w:tcW w:w="1286" w:type="pct"/>
            <w:tcBorders>
              <w:right w:val="single" w:sz="4" w:space="0" w:color="auto"/>
            </w:tcBorders>
            <w:shd w:val="clear" w:color="auto" w:fill="auto"/>
            <w:vAlign w:val="bottom"/>
          </w:tcPr>
          <w:p w14:paraId="4146A65F"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2,8</w:t>
            </w:r>
          </w:p>
        </w:tc>
      </w:tr>
      <w:tr w:rsidR="000601A7" w:rsidRPr="008A651D" w14:paraId="5BC47E89" w14:textId="77777777" w:rsidTr="00F31704">
        <w:trPr>
          <w:trHeight w:val="62"/>
        </w:trPr>
        <w:tc>
          <w:tcPr>
            <w:tcW w:w="2428" w:type="pct"/>
            <w:tcBorders>
              <w:left w:val="single" w:sz="4" w:space="0" w:color="auto"/>
              <w:bottom w:val="single" w:sz="4" w:space="0" w:color="auto"/>
            </w:tcBorders>
            <w:shd w:val="clear" w:color="auto" w:fill="BFBFBF" w:themeFill="background1" w:themeFillShade="BF"/>
            <w:vAlign w:val="center"/>
          </w:tcPr>
          <w:p w14:paraId="3C4CE197"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Базовая инфляция</w:t>
            </w:r>
            <w:r w:rsidRPr="008A651D">
              <w:rPr>
                <w:rStyle w:val="ae"/>
                <w:rFonts w:ascii="Times New Roman" w:hAnsi="Times New Roman"/>
                <w:sz w:val="22"/>
                <w:szCs w:val="22"/>
              </w:rPr>
              <w:footnoteReference w:id="5"/>
            </w:r>
          </w:p>
        </w:tc>
        <w:tc>
          <w:tcPr>
            <w:tcW w:w="1286" w:type="pct"/>
            <w:tcBorders>
              <w:bottom w:val="single" w:sz="4" w:space="0" w:color="auto"/>
            </w:tcBorders>
            <w:shd w:val="clear" w:color="auto" w:fill="BFBFBF" w:themeFill="background1" w:themeFillShade="BF"/>
            <w:vAlign w:val="bottom"/>
          </w:tcPr>
          <w:p w14:paraId="6C7744E1"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4,4</w:t>
            </w:r>
          </w:p>
        </w:tc>
        <w:tc>
          <w:tcPr>
            <w:tcW w:w="1286" w:type="pct"/>
            <w:tcBorders>
              <w:bottom w:val="single" w:sz="4" w:space="0" w:color="auto"/>
              <w:right w:val="single" w:sz="4" w:space="0" w:color="auto"/>
            </w:tcBorders>
            <w:shd w:val="clear" w:color="auto" w:fill="BFBFBF" w:themeFill="background1" w:themeFillShade="BF"/>
            <w:vAlign w:val="bottom"/>
          </w:tcPr>
          <w:p w14:paraId="369A6293"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2,9</w:t>
            </w:r>
          </w:p>
        </w:tc>
      </w:tr>
      <w:tr w:rsidR="000601A7" w:rsidRPr="008A651D" w14:paraId="13B7E28E" w14:textId="77777777" w:rsidTr="00D26C44">
        <w:trPr>
          <w:trHeight w:val="327"/>
        </w:trPr>
        <w:tc>
          <w:tcPr>
            <w:tcW w:w="2428" w:type="pct"/>
            <w:tcBorders>
              <w:top w:val="single" w:sz="4" w:space="0" w:color="auto"/>
              <w:left w:val="single" w:sz="4" w:space="0" w:color="auto"/>
              <w:bottom w:val="single" w:sz="4" w:space="0" w:color="auto"/>
              <w:right w:val="single" w:sz="4" w:space="0" w:color="auto"/>
            </w:tcBorders>
            <w:shd w:val="clear" w:color="auto" w:fill="auto"/>
            <w:vAlign w:val="center"/>
          </w:tcPr>
          <w:p w14:paraId="1C374582"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Небазовая инфляция</w:t>
            </w:r>
            <w:r w:rsidRPr="008A651D">
              <w:rPr>
                <w:rStyle w:val="ae"/>
                <w:rFonts w:ascii="Times New Roman" w:hAnsi="Times New Roman"/>
                <w:sz w:val="22"/>
                <w:szCs w:val="22"/>
              </w:rPr>
              <w:footnoteReference w:id="6"/>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14:paraId="0F7249BF"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11,1</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14:paraId="2E83DCBC" w14:textId="77777777" w:rsidR="000601A7" w:rsidRPr="008A651D" w:rsidRDefault="000601A7" w:rsidP="008A651D">
            <w:pPr>
              <w:spacing w:before="0" w:after="0" w:line="240" w:lineRule="auto"/>
              <w:ind w:right="907"/>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7,7</w:t>
            </w:r>
          </w:p>
        </w:tc>
      </w:tr>
    </w:tbl>
    <w:p w14:paraId="6C0A6435" w14:textId="77777777" w:rsidR="00683E52" w:rsidRPr="005A6289" w:rsidRDefault="00683E52" w:rsidP="00683E52">
      <w:pPr>
        <w:widowControl w:val="0"/>
        <w:spacing w:before="120" w:after="0" w:line="240" w:lineRule="auto"/>
        <w:ind w:firstLine="425"/>
        <w:jc w:val="both"/>
        <w:rPr>
          <w:rFonts w:ascii="Times New Roman" w:hAnsi="Times New Roman" w:cs="Times New Roman"/>
          <w:sz w:val="24"/>
          <w:szCs w:val="24"/>
        </w:rPr>
      </w:pPr>
      <w:r w:rsidRPr="005A6289">
        <w:rPr>
          <w:rFonts w:ascii="Times New Roman" w:hAnsi="Times New Roman" w:cs="Times New Roman"/>
          <w:sz w:val="24"/>
          <w:szCs w:val="24"/>
        </w:rPr>
        <w:t>В поквартальной динамике наибольший рост цен, как и годом ранее, пришёлся на первый квартал (+1,5%), что было обусловлено усилением влияния сезонных факторов в сегменте продовольственных товаров. Во втором и четвёртом кварталах инфляция составила 1,4% и 1,2% соответственно, в то время как в июле-сентябре, на фоне календарного снижения цен на плодоовощную продукцию, темпы роста замедлились до 0,5%.</w:t>
      </w:r>
    </w:p>
    <w:p w14:paraId="5CEC7818" w14:textId="77777777" w:rsidR="00586266" w:rsidRPr="008A651D" w:rsidRDefault="00586266" w:rsidP="00586266">
      <w:pPr>
        <w:widowControl w:val="0"/>
        <w:spacing w:before="0" w:after="0" w:line="240" w:lineRule="auto"/>
        <w:ind w:firstLine="425"/>
        <w:jc w:val="both"/>
        <w:rPr>
          <w:rFonts w:ascii="Times New Roman" w:hAnsi="Times New Roman" w:cs="Times New Roman"/>
          <w:strike/>
          <w:sz w:val="24"/>
          <w:szCs w:val="24"/>
        </w:rPr>
      </w:pPr>
      <w:r w:rsidRPr="008A651D">
        <w:rPr>
          <w:rFonts w:ascii="Times New Roman" w:hAnsi="Times New Roman" w:cs="Times New Roman"/>
          <w:sz w:val="24"/>
          <w:szCs w:val="24"/>
        </w:rPr>
        <w:t xml:space="preserve">Основное воздействие на итоговый показатель оказывала динамика цен на продовольственные товары, стоимость которых по позициям, охваченным статистическим </w:t>
      </w:r>
      <w:r w:rsidRPr="008A651D">
        <w:rPr>
          <w:rFonts w:ascii="Times New Roman" w:hAnsi="Times New Roman" w:cs="Times New Roman"/>
          <w:sz w:val="24"/>
          <w:szCs w:val="24"/>
        </w:rPr>
        <w:lastRenderedPageBreak/>
        <w:t xml:space="preserve">наблюдением, возросла на 10,0%, что на 3,0 п.п. ниже, чем годом ранее, обеспечив тем самым 4,1 п.п. сводного индекса. </w:t>
      </w:r>
      <w:r>
        <w:rPr>
          <w:rFonts w:ascii="Times New Roman" w:hAnsi="Times New Roman" w:cs="Times New Roman"/>
          <w:sz w:val="24"/>
          <w:szCs w:val="24"/>
        </w:rPr>
        <w:t>Среди данной группы, к</w:t>
      </w:r>
      <w:r w:rsidRPr="008A651D">
        <w:rPr>
          <w:rFonts w:ascii="Times New Roman" w:hAnsi="Times New Roman" w:cs="Times New Roman"/>
          <w:sz w:val="24"/>
          <w:szCs w:val="24"/>
        </w:rPr>
        <w:t xml:space="preserve">ак и на рынках стран-партнёров, </w:t>
      </w:r>
      <w:r>
        <w:rPr>
          <w:rFonts w:ascii="Times New Roman" w:hAnsi="Times New Roman" w:cs="Times New Roman"/>
          <w:sz w:val="24"/>
          <w:szCs w:val="24"/>
        </w:rPr>
        <w:t xml:space="preserve">наиболее </w:t>
      </w:r>
      <w:r w:rsidRPr="008A651D">
        <w:rPr>
          <w:rFonts w:ascii="Times New Roman" w:hAnsi="Times New Roman" w:cs="Times New Roman"/>
          <w:sz w:val="24"/>
          <w:szCs w:val="24"/>
        </w:rPr>
        <w:t xml:space="preserve">ощутимо повысилась стоимость </w:t>
      </w:r>
      <w:r>
        <w:rPr>
          <w:rFonts w:ascii="Times New Roman" w:hAnsi="Times New Roman" w:cs="Times New Roman"/>
          <w:sz w:val="24"/>
          <w:szCs w:val="24"/>
        </w:rPr>
        <w:t>плодоовощной продукции (+24,1%).</w:t>
      </w:r>
      <w:r w:rsidRPr="008A651D">
        <w:rPr>
          <w:rFonts w:ascii="Times New Roman" w:hAnsi="Times New Roman" w:cs="Times New Roman"/>
          <w:sz w:val="24"/>
          <w:szCs w:val="24"/>
        </w:rPr>
        <w:t xml:space="preserve"> </w:t>
      </w:r>
    </w:p>
    <w:p w14:paraId="76C8241B" w14:textId="77777777" w:rsidR="00F31704" w:rsidRPr="008A651D" w:rsidRDefault="00F31704"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Ввиду разнонаправленной динамики цен в разрезе структурных групп стоимость непродовольственных товаров практически не изменилась: сводный индекс сложился на уровне 99,99% (103,3% годом ранее). </w:t>
      </w:r>
      <w:r w:rsidR="008442A3">
        <w:rPr>
          <w:rFonts w:ascii="Times New Roman" w:hAnsi="Times New Roman" w:cs="Times New Roman"/>
          <w:sz w:val="24"/>
          <w:szCs w:val="24"/>
        </w:rPr>
        <w:t>Одним из главных факторов выступило у</w:t>
      </w:r>
      <w:r w:rsidRPr="008A651D">
        <w:rPr>
          <w:rFonts w:ascii="Times New Roman" w:hAnsi="Times New Roman" w:cs="Times New Roman"/>
          <w:sz w:val="24"/>
          <w:szCs w:val="24"/>
        </w:rPr>
        <w:t>меньшение стоимост</w:t>
      </w:r>
      <w:r w:rsidR="00D7297C">
        <w:rPr>
          <w:rFonts w:ascii="Times New Roman" w:hAnsi="Times New Roman" w:cs="Times New Roman"/>
          <w:sz w:val="24"/>
          <w:szCs w:val="24"/>
        </w:rPr>
        <w:t>и</w:t>
      </w:r>
      <w:r w:rsidRPr="008A651D">
        <w:rPr>
          <w:rFonts w:ascii="Times New Roman" w:hAnsi="Times New Roman" w:cs="Times New Roman"/>
          <w:sz w:val="24"/>
          <w:szCs w:val="24"/>
        </w:rPr>
        <w:t xml:space="preserve"> топлива </w:t>
      </w:r>
      <w:r w:rsidR="008442A3">
        <w:rPr>
          <w:rFonts w:ascii="Times New Roman" w:hAnsi="Times New Roman" w:cs="Times New Roman"/>
          <w:sz w:val="24"/>
          <w:szCs w:val="24"/>
        </w:rPr>
        <w:t>на 4,6%</w:t>
      </w:r>
      <w:r w:rsidRPr="008A651D">
        <w:rPr>
          <w:rFonts w:ascii="Times New Roman" w:hAnsi="Times New Roman" w:cs="Times New Roman"/>
          <w:sz w:val="24"/>
          <w:szCs w:val="24"/>
        </w:rPr>
        <w:t>, что во многом коррелировало с тенденциями на рынках соседних стран (-1,2% в Молдове, -8,2% в Украине). В связи с государственным регулированием стоимости медикаментов, цены на обследуемые в данном сегменте позиции товаров в меньшей степени подвергались повышательным корректировкам, в результате чего по итогам года индекс сложился на уровне 100,4%.</w:t>
      </w:r>
      <w:r w:rsidR="007D5BB3" w:rsidRPr="008A651D">
        <w:rPr>
          <w:rFonts w:ascii="Times New Roman" w:hAnsi="Times New Roman" w:cs="Times New Roman"/>
          <w:sz w:val="24"/>
          <w:szCs w:val="24"/>
        </w:rPr>
        <w:t xml:space="preserve"> </w:t>
      </w:r>
      <w:r w:rsidRPr="008A651D">
        <w:rPr>
          <w:rFonts w:ascii="Times New Roman" w:hAnsi="Times New Roman" w:cs="Times New Roman"/>
          <w:sz w:val="24"/>
          <w:szCs w:val="24"/>
        </w:rPr>
        <w:t>Как и на рынках стран-партнёров, увеличением стоимости характеризовалась табачная продукция (+10,8%).</w:t>
      </w:r>
    </w:p>
    <w:p w14:paraId="771E1585" w14:textId="77777777" w:rsidR="00F31704" w:rsidRPr="008A651D" w:rsidRDefault="00F31704"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Тарифы в сфере услуг за год возросли в среднем на 2,8% (+2,3% в базисном периоде), что значительно ниже параметров, зафиксированных на рынках стран-региона. Среди структурных компонентов в большей степени увеличились тарифы на услуги транспорта (+12,8%</w:t>
      </w:r>
      <w:r w:rsidR="008442A3">
        <w:rPr>
          <w:rFonts w:ascii="Times New Roman" w:hAnsi="Times New Roman" w:cs="Times New Roman"/>
          <w:sz w:val="24"/>
          <w:szCs w:val="24"/>
        </w:rPr>
        <w:t>),</w:t>
      </w:r>
      <w:r w:rsidRPr="008A651D">
        <w:rPr>
          <w:rFonts w:ascii="Times New Roman" w:hAnsi="Times New Roman" w:cs="Times New Roman"/>
          <w:sz w:val="24"/>
          <w:szCs w:val="24"/>
        </w:rPr>
        <w:t xml:space="preserve"> образования (+11,5%), </w:t>
      </w:r>
      <w:r w:rsidR="008442A3">
        <w:rPr>
          <w:rFonts w:ascii="Times New Roman" w:hAnsi="Times New Roman" w:cs="Times New Roman"/>
          <w:sz w:val="24"/>
          <w:szCs w:val="24"/>
        </w:rPr>
        <w:t>жилищной сферы</w:t>
      </w:r>
      <w:r w:rsidRPr="008A651D">
        <w:rPr>
          <w:rFonts w:ascii="Times New Roman" w:hAnsi="Times New Roman" w:cs="Times New Roman"/>
          <w:sz w:val="24"/>
          <w:szCs w:val="24"/>
        </w:rPr>
        <w:t xml:space="preserve"> </w:t>
      </w:r>
      <w:r w:rsidR="008442A3">
        <w:rPr>
          <w:rFonts w:ascii="Times New Roman" w:hAnsi="Times New Roman" w:cs="Times New Roman"/>
          <w:sz w:val="24"/>
          <w:szCs w:val="24"/>
        </w:rPr>
        <w:t>(</w:t>
      </w:r>
      <w:r w:rsidR="00E52E7B">
        <w:rPr>
          <w:rFonts w:ascii="Times New Roman" w:hAnsi="Times New Roman" w:cs="Times New Roman"/>
          <w:sz w:val="24"/>
          <w:szCs w:val="24"/>
        </w:rPr>
        <w:t>+</w:t>
      </w:r>
      <w:r w:rsidRPr="008A651D">
        <w:rPr>
          <w:rFonts w:ascii="Times New Roman" w:hAnsi="Times New Roman" w:cs="Times New Roman"/>
          <w:sz w:val="24"/>
          <w:szCs w:val="24"/>
        </w:rPr>
        <w:t>6,5%</w:t>
      </w:r>
      <w:r w:rsidR="008442A3">
        <w:rPr>
          <w:rFonts w:ascii="Times New Roman" w:hAnsi="Times New Roman" w:cs="Times New Roman"/>
          <w:sz w:val="24"/>
          <w:szCs w:val="24"/>
        </w:rPr>
        <w:t>)</w:t>
      </w:r>
      <w:r w:rsidRPr="008A651D">
        <w:rPr>
          <w:rFonts w:ascii="Times New Roman" w:hAnsi="Times New Roman" w:cs="Times New Roman"/>
          <w:sz w:val="24"/>
          <w:szCs w:val="24"/>
        </w:rPr>
        <w:t>. В то же время стоимость коммунальных услуг по-прежнему оставалась неизменной.</w:t>
      </w:r>
    </w:p>
    <w:p w14:paraId="582C76F1" w14:textId="77777777" w:rsidR="00F31704" w:rsidRPr="008A651D" w:rsidRDefault="00F31704"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В целом основное влияние на сводный индекс потребительских цен в отчётном периоде оказывали нерыночные факторы: товары и услуги, входящие в расчёт небазовой компоненты, в совокупности подорожали на 7,7% (+11,1% в 2018 году). Влияние монетарных факторов на сводный показатель было значительно ниже – базовая инфляция сложилась в пределах 2,9% против 4,4% годом ранее.</w:t>
      </w:r>
    </w:p>
    <w:p w14:paraId="3CDBDD7C" w14:textId="77777777" w:rsidR="00F31704" w:rsidRPr="008A651D" w:rsidRDefault="00F31704"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Интенсивность </w:t>
      </w:r>
      <w:r w:rsidRPr="005210BC">
        <w:rPr>
          <w:rFonts w:ascii="Times New Roman" w:hAnsi="Times New Roman" w:cs="Times New Roman"/>
          <w:sz w:val="24"/>
          <w:szCs w:val="24"/>
        </w:rPr>
        <w:t>прироста цен</w:t>
      </w:r>
      <w:r w:rsidR="0014227D" w:rsidRPr="005210BC">
        <w:rPr>
          <w:rStyle w:val="ae"/>
          <w:rFonts w:ascii="Times New Roman" w:hAnsi="Times New Roman"/>
          <w:sz w:val="24"/>
          <w:szCs w:val="24"/>
        </w:rPr>
        <w:footnoteReference w:id="7"/>
      </w:r>
      <w:r w:rsidRPr="005210BC">
        <w:rPr>
          <w:rFonts w:ascii="Times New Roman" w:hAnsi="Times New Roman" w:cs="Times New Roman"/>
          <w:sz w:val="24"/>
          <w:szCs w:val="24"/>
        </w:rPr>
        <w:t xml:space="preserve">, отображающая </w:t>
      </w:r>
      <w:r w:rsidRPr="008A651D">
        <w:rPr>
          <w:rFonts w:ascii="Times New Roman" w:hAnsi="Times New Roman" w:cs="Times New Roman"/>
          <w:sz w:val="24"/>
          <w:szCs w:val="24"/>
        </w:rPr>
        <w:t xml:space="preserve">на сколько за год изменился уровень цен в среднем по всем группам товаров (без учёта их доли в объёме потребления), сложилась на уровне 3,0%, что ниже параметров, зафиксированных годом ранее (4,8%). Фактический уровень инфляции превысил показатель интенсивности на 1,7 п.п., тогда как </w:t>
      </w:r>
      <w:r w:rsidR="00FC4AA1">
        <w:rPr>
          <w:rFonts w:ascii="Times New Roman" w:hAnsi="Times New Roman" w:cs="Times New Roman"/>
          <w:sz w:val="24"/>
          <w:szCs w:val="24"/>
        </w:rPr>
        <w:t>в 2018 году</w:t>
      </w:r>
      <w:r w:rsidRPr="008A651D">
        <w:rPr>
          <w:rFonts w:ascii="Times New Roman" w:hAnsi="Times New Roman" w:cs="Times New Roman"/>
          <w:sz w:val="24"/>
          <w:szCs w:val="24"/>
        </w:rPr>
        <w:t xml:space="preserve"> </w:t>
      </w:r>
      <w:r w:rsidR="00D7297C">
        <w:rPr>
          <w:rFonts w:ascii="Times New Roman" w:hAnsi="Times New Roman" w:cs="Times New Roman"/>
          <w:sz w:val="24"/>
          <w:szCs w:val="24"/>
        </w:rPr>
        <w:t xml:space="preserve">разрыв </w:t>
      </w:r>
      <w:r w:rsidRPr="008A651D">
        <w:rPr>
          <w:rFonts w:ascii="Times New Roman" w:hAnsi="Times New Roman" w:cs="Times New Roman"/>
          <w:sz w:val="24"/>
          <w:szCs w:val="24"/>
        </w:rPr>
        <w:t>состав</w:t>
      </w:r>
      <w:r w:rsidR="00D7297C">
        <w:rPr>
          <w:rFonts w:ascii="Times New Roman" w:hAnsi="Times New Roman" w:cs="Times New Roman"/>
          <w:sz w:val="24"/>
          <w:szCs w:val="24"/>
        </w:rPr>
        <w:t>лял</w:t>
      </w:r>
      <w:r w:rsidRPr="008A651D">
        <w:rPr>
          <w:rFonts w:ascii="Times New Roman" w:hAnsi="Times New Roman" w:cs="Times New Roman"/>
          <w:sz w:val="24"/>
          <w:szCs w:val="24"/>
        </w:rPr>
        <w:t xml:space="preserve"> 2,1 п.п. Динамика сокращения данного </w:t>
      </w:r>
      <w:r w:rsidR="00D7297C">
        <w:rPr>
          <w:rFonts w:ascii="Times New Roman" w:hAnsi="Times New Roman" w:cs="Times New Roman"/>
          <w:sz w:val="24"/>
          <w:szCs w:val="24"/>
        </w:rPr>
        <w:t>показателя</w:t>
      </w:r>
      <w:r w:rsidRPr="008A651D">
        <w:rPr>
          <w:rFonts w:ascii="Times New Roman" w:hAnsi="Times New Roman" w:cs="Times New Roman"/>
          <w:sz w:val="24"/>
          <w:szCs w:val="24"/>
        </w:rPr>
        <w:t xml:space="preserve"> свидетельствует </w:t>
      </w:r>
      <w:r w:rsidR="00693D34">
        <w:rPr>
          <w:rFonts w:ascii="Times New Roman" w:hAnsi="Times New Roman" w:cs="Times New Roman"/>
          <w:sz w:val="24"/>
          <w:szCs w:val="24"/>
        </w:rPr>
        <w:br/>
      </w:r>
      <w:r w:rsidRPr="008A651D">
        <w:rPr>
          <w:rFonts w:ascii="Times New Roman" w:hAnsi="Times New Roman" w:cs="Times New Roman"/>
          <w:sz w:val="24"/>
          <w:szCs w:val="24"/>
        </w:rPr>
        <w:t xml:space="preserve">о снижении степени влияния на </w:t>
      </w:r>
      <w:r w:rsidR="00D7297C">
        <w:rPr>
          <w:rFonts w:ascii="Times New Roman" w:hAnsi="Times New Roman" w:cs="Times New Roman"/>
          <w:sz w:val="24"/>
          <w:szCs w:val="24"/>
        </w:rPr>
        <w:t>уровень</w:t>
      </w:r>
      <w:r w:rsidRPr="008A651D">
        <w:rPr>
          <w:rFonts w:ascii="Times New Roman" w:hAnsi="Times New Roman" w:cs="Times New Roman"/>
          <w:sz w:val="24"/>
          <w:szCs w:val="24"/>
        </w:rPr>
        <w:t xml:space="preserve"> инфляции отдельных </w:t>
      </w:r>
      <w:r w:rsidR="00D7297C">
        <w:rPr>
          <w:rFonts w:ascii="Times New Roman" w:hAnsi="Times New Roman" w:cs="Times New Roman"/>
          <w:sz w:val="24"/>
          <w:szCs w:val="24"/>
        </w:rPr>
        <w:t xml:space="preserve">структурных </w:t>
      </w:r>
      <w:r w:rsidRPr="008A651D">
        <w:rPr>
          <w:rFonts w:ascii="Times New Roman" w:hAnsi="Times New Roman" w:cs="Times New Roman"/>
          <w:sz w:val="24"/>
          <w:szCs w:val="24"/>
        </w:rPr>
        <w:t xml:space="preserve">позиций </w:t>
      </w:r>
      <w:r w:rsidR="00693D34">
        <w:rPr>
          <w:rFonts w:ascii="Times New Roman" w:hAnsi="Times New Roman" w:cs="Times New Roman"/>
          <w:sz w:val="24"/>
          <w:szCs w:val="24"/>
        </w:rPr>
        <w:br/>
      </w:r>
      <w:r w:rsidRPr="008A651D">
        <w:rPr>
          <w:rFonts w:ascii="Times New Roman" w:hAnsi="Times New Roman" w:cs="Times New Roman"/>
          <w:sz w:val="24"/>
          <w:szCs w:val="24"/>
        </w:rPr>
        <w:t>(в частности, плодоовощной группы товаров).</w:t>
      </w:r>
    </w:p>
    <w:p w14:paraId="5EDF79AA" w14:textId="77777777" w:rsidR="00683E52" w:rsidRPr="008A651D" w:rsidRDefault="00683E52" w:rsidP="00683E52">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Средний масштаб отпускных цен в индустриальном комплексе </w:t>
      </w:r>
      <w:r>
        <w:rPr>
          <w:rFonts w:ascii="Times New Roman" w:hAnsi="Times New Roman" w:cs="Times New Roman"/>
          <w:sz w:val="24"/>
          <w:szCs w:val="24"/>
        </w:rPr>
        <w:t xml:space="preserve">после его сокращения в 2018 году в отчётном </w:t>
      </w:r>
      <w:r w:rsidRPr="008A651D">
        <w:rPr>
          <w:rFonts w:ascii="Times New Roman" w:hAnsi="Times New Roman" w:cs="Times New Roman"/>
          <w:sz w:val="24"/>
          <w:szCs w:val="24"/>
        </w:rPr>
        <w:t xml:space="preserve">возрос на 3,2%. Как и годом ранее, </w:t>
      </w:r>
      <w:r>
        <w:rPr>
          <w:rFonts w:ascii="Times New Roman" w:hAnsi="Times New Roman" w:cs="Times New Roman"/>
          <w:sz w:val="24"/>
          <w:szCs w:val="24"/>
        </w:rPr>
        <w:t xml:space="preserve">но с противоположным знаком </w:t>
      </w:r>
      <w:r w:rsidRPr="008A651D">
        <w:rPr>
          <w:rFonts w:ascii="Times New Roman" w:hAnsi="Times New Roman" w:cs="Times New Roman"/>
          <w:sz w:val="24"/>
          <w:szCs w:val="24"/>
        </w:rPr>
        <w:t>основной вклад в формирование сводного индекса внесла электроэнергетическая отрасль, уровень тар</w:t>
      </w:r>
      <w:r>
        <w:rPr>
          <w:rFonts w:ascii="Times New Roman" w:hAnsi="Times New Roman" w:cs="Times New Roman"/>
          <w:sz w:val="24"/>
          <w:szCs w:val="24"/>
        </w:rPr>
        <w:t xml:space="preserve">ифов в которой возрос на 31,7% </w:t>
      </w:r>
      <w:r w:rsidRPr="008A651D">
        <w:rPr>
          <w:rFonts w:ascii="Times New Roman" w:hAnsi="Times New Roman" w:cs="Times New Roman"/>
          <w:sz w:val="24"/>
          <w:szCs w:val="24"/>
        </w:rPr>
        <w:t xml:space="preserve">(табл. 1.4). </w:t>
      </w:r>
    </w:p>
    <w:p w14:paraId="59CCA108" w14:textId="0F34A7AD" w:rsidR="00BE7BE0" w:rsidRPr="008A651D" w:rsidRDefault="00BE7BE0" w:rsidP="00D26C44">
      <w:pPr>
        <w:widowControl w:val="0"/>
        <w:spacing w:before="0" w:after="0" w:line="240" w:lineRule="auto"/>
        <w:ind w:firstLine="425"/>
        <w:jc w:val="right"/>
        <w:outlineLvl w:val="0"/>
        <w:rPr>
          <w:rFonts w:ascii="Times New Roman" w:hAnsi="Times New Roman" w:cs="Times New Roman"/>
          <w:b/>
          <w:i/>
          <w:sz w:val="24"/>
          <w:szCs w:val="24"/>
        </w:rPr>
      </w:pPr>
      <w:r w:rsidRPr="008A651D">
        <w:rPr>
          <w:rFonts w:ascii="Times New Roman" w:hAnsi="Times New Roman" w:cs="Times New Roman"/>
          <w:b/>
          <w:i/>
          <w:sz w:val="24"/>
          <w:szCs w:val="24"/>
        </w:rPr>
        <w:t>Таблица 1.</w:t>
      </w:r>
      <w:r w:rsidR="00EA1E8A" w:rsidRPr="008A651D">
        <w:rPr>
          <w:rFonts w:ascii="Times New Roman" w:hAnsi="Times New Roman" w:cs="Times New Roman"/>
          <w:b/>
          <w:i/>
          <w:sz w:val="24"/>
          <w:szCs w:val="24"/>
        </w:rPr>
        <w:t>4</w:t>
      </w:r>
    </w:p>
    <w:p w14:paraId="1A4A9895" w14:textId="77777777" w:rsidR="000601A7" w:rsidRPr="008A651D" w:rsidRDefault="000601A7" w:rsidP="000C007E">
      <w:pPr>
        <w:widowControl w:val="0"/>
        <w:spacing w:before="60" w:after="60" w:line="240" w:lineRule="auto"/>
        <w:jc w:val="center"/>
        <w:outlineLvl w:val="0"/>
        <w:rPr>
          <w:rFonts w:ascii="Times New Roman" w:hAnsi="Times New Roman" w:cs="Times New Roman"/>
          <w:b/>
          <w:i/>
          <w:sz w:val="24"/>
          <w:szCs w:val="24"/>
        </w:rPr>
      </w:pPr>
      <w:r w:rsidRPr="008A651D">
        <w:rPr>
          <w:rFonts w:ascii="Times New Roman" w:hAnsi="Times New Roman" w:cs="Times New Roman"/>
          <w:b/>
          <w:i/>
          <w:sz w:val="24"/>
          <w:szCs w:val="24"/>
        </w:rPr>
        <w:t xml:space="preserve">Темпы прироста отпускных цен в отраслях промышленности в 2018-2019 гг., </w:t>
      </w:r>
      <w:r w:rsidRPr="008A651D">
        <w:rPr>
          <w:rFonts w:ascii="Times New Roman" w:hAnsi="Times New Roman" w:cs="Times New Roman"/>
          <w:b/>
          <w:i/>
          <w:sz w:val="24"/>
          <w:szCs w:val="24"/>
        </w:rPr>
        <w:br/>
        <w:t>декабрь к декабрю,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1922"/>
        <w:gridCol w:w="1922"/>
      </w:tblGrid>
      <w:tr w:rsidR="000601A7" w:rsidRPr="008A651D" w14:paraId="34612FB2" w14:textId="77777777" w:rsidTr="00851EAB">
        <w:trPr>
          <w:cantSplit/>
          <w:trHeight w:val="61"/>
          <w:jc w:val="center"/>
        </w:trPr>
        <w:tc>
          <w:tcPr>
            <w:tcW w:w="3004" w:type="pct"/>
            <w:shd w:val="clear" w:color="auto" w:fill="CCCCCC"/>
          </w:tcPr>
          <w:p w14:paraId="3ACC5C74" w14:textId="77777777" w:rsidR="000601A7" w:rsidRPr="008A651D" w:rsidRDefault="000601A7" w:rsidP="008A651D">
            <w:pPr>
              <w:widowControl w:val="0"/>
              <w:spacing w:before="0" w:after="0" w:line="240" w:lineRule="auto"/>
              <w:rPr>
                <w:rFonts w:ascii="Times New Roman" w:hAnsi="Times New Roman" w:cs="Times New Roman"/>
                <w:sz w:val="22"/>
                <w:szCs w:val="22"/>
              </w:rPr>
            </w:pPr>
          </w:p>
        </w:tc>
        <w:tc>
          <w:tcPr>
            <w:tcW w:w="998" w:type="pct"/>
            <w:shd w:val="clear" w:color="auto" w:fill="CCCCCC"/>
            <w:vAlign w:val="center"/>
          </w:tcPr>
          <w:p w14:paraId="4D039D31" w14:textId="77777777" w:rsidR="000601A7" w:rsidRPr="008A651D" w:rsidRDefault="000601A7" w:rsidP="008A651D">
            <w:pPr>
              <w:widowControl w:val="0"/>
              <w:spacing w:before="0" w:after="0" w:line="240" w:lineRule="auto"/>
              <w:jc w:val="center"/>
              <w:rPr>
                <w:rFonts w:ascii="Times New Roman" w:hAnsi="Times New Roman" w:cs="Times New Roman"/>
                <w:sz w:val="22"/>
                <w:szCs w:val="22"/>
              </w:rPr>
            </w:pPr>
            <w:r w:rsidRPr="008A651D">
              <w:rPr>
                <w:rFonts w:ascii="Times New Roman" w:hAnsi="Times New Roman" w:cs="Times New Roman"/>
                <w:sz w:val="22"/>
                <w:szCs w:val="22"/>
              </w:rPr>
              <w:t>2018 год</w:t>
            </w:r>
          </w:p>
        </w:tc>
        <w:tc>
          <w:tcPr>
            <w:tcW w:w="998" w:type="pct"/>
            <w:shd w:val="clear" w:color="auto" w:fill="CCCCCC"/>
          </w:tcPr>
          <w:p w14:paraId="1EB22C7B" w14:textId="77777777" w:rsidR="000601A7" w:rsidRPr="008A651D" w:rsidRDefault="000601A7" w:rsidP="008A651D">
            <w:pPr>
              <w:widowControl w:val="0"/>
              <w:spacing w:before="0" w:after="0" w:line="240" w:lineRule="auto"/>
              <w:jc w:val="center"/>
              <w:rPr>
                <w:rFonts w:ascii="Times New Roman" w:hAnsi="Times New Roman" w:cs="Times New Roman"/>
                <w:sz w:val="22"/>
                <w:szCs w:val="22"/>
              </w:rPr>
            </w:pPr>
            <w:r w:rsidRPr="008A651D">
              <w:rPr>
                <w:rFonts w:ascii="Times New Roman" w:hAnsi="Times New Roman" w:cs="Times New Roman"/>
                <w:sz w:val="22"/>
                <w:szCs w:val="22"/>
              </w:rPr>
              <w:t>2019 год</w:t>
            </w:r>
          </w:p>
        </w:tc>
      </w:tr>
      <w:tr w:rsidR="000601A7" w:rsidRPr="008A651D" w14:paraId="37654984" w14:textId="77777777" w:rsidTr="00851EAB">
        <w:trPr>
          <w:trHeight w:val="171"/>
          <w:jc w:val="center"/>
        </w:trPr>
        <w:tc>
          <w:tcPr>
            <w:tcW w:w="3004" w:type="pct"/>
            <w:tcBorders>
              <w:top w:val="double" w:sz="4" w:space="0" w:color="auto"/>
            </w:tcBorders>
            <w:vAlign w:val="center"/>
          </w:tcPr>
          <w:p w14:paraId="0F6F7E4F"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Чёрная металлургия</w:t>
            </w:r>
          </w:p>
        </w:tc>
        <w:tc>
          <w:tcPr>
            <w:tcW w:w="998" w:type="pct"/>
            <w:tcBorders>
              <w:top w:val="double" w:sz="4" w:space="0" w:color="auto"/>
            </w:tcBorders>
            <w:vAlign w:val="bottom"/>
          </w:tcPr>
          <w:p w14:paraId="434D4A7B"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0,5</w:t>
            </w:r>
          </w:p>
        </w:tc>
        <w:tc>
          <w:tcPr>
            <w:tcW w:w="998" w:type="pct"/>
            <w:tcBorders>
              <w:top w:val="double" w:sz="4" w:space="0" w:color="auto"/>
            </w:tcBorders>
            <w:vAlign w:val="bottom"/>
          </w:tcPr>
          <w:p w14:paraId="072F29DA"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-17,3</w:t>
            </w:r>
          </w:p>
        </w:tc>
      </w:tr>
      <w:tr w:rsidR="000601A7" w:rsidRPr="008A651D" w14:paraId="08BC60E8" w14:textId="77777777" w:rsidTr="00851EAB">
        <w:trPr>
          <w:trHeight w:val="240"/>
          <w:jc w:val="center"/>
        </w:trPr>
        <w:tc>
          <w:tcPr>
            <w:tcW w:w="3004" w:type="pct"/>
            <w:vAlign w:val="center"/>
          </w:tcPr>
          <w:p w14:paraId="43C22512"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Электроэнергетика</w:t>
            </w:r>
          </w:p>
        </w:tc>
        <w:tc>
          <w:tcPr>
            <w:tcW w:w="998" w:type="pct"/>
            <w:vAlign w:val="bottom"/>
          </w:tcPr>
          <w:p w14:paraId="0A14EE65"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-14,6</w:t>
            </w:r>
          </w:p>
        </w:tc>
        <w:tc>
          <w:tcPr>
            <w:tcW w:w="998" w:type="pct"/>
            <w:vAlign w:val="bottom"/>
          </w:tcPr>
          <w:p w14:paraId="600A5DC6"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31,7</w:t>
            </w:r>
          </w:p>
        </w:tc>
      </w:tr>
      <w:tr w:rsidR="000601A7" w:rsidRPr="008A651D" w14:paraId="7CED77D3" w14:textId="77777777" w:rsidTr="00851EAB">
        <w:trPr>
          <w:trHeight w:val="240"/>
          <w:jc w:val="center"/>
        </w:trPr>
        <w:tc>
          <w:tcPr>
            <w:tcW w:w="3004" w:type="pct"/>
            <w:tcBorders>
              <w:bottom w:val="single" w:sz="4" w:space="0" w:color="auto"/>
            </w:tcBorders>
            <w:vAlign w:val="center"/>
          </w:tcPr>
          <w:p w14:paraId="3DDE4DF1" w14:textId="77777777" w:rsidR="000601A7" w:rsidRPr="008A651D" w:rsidRDefault="000601A7" w:rsidP="008A651D">
            <w:pPr>
              <w:widowControl w:val="0"/>
              <w:spacing w:before="0" w:after="0" w:line="240" w:lineRule="auto"/>
              <w:rPr>
                <w:rFonts w:ascii="Times New Roman" w:hAnsi="Times New Roman" w:cs="Times New Roman"/>
                <w:sz w:val="22"/>
                <w:szCs w:val="22"/>
              </w:rPr>
            </w:pPr>
            <w:r w:rsidRPr="008A651D">
              <w:rPr>
                <w:rFonts w:ascii="Times New Roman" w:hAnsi="Times New Roman" w:cs="Times New Roman"/>
                <w:sz w:val="22"/>
                <w:szCs w:val="22"/>
              </w:rPr>
              <w:t>Машиностроение и металлообработка</w:t>
            </w:r>
          </w:p>
        </w:tc>
        <w:tc>
          <w:tcPr>
            <w:tcW w:w="998" w:type="pct"/>
            <w:tcBorders>
              <w:bottom w:val="single" w:sz="4" w:space="0" w:color="auto"/>
            </w:tcBorders>
            <w:vAlign w:val="bottom"/>
          </w:tcPr>
          <w:p w14:paraId="1460F018"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8,3</w:t>
            </w:r>
          </w:p>
        </w:tc>
        <w:tc>
          <w:tcPr>
            <w:tcW w:w="998" w:type="pct"/>
            <w:tcBorders>
              <w:bottom w:val="single" w:sz="4" w:space="0" w:color="auto"/>
            </w:tcBorders>
            <w:vAlign w:val="bottom"/>
          </w:tcPr>
          <w:p w14:paraId="65E77E84"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r>
      <w:tr w:rsidR="000601A7" w:rsidRPr="008A651D" w14:paraId="143CC165" w14:textId="77777777" w:rsidTr="00851EAB">
        <w:trPr>
          <w:trHeight w:val="240"/>
          <w:jc w:val="center"/>
        </w:trPr>
        <w:tc>
          <w:tcPr>
            <w:tcW w:w="3004" w:type="pct"/>
            <w:tcBorders>
              <w:top w:val="nil"/>
            </w:tcBorders>
            <w:vAlign w:val="center"/>
          </w:tcPr>
          <w:p w14:paraId="3D1ACCBE"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Электротехническая промышленность</w:t>
            </w:r>
          </w:p>
        </w:tc>
        <w:tc>
          <w:tcPr>
            <w:tcW w:w="998" w:type="pct"/>
            <w:tcBorders>
              <w:top w:val="nil"/>
            </w:tcBorders>
            <w:vAlign w:val="bottom"/>
          </w:tcPr>
          <w:p w14:paraId="482D6EDD"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3,9</w:t>
            </w:r>
          </w:p>
        </w:tc>
        <w:tc>
          <w:tcPr>
            <w:tcW w:w="998" w:type="pct"/>
            <w:tcBorders>
              <w:top w:val="nil"/>
            </w:tcBorders>
            <w:vAlign w:val="bottom"/>
          </w:tcPr>
          <w:p w14:paraId="1202E5F6"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1,7</w:t>
            </w:r>
          </w:p>
        </w:tc>
      </w:tr>
      <w:tr w:rsidR="000601A7" w:rsidRPr="008A651D" w14:paraId="572A4BB2" w14:textId="77777777" w:rsidTr="00851EAB">
        <w:trPr>
          <w:trHeight w:val="84"/>
          <w:jc w:val="center"/>
        </w:trPr>
        <w:tc>
          <w:tcPr>
            <w:tcW w:w="3004" w:type="pct"/>
            <w:vAlign w:val="center"/>
          </w:tcPr>
          <w:p w14:paraId="79D40DEA" w14:textId="77777777" w:rsidR="000601A7" w:rsidRPr="008A651D" w:rsidRDefault="000601A7" w:rsidP="008A651D">
            <w:pPr>
              <w:widowControl w:val="0"/>
              <w:spacing w:before="0" w:after="0" w:line="240" w:lineRule="auto"/>
              <w:rPr>
                <w:rFonts w:ascii="Times New Roman" w:hAnsi="Times New Roman" w:cs="Times New Roman"/>
                <w:color w:val="000000"/>
                <w:sz w:val="22"/>
                <w:szCs w:val="22"/>
              </w:rPr>
            </w:pPr>
            <w:r w:rsidRPr="008A651D">
              <w:rPr>
                <w:rFonts w:ascii="Times New Roman" w:hAnsi="Times New Roman" w:cs="Times New Roman"/>
                <w:color w:val="000000"/>
                <w:sz w:val="22"/>
                <w:szCs w:val="22"/>
              </w:rPr>
              <w:t>Лесная и деревообрабатывающая промышленность</w:t>
            </w:r>
          </w:p>
        </w:tc>
        <w:tc>
          <w:tcPr>
            <w:tcW w:w="998" w:type="pct"/>
            <w:vAlign w:val="bottom"/>
          </w:tcPr>
          <w:p w14:paraId="5726BC1F"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c>
          <w:tcPr>
            <w:tcW w:w="998" w:type="pct"/>
            <w:vAlign w:val="bottom"/>
          </w:tcPr>
          <w:p w14:paraId="040BE3AE"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20,0</w:t>
            </w:r>
          </w:p>
        </w:tc>
      </w:tr>
      <w:tr w:rsidR="000601A7" w:rsidRPr="008A651D" w14:paraId="2E1FCD77" w14:textId="77777777" w:rsidTr="00851EAB">
        <w:trPr>
          <w:trHeight w:val="158"/>
          <w:jc w:val="center"/>
        </w:trPr>
        <w:tc>
          <w:tcPr>
            <w:tcW w:w="3004" w:type="pct"/>
            <w:vAlign w:val="center"/>
          </w:tcPr>
          <w:p w14:paraId="0CA6E26E"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Промышленность строительных материалов</w:t>
            </w:r>
          </w:p>
        </w:tc>
        <w:tc>
          <w:tcPr>
            <w:tcW w:w="998" w:type="pct"/>
            <w:vAlign w:val="bottom"/>
          </w:tcPr>
          <w:p w14:paraId="7949459D"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1,3</w:t>
            </w:r>
          </w:p>
        </w:tc>
        <w:tc>
          <w:tcPr>
            <w:tcW w:w="998" w:type="pct"/>
            <w:vAlign w:val="bottom"/>
          </w:tcPr>
          <w:p w14:paraId="0B0085F5"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6,3</w:t>
            </w:r>
          </w:p>
        </w:tc>
      </w:tr>
      <w:tr w:rsidR="000601A7" w:rsidRPr="008A651D" w14:paraId="7854C3AC" w14:textId="77777777" w:rsidTr="00851EAB">
        <w:trPr>
          <w:trHeight w:val="240"/>
          <w:jc w:val="center"/>
        </w:trPr>
        <w:tc>
          <w:tcPr>
            <w:tcW w:w="3004" w:type="pct"/>
            <w:vAlign w:val="center"/>
          </w:tcPr>
          <w:p w14:paraId="151A1052"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Лёгкая промышленность</w:t>
            </w:r>
          </w:p>
        </w:tc>
        <w:tc>
          <w:tcPr>
            <w:tcW w:w="998" w:type="pct"/>
            <w:vAlign w:val="bottom"/>
          </w:tcPr>
          <w:p w14:paraId="23F0D536"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0,5</w:t>
            </w:r>
          </w:p>
        </w:tc>
        <w:tc>
          <w:tcPr>
            <w:tcW w:w="998" w:type="pct"/>
            <w:vAlign w:val="bottom"/>
          </w:tcPr>
          <w:p w14:paraId="69302DAA"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r>
      <w:tr w:rsidR="000601A7" w:rsidRPr="008A651D" w14:paraId="7C96B809" w14:textId="77777777" w:rsidTr="00851EAB">
        <w:trPr>
          <w:trHeight w:val="240"/>
          <w:jc w:val="center"/>
        </w:trPr>
        <w:tc>
          <w:tcPr>
            <w:tcW w:w="3004" w:type="pct"/>
            <w:vAlign w:val="center"/>
          </w:tcPr>
          <w:p w14:paraId="66E3936B"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Пищевая промышленность</w:t>
            </w:r>
          </w:p>
        </w:tc>
        <w:tc>
          <w:tcPr>
            <w:tcW w:w="998" w:type="pct"/>
            <w:vAlign w:val="bottom"/>
          </w:tcPr>
          <w:p w14:paraId="439B6C7A"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7,5</w:t>
            </w:r>
          </w:p>
        </w:tc>
        <w:tc>
          <w:tcPr>
            <w:tcW w:w="998" w:type="pct"/>
            <w:vAlign w:val="bottom"/>
          </w:tcPr>
          <w:p w14:paraId="3C9D60C8"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6,1</w:t>
            </w:r>
          </w:p>
        </w:tc>
      </w:tr>
      <w:tr w:rsidR="000601A7" w:rsidRPr="008A651D" w14:paraId="5B0B62D6" w14:textId="77777777" w:rsidTr="00851EAB">
        <w:trPr>
          <w:trHeight w:val="132"/>
          <w:jc w:val="center"/>
        </w:trPr>
        <w:tc>
          <w:tcPr>
            <w:tcW w:w="3004" w:type="pct"/>
            <w:vAlign w:val="center"/>
          </w:tcPr>
          <w:p w14:paraId="3D1F3A3D"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Полиграфическая промышленность</w:t>
            </w:r>
          </w:p>
        </w:tc>
        <w:tc>
          <w:tcPr>
            <w:tcW w:w="998" w:type="pct"/>
            <w:vAlign w:val="bottom"/>
          </w:tcPr>
          <w:p w14:paraId="720A117F"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6,6</w:t>
            </w:r>
          </w:p>
        </w:tc>
        <w:tc>
          <w:tcPr>
            <w:tcW w:w="998" w:type="pct"/>
            <w:vAlign w:val="bottom"/>
          </w:tcPr>
          <w:p w14:paraId="074E1F17"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0,3</w:t>
            </w:r>
          </w:p>
        </w:tc>
      </w:tr>
      <w:tr w:rsidR="000601A7" w:rsidRPr="008A651D" w14:paraId="76AF4A12" w14:textId="77777777" w:rsidTr="00851EAB">
        <w:trPr>
          <w:trHeight w:val="62"/>
          <w:jc w:val="center"/>
        </w:trPr>
        <w:tc>
          <w:tcPr>
            <w:tcW w:w="3004" w:type="pct"/>
            <w:shd w:val="clear" w:color="auto" w:fill="E0E0E0"/>
            <w:vAlign w:val="center"/>
          </w:tcPr>
          <w:p w14:paraId="5EDB8F65" w14:textId="77777777" w:rsidR="000601A7" w:rsidRPr="008A651D" w:rsidRDefault="000601A7" w:rsidP="008A651D">
            <w:pPr>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Всего по промышленности</w:t>
            </w:r>
          </w:p>
        </w:tc>
        <w:tc>
          <w:tcPr>
            <w:tcW w:w="998" w:type="pct"/>
            <w:shd w:val="clear" w:color="auto" w:fill="E0E0E0"/>
            <w:vAlign w:val="bottom"/>
          </w:tcPr>
          <w:p w14:paraId="281905DC"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-7,0</w:t>
            </w:r>
          </w:p>
        </w:tc>
        <w:tc>
          <w:tcPr>
            <w:tcW w:w="998" w:type="pct"/>
            <w:shd w:val="clear" w:color="auto" w:fill="E0E0E0"/>
            <w:vAlign w:val="bottom"/>
          </w:tcPr>
          <w:p w14:paraId="63029F8A" w14:textId="77777777" w:rsidR="000601A7" w:rsidRPr="008A651D" w:rsidRDefault="000601A7" w:rsidP="008A651D">
            <w:pPr>
              <w:spacing w:before="0" w:after="0" w:line="240" w:lineRule="auto"/>
              <w:ind w:right="68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3,2</w:t>
            </w:r>
          </w:p>
        </w:tc>
      </w:tr>
    </w:tbl>
    <w:p w14:paraId="3DB985AE" w14:textId="77777777" w:rsidR="000601A7" w:rsidRDefault="000601A7" w:rsidP="008A651D">
      <w:pPr>
        <w:widowControl w:val="0"/>
        <w:spacing w:before="0" w:after="0" w:line="240" w:lineRule="auto"/>
        <w:ind w:firstLine="425"/>
        <w:jc w:val="both"/>
        <w:outlineLvl w:val="0"/>
        <w:rPr>
          <w:rFonts w:ascii="Times New Roman" w:hAnsi="Times New Roman" w:cs="Times New Roman"/>
          <w:b/>
          <w:i/>
          <w:sz w:val="2"/>
          <w:szCs w:val="2"/>
        </w:rPr>
      </w:pPr>
    </w:p>
    <w:p w14:paraId="17C95A29" w14:textId="73BE97FA" w:rsidR="00D26C44" w:rsidRPr="008A651D" w:rsidRDefault="00D26C44" w:rsidP="00D26C44">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Пе</w:t>
      </w:r>
      <w:r w:rsidRPr="008A651D">
        <w:rPr>
          <w:rFonts w:ascii="Times New Roman" w:hAnsi="Times New Roman" w:cs="Times New Roman"/>
          <w:sz w:val="24"/>
          <w:szCs w:val="24"/>
        </w:rPr>
        <w:t xml:space="preserve">ресмотр отпускных цен в сторону повышения также был зафиксирован в пищевой промышленности (+6,1%), промышленности строительных материалов (+6,3%), электротехнической (+1,7%) и полиграфической (+0,3%) </w:t>
      </w:r>
      <w:r>
        <w:rPr>
          <w:rFonts w:ascii="Times New Roman" w:hAnsi="Times New Roman" w:cs="Times New Roman"/>
          <w:sz w:val="24"/>
          <w:szCs w:val="24"/>
        </w:rPr>
        <w:t>отраслях</w:t>
      </w:r>
      <w:r w:rsidRPr="008A651D">
        <w:rPr>
          <w:rFonts w:ascii="Times New Roman" w:hAnsi="Times New Roman" w:cs="Times New Roman"/>
          <w:sz w:val="24"/>
          <w:szCs w:val="24"/>
        </w:rPr>
        <w:t xml:space="preserve">. </w:t>
      </w:r>
    </w:p>
    <w:p w14:paraId="229487C0" w14:textId="77777777" w:rsidR="00D26C44" w:rsidRPr="008A651D" w:rsidRDefault="00D26C44" w:rsidP="00D26C44">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Индекс отпускных цен на металлопрокат снизился на 17,3 п.п., что во многом определялось волатильностью котировок на мировом рынке чёрных металлов, связанной с ужесточением торговых барьеров. В машиностроении и металлообработке, а также в лёгкой промышленности уровень отпускных цен остался неизменным.</w:t>
      </w:r>
    </w:p>
    <w:p w14:paraId="027E8C67" w14:textId="77777777" w:rsidR="002B5F1D" w:rsidRPr="002B5F1D" w:rsidRDefault="002B5F1D" w:rsidP="008A651D">
      <w:pPr>
        <w:widowControl w:val="0"/>
        <w:spacing w:before="0" w:after="0" w:line="240" w:lineRule="auto"/>
        <w:ind w:firstLine="425"/>
        <w:jc w:val="both"/>
        <w:outlineLvl w:val="0"/>
        <w:rPr>
          <w:rFonts w:ascii="Times New Roman" w:hAnsi="Times New Roman" w:cs="Times New Roman"/>
          <w:b/>
          <w:i/>
          <w:sz w:val="24"/>
          <w:szCs w:val="24"/>
        </w:rPr>
      </w:pPr>
    </w:p>
    <w:p w14:paraId="4BDD057D" w14:textId="77777777" w:rsidR="00083ECC" w:rsidRPr="004D7D79" w:rsidRDefault="00083ECC" w:rsidP="00B55541">
      <w:pPr>
        <w:pStyle w:val="2"/>
        <w:spacing w:before="0"/>
        <w:rPr>
          <w:b/>
          <w:noProof/>
        </w:rPr>
      </w:pPr>
      <w:r w:rsidRPr="004D7D79">
        <w:rPr>
          <w:b/>
          <w:noProof/>
        </w:rPr>
        <w:t>Социальная сфера</w:t>
      </w:r>
    </w:p>
    <w:p w14:paraId="48110504" w14:textId="77777777" w:rsidR="005F4E3E" w:rsidRPr="005F4E3E" w:rsidRDefault="005F4E3E" w:rsidP="005F4E3E">
      <w:pPr>
        <w:widowControl w:val="0"/>
        <w:shd w:val="clear" w:color="auto" w:fill="FDFEFF"/>
        <w:spacing w:before="0" w:after="0" w:line="240" w:lineRule="auto"/>
        <w:ind w:firstLine="425"/>
        <w:jc w:val="both"/>
        <w:rPr>
          <w:rFonts w:ascii="Times New Roman" w:hAnsi="Times New Roman" w:cs="Times New Roman"/>
          <w:color w:val="000000"/>
          <w:sz w:val="16"/>
          <w:szCs w:val="16"/>
        </w:rPr>
      </w:pPr>
    </w:p>
    <w:p w14:paraId="3DC87383" w14:textId="7E787ADA" w:rsidR="005F4E3E" w:rsidRPr="00DD475C" w:rsidRDefault="005F4E3E" w:rsidP="005F4E3E">
      <w:pPr>
        <w:widowControl w:val="0"/>
        <w:shd w:val="clear" w:color="auto" w:fill="FDFEFF"/>
        <w:spacing w:before="0" w:after="0" w:line="240" w:lineRule="auto"/>
        <w:ind w:firstLine="425"/>
        <w:jc w:val="both"/>
        <w:rPr>
          <w:rFonts w:ascii="Times New Roman" w:hAnsi="Times New Roman" w:cs="Times New Roman"/>
          <w:color w:val="000000"/>
          <w:sz w:val="24"/>
          <w:szCs w:val="24"/>
        </w:rPr>
      </w:pPr>
      <w:r w:rsidRPr="00DD475C">
        <w:rPr>
          <w:rFonts w:ascii="Times New Roman" w:hAnsi="Times New Roman" w:cs="Times New Roman"/>
          <w:color w:val="000000"/>
          <w:sz w:val="24"/>
          <w:szCs w:val="24"/>
        </w:rPr>
        <w:t xml:space="preserve">Согласно оценке Государственной службы статистики ПМР, объём начисленного фонда оплаты труда </w:t>
      </w:r>
      <w:r w:rsidRPr="00DD475C">
        <w:rPr>
          <w:rFonts w:ascii="Times New Roman" w:hAnsi="Times New Roman" w:cs="Times New Roman"/>
          <w:iCs/>
          <w:noProof/>
          <w:color w:val="000000" w:themeColor="text1"/>
          <w:sz w:val="24"/>
          <w:szCs w:val="24"/>
        </w:rPr>
        <w:t>работающих с уч</w:t>
      </w:r>
      <w:r w:rsidR="00A121E6">
        <w:rPr>
          <w:rFonts w:ascii="Times New Roman" w:hAnsi="Times New Roman" w:cs="Times New Roman"/>
          <w:iCs/>
          <w:noProof/>
          <w:color w:val="000000" w:themeColor="text1"/>
          <w:sz w:val="24"/>
          <w:szCs w:val="24"/>
        </w:rPr>
        <w:t>ё</w:t>
      </w:r>
      <w:r w:rsidRPr="00DD475C">
        <w:rPr>
          <w:rFonts w:ascii="Times New Roman" w:hAnsi="Times New Roman" w:cs="Times New Roman"/>
          <w:iCs/>
          <w:noProof/>
          <w:color w:val="000000" w:themeColor="text1"/>
          <w:sz w:val="24"/>
          <w:szCs w:val="24"/>
        </w:rPr>
        <w:t xml:space="preserve">том субъектов малого предпринимательства, некоммерческих и религиозных организаций за </w:t>
      </w:r>
      <w:r w:rsidRPr="00DD475C">
        <w:rPr>
          <w:rFonts w:ascii="Times New Roman" w:hAnsi="Times New Roman" w:cs="Times New Roman"/>
          <w:color w:val="000000"/>
          <w:sz w:val="24"/>
          <w:szCs w:val="24"/>
        </w:rPr>
        <w:t xml:space="preserve">2019 год составил </w:t>
      </w:r>
      <w:r w:rsidRPr="00DD475C">
        <w:rPr>
          <w:rFonts w:ascii="Times New Roman" w:hAnsi="Times New Roman" w:cs="Times New Roman"/>
          <w:color w:val="000000" w:themeColor="text1"/>
          <w:sz w:val="24"/>
          <w:szCs w:val="24"/>
        </w:rPr>
        <w:t>5 510,6 млн руб</w:t>
      </w:r>
      <w:r w:rsidRPr="00DD475C">
        <w:rPr>
          <w:rFonts w:ascii="Times New Roman" w:hAnsi="Times New Roman" w:cs="Times New Roman"/>
          <w:color w:val="000000"/>
          <w:sz w:val="24"/>
          <w:szCs w:val="24"/>
        </w:rPr>
        <w:t>.</w:t>
      </w:r>
      <w:r w:rsidR="00D53FDF">
        <w:rPr>
          <w:rFonts w:ascii="Times New Roman" w:hAnsi="Times New Roman" w:cs="Times New Roman"/>
          <w:color w:val="000000"/>
          <w:sz w:val="24"/>
          <w:szCs w:val="24"/>
        </w:rPr>
        <w:t>, что на 9,0% больше, чем в 2018 году.</w:t>
      </w:r>
      <w:r w:rsidRPr="00DD475C">
        <w:rPr>
          <w:rFonts w:ascii="Times New Roman" w:hAnsi="Times New Roman" w:cs="Times New Roman"/>
          <w:color w:val="000000"/>
          <w:sz w:val="24"/>
          <w:szCs w:val="24"/>
        </w:rPr>
        <w:t xml:space="preserve"> При этом среднемесячная заработная плата одного работника, включая субъекты малого предпринимательства, составила 4 611,0 руб., </w:t>
      </w:r>
      <w:r w:rsidRPr="00DD475C">
        <w:rPr>
          <w:rFonts w:ascii="Times New Roman" w:hAnsi="Times New Roman" w:cs="Times New Roman"/>
          <w:sz w:val="24"/>
          <w:szCs w:val="24"/>
        </w:rPr>
        <w:t xml:space="preserve">что в номинальном выражении на 8,8% выше базисного значения, а с учётом индекса-дефлятора </w:t>
      </w:r>
      <w:r w:rsidR="001D486D">
        <w:rPr>
          <w:rFonts w:ascii="Times New Roman" w:hAnsi="Times New Roman" w:cs="Times New Roman"/>
          <w:sz w:val="24"/>
          <w:szCs w:val="24"/>
        </w:rPr>
        <w:t>(1,0501)</w:t>
      </w:r>
      <w:r w:rsidR="0029605C">
        <w:rPr>
          <w:rFonts w:ascii="Times New Roman" w:hAnsi="Times New Roman" w:cs="Times New Roman"/>
          <w:sz w:val="24"/>
          <w:szCs w:val="24"/>
        </w:rPr>
        <w:t xml:space="preserve"> </w:t>
      </w:r>
      <w:r w:rsidRPr="00DD475C">
        <w:rPr>
          <w:rFonts w:ascii="Times New Roman" w:hAnsi="Times New Roman" w:cs="Times New Roman"/>
          <w:sz w:val="24"/>
          <w:szCs w:val="24"/>
        </w:rPr>
        <w:t>– на 3,6%.</w:t>
      </w:r>
      <w:r w:rsidRPr="00DD475C">
        <w:rPr>
          <w:rFonts w:ascii="Times New Roman" w:hAnsi="Times New Roman" w:cs="Times New Roman"/>
          <w:color w:val="FF0000"/>
          <w:sz w:val="24"/>
          <w:szCs w:val="24"/>
        </w:rPr>
        <w:t xml:space="preserve"> </w:t>
      </w:r>
      <w:r w:rsidRPr="00DD475C">
        <w:rPr>
          <w:rFonts w:ascii="Times New Roman" w:hAnsi="Times New Roman" w:cs="Times New Roman"/>
          <w:sz w:val="24"/>
          <w:szCs w:val="24"/>
        </w:rPr>
        <w:t xml:space="preserve">Принимая во внимание </w:t>
      </w:r>
      <w:r w:rsidRPr="00DD475C">
        <w:rPr>
          <w:rFonts w:ascii="Times New Roman" w:hAnsi="Times New Roman" w:cs="Times New Roman"/>
          <w:color w:val="000000"/>
          <w:sz w:val="24"/>
          <w:szCs w:val="24"/>
        </w:rPr>
        <w:t xml:space="preserve">изменение величины прожиточного минимума трудоспособного человека (+5,1%, до 1 631,5 руб.), размер покупательной способности заработной платы повысился с 2,71 до 2,83 данной условной величины. </w:t>
      </w:r>
    </w:p>
    <w:p w14:paraId="4E045024" w14:textId="77777777" w:rsidR="005F4E3E" w:rsidRPr="00FA57D7" w:rsidRDefault="005F4E3E" w:rsidP="005F4E3E">
      <w:pPr>
        <w:widowControl w:val="0"/>
        <w:shd w:val="clear" w:color="auto" w:fill="FDFEFF"/>
        <w:spacing w:before="0" w:after="0" w:line="240" w:lineRule="auto"/>
        <w:ind w:firstLine="425"/>
        <w:jc w:val="both"/>
        <w:rPr>
          <w:rFonts w:ascii="Times New Roman" w:hAnsi="Times New Roman" w:cs="Times New Roman"/>
          <w:strike/>
          <w:color w:val="FF0000"/>
          <w:sz w:val="24"/>
          <w:szCs w:val="24"/>
        </w:rPr>
      </w:pPr>
      <w:r w:rsidRPr="00DD475C">
        <w:rPr>
          <w:rFonts w:ascii="Times New Roman" w:hAnsi="Times New Roman" w:cs="Times New Roman"/>
          <w:color w:val="000000"/>
          <w:sz w:val="24"/>
          <w:szCs w:val="24"/>
        </w:rPr>
        <w:t xml:space="preserve">Среднемесячные выплаты работающим на крупных предприятиях сложились на уровне 4 702,0 руб., в том числе в непроизводственной сфере – 3 682,0 руб. (+10,6%), в секторе материального производства – 5 727,0 руб. (+7,1%). </w:t>
      </w:r>
      <w:r w:rsidRPr="00DD475C">
        <w:rPr>
          <w:rFonts w:ascii="Times New Roman" w:hAnsi="Times New Roman" w:cs="Times New Roman"/>
          <w:iCs/>
          <w:noProof/>
          <w:color w:val="000000" w:themeColor="text1"/>
          <w:sz w:val="24"/>
          <w:szCs w:val="24"/>
        </w:rPr>
        <w:t>Средний размер заработной платы на промышленных предприятиях превысил базисное значение на 6,1%, сложившись на отметке 6 365 руб. в месяц.</w:t>
      </w:r>
      <w:r>
        <w:rPr>
          <w:rFonts w:ascii="Times New Roman" w:hAnsi="Times New Roman" w:cs="Times New Roman"/>
          <w:iCs/>
          <w:noProof/>
          <w:color w:val="000000" w:themeColor="text1"/>
          <w:sz w:val="24"/>
          <w:szCs w:val="24"/>
        </w:rPr>
        <w:t xml:space="preserve"> </w:t>
      </w:r>
      <w:r w:rsidRPr="008A651D">
        <w:rPr>
          <w:rFonts w:ascii="Times New Roman" w:hAnsi="Times New Roman" w:cs="Times New Roman"/>
          <w:color w:val="000000"/>
          <w:sz w:val="24"/>
          <w:szCs w:val="24"/>
        </w:rPr>
        <w:t xml:space="preserve">При этом размер заработной платы в бюджетной сфере в результате индексирования в начале 2019 года </w:t>
      </w:r>
      <w:r>
        <w:rPr>
          <w:rFonts w:ascii="Times New Roman" w:hAnsi="Times New Roman" w:cs="Times New Roman"/>
          <w:color w:val="000000"/>
          <w:sz w:val="24"/>
          <w:szCs w:val="24"/>
        </w:rPr>
        <w:t>повысился на 11,8</w:t>
      </w:r>
      <w:r w:rsidRPr="008A651D">
        <w:rPr>
          <w:rFonts w:ascii="Times New Roman" w:hAnsi="Times New Roman" w:cs="Times New Roman"/>
          <w:color w:val="000000"/>
          <w:sz w:val="24"/>
          <w:szCs w:val="24"/>
        </w:rPr>
        <w:t>% и составил 3 1</w:t>
      </w:r>
      <w:r>
        <w:rPr>
          <w:rFonts w:ascii="Times New Roman" w:hAnsi="Times New Roman" w:cs="Times New Roman"/>
          <w:color w:val="000000"/>
          <w:sz w:val="24"/>
          <w:szCs w:val="24"/>
        </w:rPr>
        <w:t>9</w:t>
      </w:r>
      <w:r w:rsidRPr="008A651D">
        <w:rPr>
          <w:rFonts w:ascii="Times New Roman" w:hAnsi="Times New Roman" w:cs="Times New Roman"/>
          <w:color w:val="000000"/>
          <w:sz w:val="24"/>
          <w:szCs w:val="24"/>
        </w:rPr>
        <w:t xml:space="preserve">5,0 руб. </w:t>
      </w:r>
    </w:p>
    <w:p w14:paraId="16834FF8" w14:textId="65463E8D" w:rsidR="005F4E3E" w:rsidRPr="00051375" w:rsidRDefault="005F4E3E" w:rsidP="005F4E3E">
      <w:pPr>
        <w:widowControl w:val="0"/>
        <w:spacing w:before="0" w:after="0" w:line="240" w:lineRule="auto"/>
        <w:ind w:firstLine="425"/>
        <w:jc w:val="both"/>
        <w:rPr>
          <w:rFonts w:ascii="Times New Roman" w:hAnsi="Times New Roman" w:cs="Times New Roman"/>
          <w:iCs/>
          <w:noProof/>
          <w:color w:val="000000" w:themeColor="text1"/>
          <w:sz w:val="24"/>
          <w:szCs w:val="24"/>
        </w:rPr>
      </w:pPr>
      <w:r w:rsidRPr="00051375">
        <w:rPr>
          <w:rFonts w:ascii="Times New Roman" w:hAnsi="Times New Roman" w:cs="Times New Roman"/>
          <w:iCs/>
          <w:noProof/>
          <w:color w:val="000000" w:themeColor="text1"/>
          <w:sz w:val="24"/>
          <w:szCs w:val="24"/>
        </w:rPr>
        <w:t xml:space="preserve">По данным Единого государственного фонда социального страхования ПМР, численность официально зарегистрированных граждан, не занятых трудовой деятельностью, на конец </w:t>
      </w:r>
      <w:r w:rsidR="00D26C44">
        <w:rPr>
          <w:rFonts w:ascii="Times New Roman" w:hAnsi="Times New Roman" w:cs="Times New Roman"/>
          <w:iCs/>
          <w:noProof/>
          <w:color w:val="000000" w:themeColor="text1"/>
          <w:sz w:val="24"/>
          <w:szCs w:val="24"/>
        </w:rPr>
        <w:br/>
      </w:r>
      <w:r w:rsidRPr="00051375">
        <w:rPr>
          <w:rFonts w:ascii="Times New Roman" w:hAnsi="Times New Roman" w:cs="Times New Roman"/>
          <w:iCs/>
          <w:noProof/>
          <w:color w:val="000000" w:themeColor="text1"/>
          <w:sz w:val="24"/>
          <w:szCs w:val="24"/>
        </w:rPr>
        <w:t>2019 года составила 3 046 человек</w:t>
      </w:r>
      <w:r w:rsidR="00FE3A7F">
        <w:rPr>
          <w:rFonts w:ascii="Times New Roman" w:hAnsi="Times New Roman" w:cs="Times New Roman"/>
          <w:iCs/>
          <w:noProof/>
          <w:color w:val="000000" w:themeColor="text1"/>
          <w:sz w:val="24"/>
          <w:szCs w:val="24"/>
        </w:rPr>
        <w:t>.</w:t>
      </w:r>
      <w:r w:rsidRPr="00051375">
        <w:rPr>
          <w:rFonts w:ascii="Times New Roman" w:hAnsi="Times New Roman" w:cs="Times New Roman"/>
          <w:iCs/>
          <w:noProof/>
          <w:color w:val="000000" w:themeColor="text1"/>
          <w:sz w:val="24"/>
          <w:szCs w:val="24"/>
        </w:rPr>
        <w:t xml:space="preserve"> Средний размер пособия по безработице составил 429,7 рублей, или 28,3% прожиточного минимума трудоспособного населения.</w:t>
      </w:r>
    </w:p>
    <w:p w14:paraId="6576E711" w14:textId="260170C0" w:rsidR="00A121E6" w:rsidRPr="00053953" w:rsidRDefault="005F4E3E" w:rsidP="00A121E6">
      <w:pPr>
        <w:widowControl w:val="0"/>
        <w:autoSpaceDE w:val="0"/>
        <w:autoSpaceDN w:val="0"/>
        <w:adjustRightInd w:val="0"/>
        <w:spacing w:before="0" w:after="0" w:line="240" w:lineRule="auto"/>
        <w:ind w:firstLine="425"/>
        <w:jc w:val="both"/>
        <w:rPr>
          <w:rFonts w:ascii="Times New Roman" w:eastAsia="Calibri" w:hAnsi="Times New Roman" w:cs="Times New Roman"/>
          <w:sz w:val="24"/>
          <w:szCs w:val="24"/>
        </w:rPr>
      </w:pPr>
      <w:r w:rsidRPr="00DD475C">
        <w:rPr>
          <w:rFonts w:ascii="Times New Roman" w:eastAsia="Calibri" w:hAnsi="Times New Roman" w:cs="Times New Roman"/>
          <w:sz w:val="24"/>
          <w:szCs w:val="24"/>
        </w:rPr>
        <w:t xml:space="preserve">Общая численность пенсионеров, получающих пенсию из Единого государственного фонда социального страхования ПМР, за отчётный год сократилась на 7,9% и на 1 января 2020 года составила 101,7 тыс. человек. </w:t>
      </w:r>
      <w:r w:rsidRPr="00DD475C">
        <w:rPr>
          <w:rFonts w:ascii="Times New Roman" w:hAnsi="Times New Roman" w:cs="Times New Roman"/>
          <w:sz w:val="24"/>
          <w:szCs w:val="24"/>
        </w:rPr>
        <w:t>В начале 2019 года были изысканы средства для повышения минимального размера пенсий на 7%. Соответственно, средний размер пенсии</w:t>
      </w:r>
      <w:r w:rsidRPr="00DD475C">
        <w:rPr>
          <w:rFonts w:ascii="Times New Roman" w:hAnsi="Times New Roman" w:cs="Times New Roman"/>
          <w:color w:val="000000"/>
          <w:sz w:val="24"/>
          <w:szCs w:val="24"/>
          <w:vertAlign w:val="superscript"/>
        </w:rPr>
        <w:footnoteReference w:id="8"/>
      </w:r>
      <w:r w:rsidRPr="00DD475C">
        <w:rPr>
          <w:rFonts w:ascii="Times New Roman" w:hAnsi="Times New Roman" w:cs="Times New Roman"/>
          <w:sz w:val="24"/>
          <w:szCs w:val="24"/>
        </w:rPr>
        <w:t xml:space="preserve"> с учётом корректировок и надбавок увеличился на 5,3%, до 1 </w:t>
      </w:r>
      <w:r w:rsidRPr="00DD475C">
        <w:rPr>
          <w:rFonts w:ascii="Times New Roman" w:eastAsia="Calibri" w:hAnsi="Times New Roman" w:cs="Times New Roman"/>
          <w:sz w:val="24"/>
          <w:szCs w:val="24"/>
        </w:rPr>
        <w:t xml:space="preserve">397,7 руб., </w:t>
      </w:r>
      <w:r w:rsidRPr="00DD475C">
        <w:rPr>
          <w:rFonts w:ascii="Times New Roman" w:hAnsi="Times New Roman" w:cs="Times New Roman"/>
          <w:sz w:val="24"/>
          <w:szCs w:val="24"/>
        </w:rPr>
        <w:t xml:space="preserve">что на 8,8% выше величины прожиточного минимума пенсионера (1 285 руб.). </w:t>
      </w:r>
      <w:r w:rsidRPr="00DD475C">
        <w:rPr>
          <w:rFonts w:ascii="Times New Roman" w:eastAsia="Calibri" w:hAnsi="Times New Roman" w:cs="Times New Roman"/>
          <w:sz w:val="24"/>
          <w:szCs w:val="24"/>
        </w:rPr>
        <w:t xml:space="preserve">Дополнительно уровень материального обеспечения </w:t>
      </w:r>
      <w:r w:rsidRPr="00053953">
        <w:rPr>
          <w:rFonts w:ascii="Times New Roman" w:eastAsia="Calibri" w:hAnsi="Times New Roman" w:cs="Times New Roman"/>
          <w:sz w:val="24"/>
          <w:szCs w:val="24"/>
        </w:rPr>
        <w:t>пенсионеров поддерживался выплатами из средств гуманитарной помощи Российской Федерации (150 руб.</w:t>
      </w:r>
      <w:r w:rsidR="00A121E6" w:rsidRPr="00053953">
        <w:rPr>
          <w:rFonts w:ascii="Times New Roman" w:eastAsia="Calibri" w:hAnsi="Times New Roman" w:cs="Times New Roman"/>
          <w:sz w:val="24"/>
          <w:szCs w:val="24"/>
        </w:rPr>
        <w:t xml:space="preserve"> в месяц</w:t>
      </w:r>
      <w:r w:rsidRPr="00053953">
        <w:rPr>
          <w:rFonts w:ascii="Times New Roman" w:eastAsia="Calibri" w:hAnsi="Times New Roman" w:cs="Times New Roman"/>
          <w:sz w:val="24"/>
          <w:szCs w:val="24"/>
        </w:rPr>
        <w:t>), что позволило увеличить получаемую пенсионером сумму в среднем до 1 550 руб. в месяц (1,21 набора минимальных необходимых благ).</w:t>
      </w:r>
      <w:r w:rsidR="00D26C44" w:rsidRPr="00053953">
        <w:rPr>
          <w:rFonts w:ascii="Times New Roman" w:eastAsia="Calibri" w:hAnsi="Times New Roman" w:cs="Times New Roman"/>
          <w:sz w:val="24"/>
          <w:szCs w:val="24"/>
        </w:rPr>
        <w:t xml:space="preserve"> </w:t>
      </w:r>
      <w:r w:rsidR="00D53FDF" w:rsidRPr="00053953">
        <w:rPr>
          <w:rFonts w:ascii="Times New Roman" w:eastAsia="Calibri" w:hAnsi="Times New Roman" w:cs="Times New Roman"/>
          <w:sz w:val="24"/>
          <w:szCs w:val="24"/>
        </w:rPr>
        <w:t xml:space="preserve">Кроме того, </w:t>
      </w:r>
      <w:r w:rsidR="00A121E6" w:rsidRPr="00053953">
        <w:rPr>
          <w:rFonts w:ascii="Times New Roman" w:eastAsia="Calibri" w:hAnsi="Times New Roman" w:cs="Times New Roman"/>
          <w:sz w:val="24"/>
          <w:szCs w:val="24"/>
        </w:rPr>
        <w:t xml:space="preserve">пенсионерам, размер пенсии, которых не превышает 200 процентов минимального размера пенсии по возрасту (1 320 руб.), </w:t>
      </w:r>
      <w:r w:rsidR="00D26C44" w:rsidRPr="00053953">
        <w:rPr>
          <w:rFonts w:ascii="Times New Roman" w:eastAsia="Calibri" w:hAnsi="Times New Roman" w:cs="Times New Roman"/>
          <w:sz w:val="24"/>
          <w:szCs w:val="24"/>
        </w:rPr>
        <w:t>производились</w:t>
      </w:r>
      <w:r w:rsidR="00D53FDF" w:rsidRPr="00053953">
        <w:rPr>
          <w:rFonts w:ascii="Times New Roman" w:eastAsia="Calibri" w:hAnsi="Times New Roman" w:cs="Times New Roman"/>
          <w:sz w:val="24"/>
          <w:szCs w:val="24"/>
        </w:rPr>
        <w:t xml:space="preserve"> компенсационны</w:t>
      </w:r>
      <w:r w:rsidR="00D26C44" w:rsidRPr="00053953">
        <w:rPr>
          <w:rFonts w:ascii="Times New Roman" w:eastAsia="Calibri" w:hAnsi="Times New Roman" w:cs="Times New Roman"/>
          <w:sz w:val="24"/>
          <w:szCs w:val="24"/>
        </w:rPr>
        <w:t>е</w:t>
      </w:r>
      <w:r w:rsidR="00D53FDF" w:rsidRPr="00053953">
        <w:rPr>
          <w:rFonts w:ascii="Times New Roman" w:eastAsia="Calibri" w:hAnsi="Times New Roman" w:cs="Times New Roman"/>
          <w:sz w:val="24"/>
          <w:szCs w:val="24"/>
        </w:rPr>
        <w:t xml:space="preserve"> выплат</w:t>
      </w:r>
      <w:r w:rsidR="00D26C44" w:rsidRPr="00053953">
        <w:rPr>
          <w:rFonts w:ascii="Times New Roman" w:eastAsia="Calibri" w:hAnsi="Times New Roman" w:cs="Times New Roman"/>
          <w:sz w:val="24"/>
          <w:szCs w:val="24"/>
        </w:rPr>
        <w:t>ы</w:t>
      </w:r>
      <w:r w:rsidR="00D53FDF" w:rsidRPr="00053953">
        <w:rPr>
          <w:rFonts w:ascii="Times New Roman" w:eastAsia="Calibri" w:hAnsi="Times New Roman" w:cs="Times New Roman"/>
          <w:sz w:val="24"/>
          <w:szCs w:val="24"/>
        </w:rPr>
        <w:t xml:space="preserve"> </w:t>
      </w:r>
      <w:r w:rsidR="00A121E6" w:rsidRPr="00053953">
        <w:rPr>
          <w:rFonts w:ascii="Times New Roman" w:eastAsia="Calibri" w:hAnsi="Times New Roman" w:cs="Times New Roman"/>
          <w:sz w:val="24"/>
          <w:szCs w:val="24"/>
        </w:rPr>
        <w:t>в размере не более 100 руб. на получателя в месяц.</w:t>
      </w:r>
    </w:p>
    <w:p w14:paraId="745FCCDA" w14:textId="54AB2590" w:rsidR="005F4E3E" w:rsidRPr="008A651D" w:rsidRDefault="005F4E3E" w:rsidP="005F4E3E">
      <w:pPr>
        <w:widowControl w:val="0"/>
        <w:autoSpaceDE w:val="0"/>
        <w:autoSpaceDN w:val="0"/>
        <w:adjustRightInd w:val="0"/>
        <w:spacing w:before="0" w:after="0" w:line="240" w:lineRule="auto"/>
        <w:ind w:firstLine="425"/>
        <w:jc w:val="both"/>
        <w:rPr>
          <w:rFonts w:ascii="Times New Roman" w:hAnsi="Times New Roman" w:cs="Times New Roman"/>
          <w:sz w:val="24"/>
          <w:szCs w:val="24"/>
        </w:rPr>
      </w:pPr>
      <w:r w:rsidRPr="00053953">
        <w:rPr>
          <w:rFonts w:ascii="Times New Roman" w:hAnsi="Times New Roman" w:cs="Times New Roman"/>
          <w:color w:val="000000"/>
          <w:sz w:val="24"/>
          <w:szCs w:val="24"/>
        </w:rPr>
        <w:t>Потребительский спрос характеризовался</w:t>
      </w:r>
      <w:r>
        <w:rPr>
          <w:rFonts w:ascii="Times New Roman" w:hAnsi="Times New Roman" w:cs="Times New Roman"/>
          <w:color w:val="000000"/>
          <w:sz w:val="24"/>
          <w:szCs w:val="24"/>
        </w:rPr>
        <w:t xml:space="preserve"> уверенным ростом. </w:t>
      </w:r>
      <w:r w:rsidRPr="008A651D">
        <w:rPr>
          <w:rFonts w:ascii="Times New Roman" w:hAnsi="Times New Roman" w:cs="Times New Roman"/>
          <w:color w:val="000000"/>
          <w:sz w:val="24"/>
          <w:szCs w:val="24"/>
        </w:rPr>
        <w:t xml:space="preserve">На приобретение товаров </w:t>
      </w:r>
      <w:r>
        <w:rPr>
          <w:rFonts w:ascii="Times New Roman" w:hAnsi="Times New Roman" w:cs="Times New Roman"/>
          <w:color w:val="000000"/>
          <w:sz w:val="24"/>
          <w:szCs w:val="24"/>
        </w:rPr>
        <w:t>на территории республики гражданами было потрачено 7 911,7</w:t>
      </w:r>
      <w:r w:rsidRPr="008A651D">
        <w:rPr>
          <w:rFonts w:ascii="Times New Roman" w:hAnsi="Times New Roman" w:cs="Times New Roman"/>
          <w:color w:val="000000"/>
          <w:sz w:val="24"/>
          <w:szCs w:val="24"/>
        </w:rPr>
        <w:t xml:space="preserve"> млн руб., что на </w:t>
      </w:r>
      <w:r>
        <w:rPr>
          <w:rFonts w:ascii="Times New Roman" w:hAnsi="Times New Roman" w:cs="Times New Roman"/>
          <w:color w:val="000000"/>
          <w:sz w:val="24"/>
          <w:szCs w:val="24"/>
        </w:rPr>
        <w:t>6,3%</w:t>
      </w:r>
      <w:r w:rsidRPr="008A651D">
        <w:rPr>
          <w:rFonts w:ascii="Times New Roman" w:hAnsi="Times New Roman" w:cs="Times New Roman"/>
          <w:color w:val="000000"/>
          <w:sz w:val="24"/>
          <w:szCs w:val="24"/>
        </w:rPr>
        <w:t xml:space="preserve"> больше, чем в </w:t>
      </w:r>
      <w:r>
        <w:rPr>
          <w:rFonts w:ascii="Times New Roman" w:hAnsi="Times New Roman" w:cs="Times New Roman"/>
          <w:color w:val="000000"/>
          <w:sz w:val="24"/>
          <w:szCs w:val="24"/>
        </w:rPr>
        <w:t>2018</w:t>
      </w:r>
      <w:r w:rsidRPr="008A651D">
        <w:rPr>
          <w:rFonts w:ascii="Times New Roman" w:hAnsi="Times New Roman" w:cs="Times New Roman"/>
          <w:color w:val="000000"/>
          <w:sz w:val="24"/>
          <w:szCs w:val="24"/>
        </w:rPr>
        <w:t xml:space="preserve"> год</w:t>
      </w:r>
      <w:r>
        <w:rPr>
          <w:rFonts w:ascii="Times New Roman" w:hAnsi="Times New Roman" w:cs="Times New Roman"/>
          <w:color w:val="000000"/>
          <w:sz w:val="24"/>
          <w:szCs w:val="24"/>
        </w:rPr>
        <w:t>у</w:t>
      </w:r>
      <w:r w:rsidRPr="008A651D">
        <w:rPr>
          <w:rFonts w:ascii="Times New Roman" w:hAnsi="Times New Roman" w:cs="Times New Roman"/>
          <w:color w:val="000000"/>
          <w:sz w:val="24"/>
          <w:szCs w:val="24"/>
        </w:rPr>
        <w:t xml:space="preserve">. </w:t>
      </w:r>
      <w:r w:rsidRPr="008A651D">
        <w:rPr>
          <w:rFonts w:ascii="Times New Roman" w:hAnsi="Times New Roman" w:cs="Times New Roman"/>
          <w:sz w:val="24"/>
          <w:szCs w:val="24"/>
        </w:rPr>
        <w:t xml:space="preserve">На оплату услуг населением республики было израсходовано </w:t>
      </w:r>
      <w:r w:rsidR="00D26C44">
        <w:rPr>
          <w:rFonts w:ascii="Times New Roman" w:hAnsi="Times New Roman" w:cs="Times New Roman"/>
          <w:sz w:val="24"/>
          <w:szCs w:val="24"/>
        </w:rPr>
        <w:br/>
      </w:r>
      <w:r>
        <w:rPr>
          <w:rFonts w:ascii="Times New Roman" w:hAnsi="Times New Roman" w:cs="Times New Roman"/>
          <w:sz w:val="24"/>
          <w:szCs w:val="24"/>
        </w:rPr>
        <w:t>2 392,5</w:t>
      </w:r>
      <w:r w:rsidRPr="008A651D">
        <w:rPr>
          <w:rFonts w:ascii="Times New Roman" w:hAnsi="Times New Roman" w:cs="Times New Roman"/>
          <w:sz w:val="24"/>
          <w:szCs w:val="24"/>
        </w:rPr>
        <w:t xml:space="preserve"> млн руб., что на </w:t>
      </w:r>
      <w:r>
        <w:rPr>
          <w:rFonts w:ascii="Times New Roman" w:hAnsi="Times New Roman" w:cs="Times New Roman"/>
          <w:sz w:val="24"/>
          <w:szCs w:val="24"/>
        </w:rPr>
        <w:t>4,2%, больше, чем годом ранее</w:t>
      </w:r>
      <w:r w:rsidRPr="008A651D">
        <w:rPr>
          <w:rFonts w:ascii="Times New Roman" w:hAnsi="Times New Roman" w:cs="Times New Roman"/>
          <w:sz w:val="24"/>
          <w:szCs w:val="24"/>
        </w:rPr>
        <w:t xml:space="preserve">. </w:t>
      </w:r>
    </w:p>
    <w:p w14:paraId="1A42C108" w14:textId="77777777" w:rsidR="005F4E3E" w:rsidRPr="00A5799A" w:rsidRDefault="005F4E3E" w:rsidP="005F4E3E">
      <w:pPr>
        <w:autoSpaceDE w:val="0"/>
        <w:autoSpaceDN w:val="0"/>
        <w:adjustRightInd w:val="0"/>
        <w:spacing w:before="0" w:after="0" w:line="240" w:lineRule="auto"/>
        <w:ind w:firstLine="425"/>
        <w:jc w:val="both"/>
        <w:rPr>
          <w:rFonts w:ascii="Times New Roman" w:hAnsi="Times New Roman" w:cs="Times New Roman"/>
          <w:color w:val="000000"/>
          <w:sz w:val="24"/>
          <w:szCs w:val="24"/>
        </w:rPr>
      </w:pPr>
      <w:r w:rsidRPr="00A5799A">
        <w:rPr>
          <w:rFonts w:ascii="Times New Roman" w:hAnsi="Times New Roman" w:cs="Times New Roman"/>
          <w:sz w:val="24"/>
          <w:szCs w:val="24"/>
        </w:rPr>
        <w:lastRenderedPageBreak/>
        <w:t xml:space="preserve">Рост доходов граждан на фоне замедления инфляции способствует формированию сбережений. Прирост средств населения на депозитах в коммерческих </w:t>
      </w:r>
      <w:r w:rsidRPr="00641BAD">
        <w:rPr>
          <w:rFonts w:ascii="Times New Roman" w:hAnsi="Times New Roman" w:cs="Times New Roman"/>
          <w:sz w:val="24"/>
          <w:szCs w:val="24"/>
        </w:rPr>
        <w:t>банках сложился в объёме 521,0 млн руб. Таким образом, на депозитных счетах физических ли</w:t>
      </w:r>
      <w:r w:rsidRPr="00A5799A">
        <w:rPr>
          <w:rFonts w:ascii="Times New Roman" w:hAnsi="Times New Roman" w:cs="Times New Roman"/>
          <w:sz w:val="24"/>
          <w:szCs w:val="24"/>
        </w:rPr>
        <w:t>ц осели 11,5%</w:t>
      </w:r>
      <w:r w:rsidRPr="00A5799A">
        <w:rPr>
          <w:rStyle w:val="ae"/>
          <w:rFonts w:ascii="Times New Roman" w:hAnsi="Times New Roman"/>
          <w:sz w:val="24"/>
          <w:szCs w:val="24"/>
        </w:rPr>
        <w:footnoteReference w:id="9"/>
      </w:r>
      <w:r w:rsidRPr="00A5799A">
        <w:rPr>
          <w:rFonts w:ascii="Times New Roman" w:hAnsi="Times New Roman" w:cs="Times New Roman"/>
          <w:color w:val="000000"/>
          <w:sz w:val="24"/>
          <w:szCs w:val="24"/>
          <w:vertAlign w:val="superscript"/>
        </w:rPr>
        <w:t xml:space="preserve"> </w:t>
      </w:r>
      <w:r w:rsidRPr="00A5799A">
        <w:rPr>
          <w:rFonts w:ascii="Times New Roman" w:hAnsi="Times New Roman" w:cs="Times New Roman"/>
          <w:color w:val="000000"/>
          <w:sz w:val="24"/>
          <w:szCs w:val="24"/>
        </w:rPr>
        <w:t xml:space="preserve">поступлений. </w:t>
      </w:r>
    </w:p>
    <w:p w14:paraId="0DF410DF" w14:textId="7A8C9C0C" w:rsidR="005F4E3E" w:rsidRPr="00A5799A" w:rsidRDefault="005F4E3E" w:rsidP="005F4E3E">
      <w:pPr>
        <w:widowControl w:val="0"/>
        <w:spacing w:before="0" w:after="0" w:line="240" w:lineRule="auto"/>
        <w:ind w:firstLine="425"/>
        <w:jc w:val="both"/>
        <w:rPr>
          <w:rFonts w:ascii="Times New Roman" w:hAnsi="Times New Roman" w:cs="Times New Roman"/>
          <w:color w:val="FF0000"/>
          <w:sz w:val="24"/>
          <w:szCs w:val="24"/>
        </w:rPr>
      </w:pPr>
      <w:r w:rsidRPr="00A5799A">
        <w:rPr>
          <w:rFonts w:ascii="Times New Roman" w:hAnsi="Times New Roman" w:cs="Times New Roman"/>
          <w:color w:val="000000"/>
          <w:sz w:val="24"/>
          <w:szCs w:val="24"/>
        </w:rPr>
        <w:t>Важным источником</w:t>
      </w:r>
      <w:r w:rsidRPr="008A651D">
        <w:rPr>
          <w:rFonts w:ascii="Times New Roman" w:hAnsi="Times New Roman" w:cs="Times New Roman"/>
          <w:color w:val="000000"/>
          <w:sz w:val="24"/>
          <w:szCs w:val="24"/>
        </w:rPr>
        <w:t xml:space="preserve"> денежных доходов, поддерживающим потребительский спрос, являются денежные трансферты из-за рубежа</w:t>
      </w:r>
      <w:r>
        <w:rPr>
          <w:rFonts w:ascii="Times New Roman" w:hAnsi="Times New Roman" w:cs="Times New Roman"/>
          <w:color w:val="000000"/>
          <w:sz w:val="24"/>
          <w:szCs w:val="24"/>
        </w:rPr>
        <w:t>. По системам быстрых денежных переводов на территорию республики поступило</w:t>
      </w:r>
      <w:r w:rsidRPr="008A651D">
        <w:rPr>
          <w:rFonts w:ascii="Times New Roman" w:hAnsi="Times New Roman" w:cs="Times New Roman"/>
          <w:color w:val="000000"/>
          <w:sz w:val="24"/>
          <w:szCs w:val="24"/>
        </w:rPr>
        <w:t xml:space="preserve"> в рублёвом эквиваленте </w:t>
      </w:r>
      <w:r>
        <w:rPr>
          <w:rFonts w:ascii="Times New Roman" w:hAnsi="Times New Roman" w:cs="Times New Roman"/>
          <w:color w:val="000000"/>
          <w:sz w:val="24"/>
          <w:szCs w:val="24"/>
        </w:rPr>
        <w:t>денежных средств на сумму</w:t>
      </w:r>
      <w:r w:rsidRPr="008A651D">
        <w:rPr>
          <w:rFonts w:ascii="Times New Roman" w:hAnsi="Times New Roman" w:cs="Times New Roman"/>
          <w:color w:val="000000"/>
          <w:sz w:val="24"/>
          <w:szCs w:val="24"/>
        </w:rPr>
        <w:t xml:space="preserve"> </w:t>
      </w:r>
      <w:r w:rsidRPr="00ED2C46">
        <w:rPr>
          <w:rFonts w:ascii="Times New Roman" w:hAnsi="Times New Roman" w:cs="Times New Roman"/>
          <w:color w:val="000000"/>
          <w:sz w:val="24"/>
          <w:szCs w:val="24"/>
        </w:rPr>
        <w:t xml:space="preserve">1 676,0 млн руб., что </w:t>
      </w:r>
      <w:r w:rsidRPr="008A651D">
        <w:rPr>
          <w:rFonts w:ascii="Times New Roman" w:hAnsi="Times New Roman" w:cs="Times New Roman"/>
          <w:color w:val="000000"/>
          <w:sz w:val="24"/>
          <w:szCs w:val="24"/>
        </w:rPr>
        <w:t>превысил</w:t>
      </w:r>
      <w:r>
        <w:rPr>
          <w:rFonts w:ascii="Times New Roman" w:hAnsi="Times New Roman" w:cs="Times New Roman"/>
          <w:color w:val="000000"/>
          <w:sz w:val="24"/>
          <w:szCs w:val="24"/>
        </w:rPr>
        <w:t>о</w:t>
      </w:r>
      <w:r w:rsidRPr="008A651D">
        <w:rPr>
          <w:rFonts w:ascii="Times New Roman" w:hAnsi="Times New Roman" w:cs="Times New Roman"/>
          <w:color w:val="000000"/>
          <w:sz w:val="24"/>
          <w:szCs w:val="24"/>
        </w:rPr>
        <w:t xml:space="preserve"> показатель предыдущего года на </w:t>
      </w:r>
      <w:r>
        <w:rPr>
          <w:rFonts w:ascii="Times New Roman" w:hAnsi="Times New Roman" w:cs="Times New Roman"/>
          <w:color w:val="000000"/>
          <w:sz w:val="24"/>
          <w:szCs w:val="24"/>
        </w:rPr>
        <w:t>9</w:t>
      </w:r>
      <w:r w:rsidRPr="008A651D">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8A651D">
        <w:rPr>
          <w:rFonts w:ascii="Times New Roman" w:hAnsi="Times New Roman" w:cs="Times New Roman"/>
          <w:color w:val="000000"/>
          <w:sz w:val="24"/>
          <w:szCs w:val="24"/>
        </w:rPr>
        <w:t xml:space="preserve"> </w:t>
      </w:r>
    </w:p>
    <w:p w14:paraId="72044102" w14:textId="3908FB15" w:rsidR="005F4E3E" w:rsidRPr="008A651D" w:rsidRDefault="00053953" w:rsidP="005F4E3E">
      <w:pPr>
        <w:autoSpaceDE w:val="0"/>
        <w:autoSpaceDN w:val="0"/>
        <w:adjustRightInd w:val="0"/>
        <w:spacing w:before="0" w:after="0" w:line="240" w:lineRule="auto"/>
        <w:ind w:firstLine="425"/>
        <w:jc w:val="both"/>
        <w:rPr>
          <w:rFonts w:ascii="Times New Roman" w:hAnsi="Times New Roman" w:cs="Times New Roman"/>
          <w:color w:val="000000"/>
          <w:sz w:val="24"/>
          <w:szCs w:val="22"/>
        </w:rPr>
      </w:pPr>
      <w:r w:rsidRPr="00053953">
        <w:rPr>
          <w:rFonts w:ascii="Times New Roman" w:hAnsi="Times New Roman" w:cs="Times New Roman"/>
          <w:sz w:val="24"/>
          <w:szCs w:val="24"/>
        </w:rPr>
        <w:t xml:space="preserve">По имеющимся на текущий момент данным, в </w:t>
      </w:r>
      <w:r w:rsidR="005F4E3E" w:rsidRPr="00053953">
        <w:rPr>
          <w:rFonts w:ascii="Times New Roman" w:hAnsi="Times New Roman" w:cs="Times New Roman"/>
          <w:sz w:val="24"/>
          <w:szCs w:val="24"/>
        </w:rPr>
        <w:t xml:space="preserve">январе-сентябре 2019 года гражданами республики получено совокупных доходов на </w:t>
      </w:r>
      <w:r w:rsidR="005F4E3E" w:rsidRPr="00053953">
        <w:rPr>
          <w:rFonts w:ascii="Times New Roman" w:hAnsi="Times New Roman" w:cs="Times New Roman"/>
          <w:color w:val="000000"/>
          <w:sz w:val="24"/>
          <w:szCs w:val="24"/>
        </w:rPr>
        <w:t xml:space="preserve">11,9% </w:t>
      </w:r>
      <w:r w:rsidR="005F4E3E" w:rsidRPr="00053953">
        <w:rPr>
          <w:rFonts w:ascii="Times New Roman" w:hAnsi="Times New Roman" w:cs="Times New Roman"/>
          <w:sz w:val="24"/>
          <w:szCs w:val="24"/>
        </w:rPr>
        <w:t>больше, чем в сопоставимом периоде предыдущего года, а в реальном выражении (с учётом повышения потребительских цен) – на 6,6%</w:t>
      </w:r>
      <w:r w:rsidR="005F4E3E" w:rsidRPr="00053953">
        <w:rPr>
          <w:rStyle w:val="ae"/>
          <w:rFonts w:ascii="Times New Roman" w:hAnsi="Times New Roman"/>
          <w:sz w:val="24"/>
          <w:szCs w:val="24"/>
        </w:rPr>
        <w:footnoteReference w:id="10"/>
      </w:r>
      <w:r w:rsidR="005F4E3E" w:rsidRPr="00053953">
        <w:rPr>
          <w:rFonts w:ascii="Times New Roman" w:hAnsi="Times New Roman" w:cs="Times New Roman"/>
          <w:sz w:val="24"/>
          <w:szCs w:val="24"/>
        </w:rPr>
        <w:t xml:space="preserve">. </w:t>
      </w:r>
      <w:r w:rsidRPr="00053953">
        <w:rPr>
          <w:rFonts w:ascii="Times New Roman" w:hAnsi="Times New Roman" w:cs="Times New Roman"/>
          <w:sz w:val="24"/>
          <w:szCs w:val="24"/>
        </w:rPr>
        <w:t>П</w:t>
      </w:r>
      <w:r w:rsidR="005F4E3E" w:rsidRPr="00053953">
        <w:rPr>
          <w:rFonts w:ascii="Times New Roman" w:hAnsi="Times New Roman" w:cs="Times New Roman"/>
          <w:sz w:val="24"/>
          <w:szCs w:val="24"/>
        </w:rPr>
        <w:t xml:space="preserve">окупательная способность по отношению к прожиточному минимуму возросла с </w:t>
      </w:r>
      <w:r w:rsidR="005F4E3E" w:rsidRPr="00053953">
        <w:rPr>
          <w:rFonts w:ascii="Times New Roman" w:hAnsi="Times New Roman" w:cs="Times New Roman"/>
          <w:color w:val="000000" w:themeColor="text1"/>
          <w:sz w:val="24"/>
          <w:szCs w:val="24"/>
        </w:rPr>
        <w:t xml:space="preserve">1,75 до 1,88. </w:t>
      </w:r>
      <w:r w:rsidR="005F4E3E" w:rsidRPr="00053953">
        <w:rPr>
          <w:rFonts w:ascii="Times New Roman" w:hAnsi="Times New Roman" w:cs="Times New Roman"/>
          <w:color w:val="000000"/>
          <w:sz w:val="24"/>
          <w:szCs w:val="22"/>
        </w:rPr>
        <w:t>Номинальный размер средств, остающихся в распоряжении граждан,</w:t>
      </w:r>
      <w:r w:rsidR="005F4E3E" w:rsidRPr="00053953">
        <w:rPr>
          <w:rFonts w:ascii="Times New Roman" w:hAnsi="Times New Roman" w:cs="Times New Roman"/>
          <w:color w:val="000000"/>
          <w:sz w:val="24"/>
          <w:szCs w:val="22"/>
          <w:vertAlign w:val="superscript"/>
        </w:rPr>
        <w:footnoteReference w:id="11"/>
      </w:r>
      <w:r w:rsidR="005F4E3E" w:rsidRPr="00053953">
        <w:rPr>
          <w:rFonts w:ascii="Times New Roman" w:hAnsi="Times New Roman" w:cs="Times New Roman"/>
          <w:color w:val="000000"/>
          <w:sz w:val="24"/>
          <w:szCs w:val="22"/>
        </w:rPr>
        <w:t xml:space="preserve"> вырос по отношению к уровню января-сентября 2018 года на 12,3%, а их реальный объём, характеризующий количество материальных благ и услуг, которое на них можно приобрести, – на 7,0%.</w:t>
      </w:r>
    </w:p>
    <w:p w14:paraId="568573F8" w14:textId="77777777" w:rsidR="00B55541" w:rsidRDefault="00B55541" w:rsidP="008A651D">
      <w:pPr>
        <w:pStyle w:val="a7"/>
        <w:tabs>
          <w:tab w:val="left" w:pos="900"/>
        </w:tabs>
        <w:spacing w:before="0" w:after="0" w:line="240" w:lineRule="auto"/>
        <w:ind w:firstLine="425"/>
        <w:jc w:val="both"/>
        <w:rPr>
          <w:rFonts w:ascii="Times New Roman" w:hAnsi="Times New Roman" w:cs="Times New Roman"/>
          <w:color w:val="000000"/>
          <w:sz w:val="24"/>
          <w:szCs w:val="24"/>
        </w:rPr>
      </w:pPr>
    </w:p>
    <w:p w14:paraId="5F7729C1" w14:textId="77777777" w:rsidR="00715F41" w:rsidRPr="00071AA5" w:rsidRDefault="004D7D79" w:rsidP="00D7297C">
      <w:pPr>
        <w:pStyle w:val="1"/>
        <w:widowControl w:val="0"/>
        <w:numPr>
          <w:ilvl w:val="1"/>
          <w:numId w:val="1"/>
        </w:numPr>
        <w:rPr>
          <w:rFonts w:ascii="Times New Roman" w:hAnsi="Times New Roman" w:cs="Times New Roman"/>
          <w:b/>
          <w:bCs/>
          <w:noProof/>
          <w:sz w:val="24"/>
          <w:szCs w:val="24"/>
        </w:rPr>
      </w:pPr>
      <w:r>
        <w:rPr>
          <w:b/>
          <w:bCs/>
          <w:noProof/>
          <w:sz w:val="24"/>
          <w:szCs w:val="24"/>
        </w:rPr>
        <w:t xml:space="preserve"> </w:t>
      </w:r>
      <w:r w:rsidR="00715F41" w:rsidRPr="004D7D79">
        <w:rPr>
          <w:b/>
          <w:bCs/>
          <w:noProof/>
          <w:sz w:val="24"/>
          <w:szCs w:val="24"/>
        </w:rPr>
        <w:t>ПЛАТЁЖНЫЙ БАЛАНС</w:t>
      </w:r>
      <w:r w:rsidR="00192506" w:rsidRPr="004D7D79">
        <w:rPr>
          <w:b/>
          <w:bCs/>
          <w:noProof/>
          <w:sz w:val="24"/>
          <w:szCs w:val="24"/>
        </w:rPr>
        <w:t xml:space="preserve"> ПМР</w:t>
      </w:r>
    </w:p>
    <w:p w14:paraId="7989C5EC" w14:textId="77777777" w:rsidR="00D7297C" w:rsidRDefault="00D7297C" w:rsidP="008A651D">
      <w:pPr>
        <w:pStyle w:val="af7"/>
        <w:spacing w:before="0" w:after="0" w:line="240" w:lineRule="auto"/>
        <w:ind w:left="0" w:firstLine="425"/>
        <w:jc w:val="both"/>
        <w:rPr>
          <w:rFonts w:ascii="Times New Roman" w:hAnsi="Times New Roman" w:cs="Times New Roman"/>
          <w:sz w:val="24"/>
          <w:szCs w:val="24"/>
        </w:rPr>
      </w:pPr>
    </w:p>
    <w:p w14:paraId="357AF5C2" w14:textId="77777777" w:rsidR="009C4D2E" w:rsidRDefault="00147664" w:rsidP="008A651D">
      <w:pPr>
        <w:pStyle w:val="af7"/>
        <w:spacing w:before="0" w:after="0" w:line="240" w:lineRule="auto"/>
        <w:ind w:left="0" w:firstLine="425"/>
        <w:jc w:val="both"/>
        <w:rPr>
          <w:rFonts w:ascii="Times New Roman" w:hAnsi="Times New Roman" w:cs="Times New Roman"/>
          <w:sz w:val="24"/>
          <w:szCs w:val="24"/>
        </w:rPr>
      </w:pPr>
      <w:r w:rsidRPr="00147664">
        <w:rPr>
          <w:rFonts w:ascii="Times New Roman" w:hAnsi="Times New Roman" w:cs="Times New Roman"/>
          <w:sz w:val="24"/>
          <w:szCs w:val="24"/>
        </w:rPr>
        <w:t xml:space="preserve">По итогам 2019 года дефицит счёта текущих операций платёжного баланса Приднестровской Молдавской Республики сократился в 8,1 раза и сложился на уровне </w:t>
      </w:r>
      <w:r w:rsidR="00BA575F">
        <w:rPr>
          <w:rFonts w:ascii="Times New Roman" w:hAnsi="Times New Roman" w:cs="Times New Roman"/>
          <w:sz w:val="24"/>
          <w:szCs w:val="24"/>
        </w:rPr>
        <w:br/>
      </w:r>
      <w:r w:rsidRPr="00147664">
        <w:rPr>
          <w:rFonts w:ascii="Times New Roman" w:hAnsi="Times New Roman" w:cs="Times New Roman"/>
          <w:sz w:val="24"/>
          <w:szCs w:val="24"/>
        </w:rPr>
        <w:t xml:space="preserve">-5,5 млн долл. </w:t>
      </w:r>
      <w:r w:rsidR="001C3C2A">
        <w:rPr>
          <w:rFonts w:ascii="Times New Roman" w:hAnsi="Times New Roman" w:cs="Times New Roman"/>
          <w:sz w:val="24"/>
          <w:szCs w:val="24"/>
        </w:rPr>
        <w:t xml:space="preserve">(табл. 1.5). </w:t>
      </w:r>
      <w:r w:rsidR="00AC0FC7" w:rsidRPr="008A651D">
        <w:rPr>
          <w:rFonts w:ascii="Times New Roman" w:hAnsi="Times New Roman" w:cs="Times New Roman"/>
          <w:sz w:val="24"/>
          <w:szCs w:val="24"/>
        </w:rPr>
        <w:t xml:space="preserve">Сальдо </w:t>
      </w:r>
      <w:r w:rsidR="009C4D2E" w:rsidRPr="008A651D">
        <w:rPr>
          <w:rFonts w:ascii="Times New Roman" w:hAnsi="Times New Roman" w:cs="Times New Roman"/>
          <w:sz w:val="24"/>
          <w:szCs w:val="24"/>
        </w:rPr>
        <w:t>в разрезе всех укрупнённых групп счёта текущих операций характеризовалось ростом. При этом увеличение профицита баланса трансфертов полностью нивелировало возросший дефицит баланса товаров и услуг и первичных доходов.</w:t>
      </w:r>
    </w:p>
    <w:p w14:paraId="4932D33E" w14:textId="45BEF97A" w:rsidR="00147664" w:rsidRDefault="00147664" w:rsidP="00C11ACE">
      <w:pPr>
        <w:pStyle w:val="af7"/>
        <w:spacing w:before="0" w:after="0" w:line="240" w:lineRule="auto"/>
        <w:ind w:left="0" w:firstLine="425"/>
        <w:jc w:val="both"/>
        <w:rPr>
          <w:rFonts w:ascii="Times New Roman" w:hAnsi="Times New Roman" w:cs="Times New Roman"/>
          <w:sz w:val="24"/>
          <w:szCs w:val="24"/>
        </w:rPr>
      </w:pPr>
      <w:r w:rsidRPr="00147664">
        <w:rPr>
          <w:rFonts w:ascii="Times New Roman" w:hAnsi="Times New Roman" w:cs="Times New Roman"/>
          <w:sz w:val="24"/>
          <w:szCs w:val="24"/>
        </w:rPr>
        <w:t>Объём внешнеторгового оборота Приднестровья составил 1 852,6 млн долл., сузившись на 3,6% относительно значения 2018 года. В структуре показателя доля экспорта уменьшилась до 35,1% (-1,0 п.п.). Следствием данных процессов стало снижение степени покрытия импорта экспортом на 2,6 п.п., до 54,0%.</w:t>
      </w:r>
    </w:p>
    <w:p w14:paraId="08CAC273" w14:textId="549133F6" w:rsidR="005F4E3E" w:rsidRDefault="005F4E3E" w:rsidP="005F4E3E">
      <w:pPr>
        <w:pStyle w:val="aa"/>
        <w:spacing w:before="0" w:after="0" w:line="240" w:lineRule="auto"/>
        <w:ind w:firstLine="425"/>
        <w:jc w:val="both"/>
        <w:rPr>
          <w:rFonts w:ascii="Times New Roman" w:hAnsi="Times New Roman" w:cs="Times New Roman"/>
          <w:sz w:val="24"/>
          <w:szCs w:val="24"/>
        </w:rPr>
      </w:pPr>
      <w:r w:rsidRPr="00147664">
        <w:rPr>
          <w:rFonts w:ascii="Times New Roman" w:hAnsi="Times New Roman" w:cs="Times New Roman"/>
          <w:sz w:val="24"/>
          <w:szCs w:val="24"/>
        </w:rPr>
        <w:t>По итогам 2019 года сальдо торгового баланса, согласно методике платёжного баланса, сложилось с дефицитом в сумме -553,6 млн долл., что на 3,9% больше показателя 2018 года.</w:t>
      </w:r>
      <w:r>
        <w:rPr>
          <w:rFonts w:ascii="Times New Roman" w:hAnsi="Times New Roman" w:cs="Times New Roman"/>
          <w:sz w:val="24"/>
          <w:szCs w:val="24"/>
        </w:rPr>
        <w:t xml:space="preserve"> </w:t>
      </w:r>
      <w:r w:rsidRPr="00147664">
        <w:rPr>
          <w:rFonts w:ascii="Times New Roman" w:hAnsi="Times New Roman" w:cs="Times New Roman"/>
          <w:sz w:val="24"/>
          <w:szCs w:val="24"/>
        </w:rPr>
        <w:t xml:space="preserve">За 2019 год статистическая стоимость приднестровского экспорта, рассчитанная по методике платёжного баланса, сформирована на отметке 649,5 млн долл., уступив 6,4% значению </w:t>
      </w:r>
      <w:r>
        <w:rPr>
          <w:rFonts w:ascii="Times New Roman" w:hAnsi="Times New Roman" w:cs="Times New Roman"/>
          <w:sz w:val="24"/>
          <w:szCs w:val="24"/>
        </w:rPr>
        <w:br/>
        <w:t>предыдущего</w:t>
      </w:r>
      <w:r w:rsidRPr="00147664">
        <w:rPr>
          <w:rFonts w:ascii="Times New Roman" w:hAnsi="Times New Roman" w:cs="Times New Roman"/>
          <w:sz w:val="24"/>
          <w:szCs w:val="24"/>
        </w:rPr>
        <w:t xml:space="preserve"> года. Вместе с тем, при исключении из показателя объёмов торговли чёрными металлами, рост экспорта по остальным статьям составил 10,4%.</w:t>
      </w:r>
    </w:p>
    <w:p w14:paraId="76EE25BC" w14:textId="77777777" w:rsidR="005F4E3E" w:rsidRPr="00BA575F" w:rsidRDefault="005F4E3E" w:rsidP="005F4E3E">
      <w:pPr>
        <w:pStyle w:val="33"/>
        <w:spacing w:before="0" w:after="0" w:line="240" w:lineRule="auto"/>
        <w:ind w:left="28" w:firstLine="425"/>
        <w:jc w:val="both"/>
        <w:rPr>
          <w:rFonts w:ascii="Times New Roman" w:hAnsi="Times New Roman" w:cs="Times New Roman"/>
          <w:sz w:val="24"/>
          <w:szCs w:val="24"/>
        </w:rPr>
      </w:pPr>
      <w:r w:rsidRPr="00BA575F">
        <w:rPr>
          <w:rFonts w:ascii="Times New Roman" w:hAnsi="Times New Roman" w:cs="Times New Roman"/>
          <w:sz w:val="24"/>
          <w:szCs w:val="24"/>
        </w:rPr>
        <w:t xml:space="preserve">Порядка 70% реализованной за границу продукции было приобретено резидентами стран Содружества, что в абсолютном выражении соответствовало 456,5 млн долл. За отчётный год экспорт в данном направлении возрос на 7,0%. Продажи товаров резидентам Российской Федерации увеличились на 20,6%, до 86,7 млн долл., что составило около 19% экспорта в СНГ. Поставки продукции партнёрам из стран дальнего зарубежья, напротив, сократились на 27,8%, до 193,0 млн долл. </w:t>
      </w:r>
    </w:p>
    <w:p w14:paraId="330663F5" w14:textId="77777777" w:rsidR="00053953" w:rsidRDefault="00053953" w:rsidP="00683E52">
      <w:pPr>
        <w:widowControl w:val="0"/>
        <w:autoSpaceDE w:val="0"/>
        <w:autoSpaceDN w:val="0"/>
        <w:adjustRightInd w:val="0"/>
        <w:spacing w:before="120" w:after="120" w:line="240" w:lineRule="auto"/>
        <w:ind w:firstLine="425"/>
        <w:jc w:val="right"/>
        <w:rPr>
          <w:rFonts w:ascii="Times New Roman" w:hAnsi="Times New Roman" w:cs="Times New Roman"/>
          <w:b/>
          <w:i/>
          <w:color w:val="000000"/>
          <w:sz w:val="24"/>
          <w:szCs w:val="24"/>
        </w:rPr>
      </w:pPr>
    </w:p>
    <w:p w14:paraId="5C287173" w14:textId="77777777" w:rsidR="00156CF4" w:rsidRDefault="00156CF4" w:rsidP="00683E52">
      <w:pPr>
        <w:widowControl w:val="0"/>
        <w:autoSpaceDE w:val="0"/>
        <w:autoSpaceDN w:val="0"/>
        <w:adjustRightInd w:val="0"/>
        <w:spacing w:before="120" w:after="120" w:line="240" w:lineRule="auto"/>
        <w:ind w:firstLine="425"/>
        <w:jc w:val="right"/>
        <w:rPr>
          <w:rFonts w:ascii="Times New Roman" w:hAnsi="Times New Roman" w:cs="Times New Roman"/>
          <w:b/>
          <w:i/>
          <w:color w:val="000000"/>
          <w:sz w:val="24"/>
          <w:szCs w:val="24"/>
        </w:rPr>
      </w:pPr>
    </w:p>
    <w:p w14:paraId="24BCBC86" w14:textId="2A5D6640" w:rsidR="001360C0" w:rsidRPr="008A651D" w:rsidRDefault="001360C0" w:rsidP="00683E52">
      <w:pPr>
        <w:widowControl w:val="0"/>
        <w:autoSpaceDE w:val="0"/>
        <w:autoSpaceDN w:val="0"/>
        <w:adjustRightInd w:val="0"/>
        <w:spacing w:before="120" w:after="120" w:line="240" w:lineRule="auto"/>
        <w:ind w:firstLine="425"/>
        <w:jc w:val="right"/>
        <w:rPr>
          <w:rFonts w:ascii="Times New Roman" w:hAnsi="Times New Roman" w:cs="Times New Roman"/>
          <w:b/>
          <w:i/>
          <w:color w:val="000000"/>
          <w:sz w:val="24"/>
          <w:szCs w:val="24"/>
        </w:rPr>
      </w:pPr>
      <w:r w:rsidRPr="008A651D">
        <w:rPr>
          <w:rFonts w:ascii="Times New Roman" w:hAnsi="Times New Roman" w:cs="Times New Roman"/>
          <w:b/>
          <w:i/>
          <w:color w:val="000000"/>
          <w:sz w:val="24"/>
          <w:szCs w:val="24"/>
        </w:rPr>
        <w:lastRenderedPageBreak/>
        <w:t>Таблица 1.5</w:t>
      </w:r>
    </w:p>
    <w:p w14:paraId="77991F9E" w14:textId="77777777" w:rsidR="00ED41EE" w:rsidRDefault="001360C0" w:rsidP="00683E52">
      <w:pPr>
        <w:spacing w:after="0"/>
        <w:jc w:val="center"/>
        <w:rPr>
          <w:rFonts w:ascii="Times New Roman" w:hAnsi="Times New Roman" w:cs="Times New Roman"/>
          <w:b/>
          <w:i/>
          <w:color w:val="000000"/>
          <w:sz w:val="24"/>
          <w:szCs w:val="24"/>
        </w:rPr>
      </w:pPr>
      <w:r w:rsidRPr="00360343">
        <w:rPr>
          <w:rFonts w:ascii="Times New Roman" w:hAnsi="Times New Roman" w:cs="Times New Roman"/>
          <w:b/>
          <w:i/>
          <w:sz w:val="24"/>
          <w:szCs w:val="24"/>
        </w:rPr>
        <w:t>Платёжный баланс ПМР (сальдо) за 2017-2019 гг.</w:t>
      </w:r>
      <w:r w:rsidRPr="00360343">
        <w:rPr>
          <w:rFonts w:ascii="Times New Roman" w:hAnsi="Times New Roman" w:cs="Times New Roman"/>
          <w:b/>
          <w:i/>
          <w:sz w:val="24"/>
          <w:szCs w:val="24"/>
          <w:vertAlign w:val="superscript"/>
        </w:rPr>
        <w:t xml:space="preserve"> </w:t>
      </w:r>
      <w:r w:rsidRPr="00360343">
        <w:rPr>
          <w:rStyle w:val="ae"/>
          <w:rFonts w:ascii="Times New Roman" w:hAnsi="Times New Roman"/>
          <w:b/>
          <w:i/>
          <w:color w:val="000000"/>
          <w:sz w:val="24"/>
          <w:szCs w:val="24"/>
        </w:rPr>
        <w:footnoteReference w:id="12"/>
      </w:r>
      <w:r w:rsidR="00D7297C" w:rsidRPr="00360343">
        <w:rPr>
          <w:rFonts w:ascii="Times New Roman" w:hAnsi="Times New Roman" w:cs="Times New Roman"/>
          <w:b/>
          <w:i/>
          <w:sz w:val="24"/>
          <w:szCs w:val="24"/>
        </w:rPr>
        <w:t xml:space="preserve">, </w:t>
      </w:r>
      <w:r w:rsidRPr="00360343">
        <w:rPr>
          <w:rFonts w:ascii="Times New Roman" w:hAnsi="Times New Roman" w:cs="Times New Roman"/>
          <w:b/>
          <w:i/>
          <w:color w:val="000000"/>
          <w:sz w:val="24"/>
          <w:szCs w:val="24"/>
        </w:rPr>
        <w:t>млн долл.</w:t>
      </w:r>
      <w:r w:rsidR="00ED41EE">
        <w:rPr>
          <w:rFonts w:ascii="Times New Roman" w:hAnsi="Times New Roman" w:cs="Times New Roman"/>
          <w:b/>
          <w:i/>
          <w:color w:val="000000"/>
          <w:sz w:val="24"/>
          <w:szCs w:val="24"/>
        </w:rPr>
        <w:t xml:space="preserve"> </w:t>
      </w:r>
    </w:p>
    <w:tbl>
      <w:tblPr>
        <w:tblW w:w="96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3"/>
        <w:gridCol w:w="1644"/>
        <w:gridCol w:w="1644"/>
        <w:gridCol w:w="1645"/>
      </w:tblGrid>
      <w:tr w:rsidR="001360C0" w:rsidRPr="008A651D" w14:paraId="058302F0" w14:textId="77777777" w:rsidTr="00AC0FC7">
        <w:trPr>
          <w:trHeight w:val="270"/>
        </w:trPr>
        <w:tc>
          <w:tcPr>
            <w:tcW w:w="4693" w:type="dxa"/>
            <w:tcBorders>
              <w:bottom w:val="double" w:sz="4" w:space="0" w:color="auto"/>
            </w:tcBorders>
            <w:shd w:val="clear" w:color="auto" w:fill="CCCCCC"/>
            <w:vAlign w:val="center"/>
          </w:tcPr>
          <w:p w14:paraId="7AD431A0" w14:textId="77777777" w:rsidR="001360C0" w:rsidRPr="008A651D" w:rsidRDefault="001360C0" w:rsidP="008A651D">
            <w:pPr>
              <w:pStyle w:val="aa"/>
              <w:widowControl w:val="0"/>
              <w:spacing w:before="0" w:after="0" w:line="240" w:lineRule="auto"/>
              <w:ind w:left="-142"/>
              <w:jc w:val="center"/>
              <w:rPr>
                <w:rFonts w:ascii="Times New Roman" w:hAnsi="Times New Roman" w:cs="Times New Roman"/>
                <w:sz w:val="22"/>
                <w:szCs w:val="22"/>
              </w:rPr>
            </w:pPr>
          </w:p>
        </w:tc>
        <w:tc>
          <w:tcPr>
            <w:tcW w:w="1644" w:type="dxa"/>
            <w:tcBorders>
              <w:bottom w:val="double" w:sz="4" w:space="0" w:color="auto"/>
            </w:tcBorders>
            <w:shd w:val="clear" w:color="auto" w:fill="CCCCCC"/>
            <w:vAlign w:val="center"/>
          </w:tcPr>
          <w:p w14:paraId="3980AF47" w14:textId="77777777" w:rsidR="001360C0" w:rsidRPr="008A651D" w:rsidRDefault="001360C0" w:rsidP="008A651D">
            <w:pPr>
              <w:pStyle w:val="aa"/>
              <w:spacing w:before="0" w:after="0" w:line="240" w:lineRule="auto"/>
              <w:ind w:left="-108" w:right="-7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2017 год</w:t>
            </w:r>
          </w:p>
        </w:tc>
        <w:tc>
          <w:tcPr>
            <w:tcW w:w="1644" w:type="dxa"/>
            <w:tcBorders>
              <w:bottom w:val="double" w:sz="4" w:space="0" w:color="auto"/>
            </w:tcBorders>
            <w:shd w:val="clear" w:color="auto" w:fill="CCCCCC"/>
            <w:vAlign w:val="center"/>
          </w:tcPr>
          <w:p w14:paraId="18D0FCDB" w14:textId="77777777" w:rsidR="001360C0" w:rsidRPr="008A651D" w:rsidRDefault="001360C0" w:rsidP="008A651D">
            <w:pPr>
              <w:pStyle w:val="aa"/>
              <w:spacing w:before="0" w:after="0" w:line="240" w:lineRule="auto"/>
              <w:ind w:left="-108" w:right="-7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2018 год</w:t>
            </w:r>
          </w:p>
        </w:tc>
        <w:tc>
          <w:tcPr>
            <w:tcW w:w="1645" w:type="dxa"/>
            <w:tcBorders>
              <w:bottom w:val="double" w:sz="4" w:space="0" w:color="auto"/>
            </w:tcBorders>
            <w:shd w:val="clear" w:color="auto" w:fill="CCCCCC"/>
            <w:vAlign w:val="center"/>
          </w:tcPr>
          <w:p w14:paraId="24810AAB" w14:textId="77777777" w:rsidR="001360C0" w:rsidRPr="008A651D" w:rsidRDefault="001360C0" w:rsidP="008A651D">
            <w:pPr>
              <w:pStyle w:val="aa"/>
              <w:spacing w:before="0" w:after="0" w:line="240" w:lineRule="auto"/>
              <w:ind w:left="-108" w:right="-7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2019 год</w:t>
            </w:r>
          </w:p>
        </w:tc>
      </w:tr>
      <w:tr w:rsidR="001360C0" w:rsidRPr="008A651D" w14:paraId="420E34FF" w14:textId="77777777" w:rsidTr="00AC0FC7">
        <w:trPr>
          <w:trHeight w:val="372"/>
        </w:trPr>
        <w:tc>
          <w:tcPr>
            <w:tcW w:w="4693" w:type="dxa"/>
            <w:tcBorders>
              <w:top w:val="double" w:sz="4" w:space="0" w:color="auto"/>
              <w:bottom w:val="single" w:sz="4" w:space="0" w:color="auto"/>
            </w:tcBorders>
            <w:shd w:val="clear" w:color="auto" w:fill="E0E0E0"/>
            <w:vAlign w:val="center"/>
          </w:tcPr>
          <w:p w14:paraId="0E14693D" w14:textId="77777777" w:rsidR="001360C0" w:rsidRPr="008A651D" w:rsidRDefault="001360C0" w:rsidP="00D7297C">
            <w:pPr>
              <w:pStyle w:val="a7"/>
              <w:widowControl w:val="0"/>
              <w:spacing w:before="0" w:after="0" w:line="240" w:lineRule="auto"/>
              <w:jc w:val="both"/>
              <w:rPr>
                <w:rFonts w:ascii="Times New Roman" w:hAnsi="Times New Roman" w:cs="Times New Roman"/>
                <w:sz w:val="22"/>
                <w:szCs w:val="22"/>
              </w:rPr>
            </w:pPr>
            <w:r w:rsidRPr="008A651D">
              <w:rPr>
                <w:rFonts w:ascii="Times New Roman" w:hAnsi="Times New Roman" w:cs="Times New Roman"/>
                <w:sz w:val="22"/>
                <w:szCs w:val="22"/>
              </w:rPr>
              <w:t>1. СЧ</w:t>
            </w:r>
            <w:r w:rsidR="00D7297C">
              <w:rPr>
                <w:rFonts w:ascii="Times New Roman" w:hAnsi="Times New Roman" w:cs="Times New Roman"/>
                <w:sz w:val="22"/>
                <w:szCs w:val="22"/>
              </w:rPr>
              <w:t>Ё</w:t>
            </w:r>
            <w:r w:rsidRPr="008A651D">
              <w:rPr>
                <w:rFonts w:ascii="Times New Roman" w:hAnsi="Times New Roman" w:cs="Times New Roman"/>
                <w:sz w:val="22"/>
                <w:szCs w:val="22"/>
              </w:rPr>
              <w:t>Т ТЕКУЩИХ ОПЕРАЦИЙ</w:t>
            </w:r>
          </w:p>
        </w:tc>
        <w:tc>
          <w:tcPr>
            <w:tcW w:w="1644" w:type="dxa"/>
            <w:tcBorders>
              <w:top w:val="double" w:sz="4" w:space="0" w:color="auto"/>
              <w:bottom w:val="single" w:sz="4" w:space="0" w:color="auto"/>
            </w:tcBorders>
            <w:shd w:val="clear" w:color="auto" w:fill="E0E0E0"/>
            <w:vAlign w:val="center"/>
          </w:tcPr>
          <w:p w14:paraId="4015F78B"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-46,6</w:t>
            </w:r>
          </w:p>
        </w:tc>
        <w:tc>
          <w:tcPr>
            <w:tcW w:w="1644" w:type="dxa"/>
            <w:tcBorders>
              <w:top w:val="double" w:sz="4" w:space="0" w:color="auto"/>
              <w:bottom w:val="single" w:sz="4" w:space="0" w:color="auto"/>
            </w:tcBorders>
            <w:shd w:val="clear" w:color="auto" w:fill="E0E0E0"/>
            <w:vAlign w:val="center"/>
          </w:tcPr>
          <w:p w14:paraId="25C653AF"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-44,3</w:t>
            </w:r>
          </w:p>
        </w:tc>
        <w:tc>
          <w:tcPr>
            <w:tcW w:w="1645" w:type="dxa"/>
            <w:tcBorders>
              <w:top w:val="double" w:sz="4" w:space="0" w:color="auto"/>
              <w:bottom w:val="single" w:sz="4" w:space="0" w:color="auto"/>
            </w:tcBorders>
            <w:shd w:val="clear" w:color="auto" w:fill="E0E0E0"/>
            <w:vAlign w:val="center"/>
          </w:tcPr>
          <w:p w14:paraId="44851F4A"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-5,5</w:t>
            </w:r>
          </w:p>
        </w:tc>
      </w:tr>
      <w:tr w:rsidR="001360C0" w:rsidRPr="008A651D" w14:paraId="620624AF" w14:textId="77777777" w:rsidTr="00AC0FC7">
        <w:trPr>
          <w:trHeight w:val="378"/>
        </w:trPr>
        <w:tc>
          <w:tcPr>
            <w:tcW w:w="4693" w:type="dxa"/>
            <w:tcBorders>
              <w:bottom w:val="single" w:sz="4" w:space="0" w:color="auto"/>
            </w:tcBorders>
            <w:shd w:val="clear" w:color="auto" w:fill="D9D9D9"/>
            <w:vAlign w:val="center"/>
          </w:tcPr>
          <w:p w14:paraId="3613EFAE" w14:textId="77777777" w:rsidR="001360C0" w:rsidRPr="008A651D" w:rsidRDefault="001360C0" w:rsidP="008A651D">
            <w:pPr>
              <w:pStyle w:val="artx"/>
              <w:widowControl w:val="0"/>
              <w:spacing w:before="0" w:after="0" w:line="240" w:lineRule="auto"/>
              <w:ind w:firstLine="102"/>
              <w:rPr>
                <w:rFonts w:ascii="Times New Roman" w:hAnsi="Times New Roman" w:cs="Times New Roman"/>
                <w:color w:val="auto"/>
                <w:sz w:val="22"/>
                <w:szCs w:val="22"/>
              </w:rPr>
            </w:pPr>
            <w:r w:rsidRPr="008A651D">
              <w:rPr>
                <w:rFonts w:ascii="Times New Roman" w:hAnsi="Times New Roman" w:cs="Times New Roman"/>
                <w:color w:val="auto"/>
                <w:sz w:val="22"/>
                <w:szCs w:val="22"/>
              </w:rPr>
              <w:t>Товары и услуги</w:t>
            </w:r>
          </w:p>
        </w:tc>
        <w:tc>
          <w:tcPr>
            <w:tcW w:w="1644" w:type="dxa"/>
            <w:tcBorders>
              <w:bottom w:val="single" w:sz="4" w:space="0" w:color="auto"/>
            </w:tcBorders>
            <w:shd w:val="clear" w:color="auto" w:fill="D9D9D9"/>
            <w:vAlign w:val="center"/>
          </w:tcPr>
          <w:p w14:paraId="35DEC645"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-399,7</w:t>
            </w:r>
          </w:p>
        </w:tc>
        <w:tc>
          <w:tcPr>
            <w:tcW w:w="1644" w:type="dxa"/>
            <w:tcBorders>
              <w:bottom w:val="single" w:sz="4" w:space="0" w:color="auto"/>
            </w:tcBorders>
            <w:shd w:val="clear" w:color="auto" w:fill="D9D9D9"/>
            <w:vAlign w:val="center"/>
          </w:tcPr>
          <w:p w14:paraId="3E6919A9"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-551,9</w:t>
            </w:r>
          </w:p>
        </w:tc>
        <w:tc>
          <w:tcPr>
            <w:tcW w:w="1645" w:type="dxa"/>
            <w:tcBorders>
              <w:bottom w:val="single" w:sz="4" w:space="0" w:color="auto"/>
            </w:tcBorders>
            <w:shd w:val="clear" w:color="auto" w:fill="D9D9D9"/>
            <w:vAlign w:val="center"/>
          </w:tcPr>
          <w:p w14:paraId="610A4501"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-590,7</w:t>
            </w:r>
          </w:p>
        </w:tc>
      </w:tr>
      <w:tr w:rsidR="001360C0" w:rsidRPr="008A651D" w14:paraId="7ED005E4" w14:textId="77777777" w:rsidTr="00AC0FC7">
        <w:trPr>
          <w:trHeight w:val="158"/>
        </w:trPr>
        <w:tc>
          <w:tcPr>
            <w:tcW w:w="4693" w:type="dxa"/>
            <w:tcBorders>
              <w:bottom w:val="nil"/>
            </w:tcBorders>
            <w:shd w:val="clear" w:color="auto" w:fill="auto"/>
            <w:vAlign w:val="center"/>
          </w:tcPr>
          <w:p w14:paraId="20BA27F1" w14:textId="77777777" w:rsidR="001360C0" w:rsidRPr="008A651D" w:rsidRDefault="001360C0" w:rsidP="008A651D">
            <w:pPr>
              <w:pStyle w:val="artx"/>
              <w:widowControl w:val="0"/>
              <w:spacing w:before="0" w:after="0" w:line="240" w:lineRule="auto"/>
              <w:ind w:left="318" w:hanging="14"/>
              <w:rPr>
                <w:rFonts w:ascii="Times New Roman" w:hAnsi="Times New Roman" w:cs="Times New Roman"/>
                <w:color w:val="auto"/>
                <w:sz w:val="22"/>
                <w:szCs w:val="22"/>
                <w:vertAlign w:val="superscript"/>
              </w:rPr>
            </w:pPr>
            <w:r w:rsidRPr="008A651D">
              <w:rPr>
                <w:rFonts w:ascii="Times New Roman" w:hAnsi="Times New Roman" w:cs="Times New Roman"/>
                <w:color w:val="auto"/>
                <w:sz w:val="22"/>
                <w:szCs w:val="22"/>
              </w:rPr>
              <w:t xml:space="preserve">-экспорт </w:t>
            </w:r>
          </w:p>
        </w:tc>
        <w:tc>
          <w:tcPr>
            <w:tcW w:w="1644" w:type="dxa"/>
            <w:tcBorders>
              <w:bottom w:val="nil"/>
            </w:tcBorders>
            <w:shd w:val="clear" w:color="auto" w:fill="auto"/>
            <w:vAlign w:val="center"/>
          </w:tcPr>
          <w:p w14:paraId="209AFE47" w14:textId="77777777" w:rsidR="001360C0" w:rsidRPr="008A651D" w:rsidRDefault="00BA575F" w:rsidP="00E02A4A">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63</w:t>
            </w:r>
            <w:r w:rsidR="00E02A4A">
              <w:rPr>
                <w:rFonts w:ascii="Times New Roman" w:hAnsi="Times New Roman" w:cs="Times New Roman"/>
                <w:sz w:val="22"/>
                <w:szCs w:val="22"/>
              </w:rPr>
              <w:t>6</w:t>
            </w:r>
            <w:r>
              <w:rPr>
                <w:rFonts w:ascii="Times New Roman" w:hAnsi="Times New Roman" w:cs="Times New Roman"/>
                <w:sz w:val="22"/>
                <w:szCs w:val="22"/>
              </w:rPr>
              <w:t>,9</w:t>
            </w:r>
          </w:p>
        </w:tc>
        <w:tc>
          <w:tcPr>
            <w:tcW w:w="1644" w:type="dxa"/>
            <w:tcBorders>
              <w:bottom w:val="nil"/>
            </w:tcBorders>
            <w:shd w:val="clear" w:color="auto" w:fill="auto"/>
            <w:vAlign w:val="center"/>
          </w:tcPr>
          <w:p w14:paraId="7519A655"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766,5</w:t>
            </w:r>
          </w:p>
        </w:tc>
        <w:tc>
          <w:tcPr>
            <w:tcW w:w="1645" w:type="dxa"/>
            <w:tcBorders>
              <w:bottom w:val="nil"/>
            </w:tcBorders>
            <w:shd w:val="clear" w:color="auto" w:fill="auto"/>
            <w:vAlign w:val="center"/>
          </w:tcPr>
          <w:p w14:paraId="740F0216"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705,3</w:t>
            </w:r>
          </w:p>
        </w:tc>
      </w:tr>
      <w:tr w:rsidR="001360C0" w:rsidRPr="008A651D" w14:paraId="58CE853D" w14:textId="77777777" w:rsidTr="00AC0FC7">
        <w:trPr>
          <w:trHeight w:val="287"/>
        </w:trPr>
        <w:tc>
          <w:tcPr>
            <w:tcW w:w="4693" w:type="dxa"/>
            <w:tcBorders>
              <w:top w:val="nil"/>
            </w:tcBorders>
            <w:shd w:val="clear" w:color="auto" w:fill="auto"/>
            <w:vAlign w:val="center"/>
          </w:tcPr>
          <w:p w14:paraId="0D7EFE6E" w14:textId="77777777" w:rsidR="001360C0" w:rsidRPr="008A651D"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8A651D">
              <w:rPr>
                <w:rFonts w:ascii="Times New Roman" w:hAnsi="Times New Roman" w:cs="Times New Roman"/>
                <w:color w:val="auto"/>
                <w:sz w:val="22"/>
                <w:szCs w:val="22"/>
              </w:rPr>
              <w:t>-импорт</w:t>
            </w:r>
          </w:p>
        </w:tc>
        <w:tc>
          <w:tcPr>
            <w:tcW w:w="1644" w:type="dxa"/>
            <w:tcBorders>
              <w:top w:val="nil"/>
            </w:tcBorders>
            <w:shd w:val="clear" w:color="auto" w:fill="auto"/>
            <w:vAlign w:val="center"/>
          </w:tcPr>
          <w:p w14:paraId="5BF38C83"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1 036,6</w:t>
            </w:r>
          </w:p>
        </w:tc>
        <w:tc>
          <w:tcPr>
            <w:tcW w:w="1644" w:type="dxa"/>
            <w:tcBorders>
              <w:top w:val="nil"/>
            </w:tcBorders>
            <w:shd w:val="clear" w:color="auto" w:fill="auto"/>
            <w:vAlign w:val="center"/>
          </w:tcPr>
          <w:p w14:paraId="29627387"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1 318,4</w:t>
            </w:r>
          </w:p>
        </w:tc>
        <w:tc>
          <w:tcPr>
            <w:tcW w:w="1645" w:type="dxa"/>
            <w:tcBorders>
              <w:top w:val="nil"/>
            </w:tcBorders>
            <w:shd w:val="clear" w:color="auto" w:fill="auto"/>
            <w:vAlign w:val="center"/>
          </w:tcPr>
          <w:p w14:paraId="40F6D823"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1 296,0</w:t>
            </w:r>
          </w:p>
        </w:tc>
      </w:tr>
      <w:tr w:rsidR="001360C0" w:rsidRPr="008A651D" w14:paraId="60F29997" w14:textId="77777777" w:rsidTr="00AC0FC7">
        <w:trPr>
          <w:trHeight w:val="322"/>
        </w:trPr>
        <w:tc>
          <w:tcPr>
            <w:tcW w:w="4693" w:type="dxa"/>
            <w:tcBorders>
              <w:bottom w:val="single" w:sz="4" w:space="0" w:color="auto"/>
            </w:tcBorders>
            <w:shd w:val="clear" w:color="auto" w:fill="E0E0E0"/>
            <w:vAlign w:val="center"/>
          </w:tcPr>
          <w:p w14:paraId="05DA5CCA" w14:textId="77777777" w:rsidR="001360C0" w:rsidRPr="008A651D" w:rsidRDefault="001360C0" w:rsidP="00AC0FC7">
            <w:pPr>
              <w:pStyle w:val="artx"/>
              <w:widowControl w:val="0"/>
              <w:spacing w:before="0" w:after="0" w:line="240" w:lineRule="auto"/>
              <w:ind w:left="53" w:firstLine="283"/>
              <w:rPr>
                <w:rFonts w:ascii="Times New Roman" w:hAnsi="Times New Roman" w:cs="Times New Roman"/>
                <w:color w:val="auto"/>
                <w:sz w:val="22"/>
                <w:szCs w:val="22"/>
              </w:rPr>
            </w:pPr>
            <w:r w:rsidRPr="008A651D">
              <w:rPr>
                <w:rFonts w:ascii="Times New Roman" w:hAnsi="Times New Roman" w:cs="Times New Roman"/>
                <w:color w:val="auto"/>
                <w:sz w:val="22"/>
                <w:szCs w:val="22"/>
              </w:rPr>
              <w:t xml:space="preserve">   Товары</w:t>
            </w:r>
          </w:p>
        </w:tc>
        <w:tc>
          <w:tcPr>
            <w:tcW w:w="1644" w:type="dxa"/>
            <w:tcBorders>
              <w:bottom w:val="single" w:sz="4" w:space="0" w:color="auto"/>
            </w:tcBorders>
            <w:shd w:val="clear" w:color="auto" w:fill="E0E0E0"/>
            <w:vAlign w:val="center"/>
          </w:tcPr>
          <w:p w14:paraId="25266CE1"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-398,7</w:t>
            </w:r>
          </w:p>
        </w:tc>
        <w:tc>
          <w:tcPr>
            <w:tcW w:w="1644" w:type="dxa"/>
            <w:tcBorders>
              <w:bottom w:val="single" w:sz="4" w:space="0" w:color="auto"/>
            </w:tcBorders>
            <w:shd w:val="clear" w:color="auto" w:fill="E0E0E0"/>
            <w:vAlign w:val="center"/>
          </w:tcPr>
          <w:p w14:paraId="4E2BAFC1"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-533,0</w:t>
            </w:r>
          </w:p>
        </w:tc>
        <w:tc>
          <w:tcPr>
            <w:tcW w:w="1645" w:type="dxa"/>
            <w:tcBorders>
              <w:bottom w:val="single" w:sz="4" w:space="0" w:color="auto"/>
            </w:tcBorders>
            <w:shd w:val="clear" w:color="auto" w:fill="E0E0E0"/>
            <w:vAlign w:val="center"/>
          </w:tcPr>
          <w:p w14:paraId="7D026BE8"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-553,6</w:t>
            </w:r>
          </w:p>
        </w:tc>
      </w:tr>
      <w:tr w:rsidR="001360C0" w:rsidRPr="008A651D" w14:paraId="1A3AB686" w14:textId="77777777" w:rsidTr="00AC0FC7">
        <w:tc>
          <w:tcPr>
            <w:tcW w:w="4693" w:type="dxa"/>
            <w:tcBorders>
              <w:top w:val="nil"/>
              <w:left w:val="single" w:sz="4" w:space="0" w:color="auto"/>
              <w:bottom w:val="nil"/>
              <w:right w:val="single" w:sz="4" w:space="0" w:color="auto"/>
            </w:tcBorders>
            <w:vAlign w:val="center"/>
          </w:tcPr>
          <w:p w14:paraId="55FB2EDD" w14:textId="77777777" w:rsidR="001360C0" w:rsidRPr="008A651D" w:rsidRDefault="001360C0" w:rsidP="00AC0FC7">
            <w:pPr>
              <w:pStyle w:val="artx"/>
              <w:widowControl w:val="0"/>
              <w:spacing w:before="0" w:after="0" w:line="240" w:lineRule="auto"/>
              <w:ind w:left="53" w:firstLine="567"/>
              <w:rPr>
                <w:rFonts w:ascii="Times New Roman" w:hAnsi="Times New Roman" w:cs="Times New Roman"/>
                <w:color w:val="auto"/>
                <w:sz w:val="22"/>
                <w:szCs w:val="22"/>
                <w:vertAlign w:val="superscript"/>
              </w:rPr>
            </w:pPr>
            <w:r w:rsidRPr="008A651D">
              <w:rPr>
                <w:rFonts w:ascii="Times New Roman" w:hAnsi="Times New Roman" w:cs="Times New Roman"/>
                <w:color w:val="auto"/>
                <w:sz w:val="22"/>
                <w:szCs w:val="22"/>
              </w:rPr>
              <w:t xml:space="preserve">-экспорт </w:t>
            </w:r>
          </w:p>
        </w:tc>
        <w:tc>
          <w:tcPr>
            <w:tcW w:w="1644" w:type="dxa"/>
            <w:tcBorders>
              <w:top w:val="nil"/>
              <w:left w:val="single" w:sz="4" w:space="0" w:color="auto"/>
              <w:bottom w:val="nil"/>
              <w:right w:val="single" w:sz="4" w:space="0" w:color="auto"/>
            </w:tcBorders>
            <w:vAlign w:val="center"/>
          </w:tcPr>
          <w:p w14:paraId="2041BB8A"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573,0</w:t>
            </w:r>
          </w:p>
        </w:tc>
        <w:tc>
          <w:tcPr>
            <w:tcW w:w="1644" w:type="dxa"/>
            <w:tcBorders>
              <w:top w:val="nil"/>
              <w:left w:val="single" w:sz="4" w:space="0" w:color="auto"/>
              <w:bottom w:val="nil"/>
              <w:right w:val="single" w:sz="4" w:space="0" w:color="auto"/>
            </w:tcBorders>
            <w:vAlign w:val="center"/>
          </w:tcPr>
          <w:p w14:paraId="14C45C27"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693,9</w:t>
            </w:r>
          </w:p>
        </w:tc>
        <w:tc>
          <w:tcPr>
            <w:tcW w:w="1645" w:type="dxa"/>
            <w:tcBorders>
              <w:top w:val="nil"/>
              <w:left w:val="single" w:sz="4" w:space="0" w:color="auto"/>
              <w:bottom w:val="nil"/>
              <w:right w:val="single" w:sz="4" w:space="0" w:color="auto"/>
            </w:tcBorders>
            <w:vAlign w:val="center"/>
          </w:tcPr>
          <w:p w14:paraId="4C0FEE6D"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649,5</w:t>
            </w:r>
          </w:p>
        </w:tc>
      </w:tr>
      <w:tr w:rsidR="001360C0" w:rsidRPr="008A651D" w14:paraId="1458F45D" w14:textId="77777777" w:rsidTr="00AC0FC7">
        <w:tc>
          <w:tcPr>
            <w:tcW w:w="4693" w:type="dxa"/>
            <w:tcBorders>
              <w:top w:val="nil"/>
              <w:left w:val="single" w:sz="4" w:space="0" w:color="auto"/>
              <w:bottom w:val="single" w:sz="4" w:space="0" w:color="auto"/>
              <w:right w:val="single" w:sz="4" w:space="0" w:color="auto"/>
            </w:tcBorders>
            <w:vAlign w:val="center"/>
          </w:tcPr>
          <w:p w14:paraId="5978EDDF" w14:textId="77777777" w:rsidR="001360C0" w:rsidRPr="008A651D" w:rsidRDefault="001360C0" w:rsidP="00AC0FC7">
            <w:pPr>
              <w:pStyle w:val="artx"/>
              <w:widowControl w:val="0"/>
              <w:spacing w:before="0" w:after="0" w:line="240" w:lineRule="auto"/>
              <w:ind w:left="53" w:firstLine="567"/>
              <w:rPr>
                <w:rFonts w:ascii="Times New Roman" w:hAnsi="Times New Roman" w:cs="Times New Roman"/>
                <w:color w:val="auto"/>
                <w:sz w:val="22"/>
                <w:szCs w:val="22"/>
              </w:rPr>
            </w:pPr>
            <w:r w:rsidRPr="008A651D">
              <w:rPr>
                <w:rFonts w:ascii="Times New Roman" w:hAnsi="Times New Roman" w:cs="Times New Roman"/>
                <w:color w:val="auto"/>
                <w:sz w:val="22"/>
                <w:szCs w:val="22"/>
              </w:rPr>
              <w:t>-импорт</w:t>
            </w:r>
          </w:p>
        </w:tc>
        <w:tc>
          <w:tcPr>
            <w:tcW w:w="1644" w:type="dxa"/>
            <w:tcBorders>
              <w:top w:val="nil"/>
              <w:left w:val="single" w:sz="4" w:space="0" w:color="auto"/>
              <w:bottom w:val="single" w:sz="4" w:space="0" w:color="auto"/>
              <w:right w:val="single" w:sz="4" w:space="0" w:color="auto"/>
            </w:tcBorders>
            <w:vAlign w:val="center"/>
          </w:tcPr>
          <w:p w14:paraId="0F4A70E3"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971,7</w:t>
            </w:r>
          </w:p>
        </w:tc>
        <w:tc>
          <w:tcPr>
            <w:tcW w:w="1644" w:type="dxa"/>
            <w:tcBorders>
              <w:top w:val="nil"/>
              <w:left w:val="single" w:sz="4" w:space="0" w:color="auto"/>
              <w:bottom w:val="single" w:sz="4" w:space="0" w:color="auto"/>
              <w:right w:val="single" w:sz="4" w:space="0" w:color="auto"/>
            </w:tcBorders>
            <w:vAlign w:val="center"/>
          </w:tcPr>
          <w:p w14:paraId="35D96505"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1 226,9</w:t>
            </w:r>
          </w:p>
        </w:tc>
        <w:tc>
          <w:tcPr>
            <w:tcW w:w="1645" w:type="dxa"/>
            <w:tcBorders>
              <w:top w:val="nil"/>
              <w:left w:val="single" w:sz="4" w:space="0" w:color="auto"/>
              <w:bottom w:val="single" w:sz="4" w:space="0" w:color="auto"/>
              <w:right w:val="single" w:sz="4" w:space="0" w:color="auto"/>
            </w:tcBorders>
            <w:vAlign w:val="center"/>
          </w:tcPr>
          <w:p w14:paraId="70053F44"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1 203,1</w:t>
            </w:r>
          </w:p>
        </w:tc>
      </w:tr>
      <w:tr w:rsidR="001360C0" w:rsidRPr="008A651D" w14:paraId="0B3769EA" w14:textId="77777777" w:rsidTr="00AC0FC7">
        <w:trPr>
          <w:trHeight w:val="323"/>
        </w:trPr>
        <w:tc>
          <w:tcPr>
            <w:tcW w:w="4693" w:type="dxa"/>
            <w:tcBorders>
              <w:top w:val="single" w:sz="4" w:space="0" w:color="auto"/>
              <w:bottom w:val="single" w:sz="4" w:space="0" w:color="auto"/>
            </w:tcBorders>
            <w:shd w:val="clear" w:color="auto" w:fill="E0E0E0"/>
            <w:vAlign w:val="center"/>
          </w:tcPr>
          <w:p w14:paraId="33A3538D" w14:textId="77777777" w:rsidR="001360C0" w:rsidRPr="008A651D" w:rsidRDefault="001360C0" w:rsidP="00AC0FC7">
            <w:pPr>
              <w:pStyle w:val="artx"/>
              <w:widowControl w:val="0"/>
              <w:spacing w:before="0" w:after="0" w:line="240" w:lineRule="auto"/>
              <w:ind w:left="53" w:firstLine="283"/>
              <w:rPr>
                <w:rFonts w:ascii="Times New Roman" w:hAnsi="Times New Roman" w:cs="Times New Roman"/>
                <w:color w:val="auto"/>
                <w:sz w:val="22"/>
                <w:szCs w:val="22"/>
              </w:rPr>
            </w:pPr>
            <w:r w:rsidRPr="008A651D">
              <w:rPr>
                <w:rFonts w:ascii="Times New Roman" w:hAnsi="Times New Roman" w:cs="Times New Roman"/>
                <w:color w:val="auto"/>
                <w:sz w:val="22"/>
                <w:szCs w:val="22"/>
              </w:rPr>
              <w:t xml:space="preserve">   Услуги</w:t>
            </w:r>
          </w:p>
        </w:tc>
        <w:tc>
          <w:tcPr>
            <w:tcW w:w="1644" w:type="dxa"/>
            <w:tcBorders>
              <w:top w:val="single" w:sz="4" w:space="0" w:color="auto"/>
              <w:bottom w:val="single" w:sz="4" w:space="0" w:color="auto"/>
            </w:tcBorders>
            <w:shd w:val="clear" w:color="auto" w:fill="E0E0E0"/>
            <w:vAlign w:val="center"/>
          </w:tcPr>
          <w:p w14:paraId="1BC911CE"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-1,0</w:t>
            </w:r>
          </w:p>
        </w:tc>
        <w:tc>
          <w:tcPr>
            <w:tcW w:w="1644" w:type="dxa"/>
            <w:tcBorders>
              <w:top w:val="single" w:sz="4" w:space="0" w:color="auto"/>
              <w:bottom w:val="single" w:sz="4" w:space="0" w:color="auto"/>
            </w:tcBorders>
            <w:shd w:val="clear" w:color="auto" w:fill="E0E0E0"/>
            <w:vAlign w:val="center"/>
          </w:tcPr>
          <w:p w14:paraId="0BBCCD8D"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-19,0</w:t>
            </w:r>
          </w:p>
        </w:tc>
        <w:tc>
          <w:tcPr>
            <w:tcW w:w="1645" w:type="dxa"/>
            <w:tcBorders>
              <w:top w:val="single" w:sz="4" w:space="0" w:color="auto"/>
              <w:bottom w:val="single" w:sz="4" w:space="0" w:color="auto"/>
            </w:tcBorders>
            <w:shd w:val="clear" w:color="auto" w:fill="E0E0E0"/>
            <w:vAlign w:val="center"/>
          </w:tcPr>
          <w:p w14:paraId="65265929"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-37,1</w:t>
            </w:r>
          </w:p>
        </w:tc>
      </w:tr>
      <w:tr w:rsidR="001360C0" w:rsidRPr="008A651D" w14:paraId="3D17E66F" w14:textId="77777777" w:rsidTr="00AC0FC7">
        <w:tc>
          <w:tcPr>
            <w:tcW w:w="4693" w:type="dxa"/>
            <w:tcBorders>
              <w:top w:val="nil"/>
              <w:left w:val="single" w:sz="4" w:space="0" w:color="auto"/>
              <w:bottom w:val="nil"/>
              <w:right w:val="single" w:sz="4" w:space="0" w:color="auto"/>
            </w:tcBorders>
            <w:vAlign w:val="center"/>
          </w:tcPr>
          <w:p w14:paraId="67E6FEB0" w14:textId="77777777" w:rsidR="001360C0" w:rsidRPr="008A651D" w:rsidRDefault="001360C0" w:rsidP="00AC0FC7">
            <w:pPr>
              <w:pStyle w:val="artx"/>
              <w:widowControl w:val="0"/>
              <w:spacing w:before="0" w:after="0" w:line="240" w:lineRule="auto"/>
              <w:ind w:left="53" w:firstLine="567"/>
              <w:rPr>
                <w:rFonts w:ascii="Times New Roman" w:hAnsi="Times New Roman" w:cs="Times New Roman"/>
                <w:color w:val="auto"/>
                <w:sz w:val="22"/>
                <w:szCs w:val="22"/>
              </w:rPr>
            </w:pPr>
            <w:r w:rsidRPr="008A651D">
              <w:rPr>
                <w:rFonts w:ascii="Times New Roman" w:hAnsi="Times New Roman" w:cs="Times New Roman"/>
                <w:color w:val="auto"/>
                <w:sz w:val="22"/>
                <w:szCs w:val="22"/>
              </w:rPr>
              <w:t>-экспорт</w:t>
            </w:r>
          </w:p>
        </w:tc>
        <w:tc>
          <w:tcPr>
            <w:tcW w:w="1644" w:type="dxa"/>
            <w:tcBorders>
              <w:top w:val="nil"/>
              <w:left w:val="single" w:sz="4" w:space="0" w:color="auto"/>
              <w:bottom w:val="nil"/>
              <w:right w:val="single" w:sz="4" w:space="0" w:color="auto"/>
            </w:tcBorders>
            <w:vAlign w:val="center"/>
          </w:tcPr>
          <w:p w14:paraId="23C5871F"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63,9</w:t>
            </w:r>
          </w:p>
        </w:tc>
        <w:tc>
          <w:tcPr>
            <w:tcW w:w="1644" w:type="dxa"/>
            <w:tcBorders>
              <w:top w:val="nil"/>
              <w:left w:val="single" w:sz="4" w:space="0" w:color="auto"/>
              <w:bottom w:val="nil"/>
              <w:right w:val="single" w:sz="4" w:space="0" w:color="auto"/>
            </w:tcBorders>
            <w:vAlign w:val="center"/>
          </w:tcPr>
          <w:p w14:paraId="6BDD7A4A"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72,6</w:t>
            </w:r>
          </w:p>
        </w:tc>
        <w:tc>
          <w:tcPr>
            <w:tcW w:w="1645" w:type="dxa"/>
            <w:tcBorders>
              <w:top w:val="nil"/>
              <w:left w:val="single" w:sz="4" w:space="0" w:color="auto"/>
              <w:bottom w:val="nil"/>
              <w:right w:val="single" w:sz="4" w:space="0" w:color="auto"/>
            </w:tcBorders>
            <w:vAlign w:val="center"/>
          </w:tcPr>
          <w:p w14:paraId="2AA95468"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55,8</w:t>
            </w:r>
          </w:p>
        </w:tc>
      </w:tr>
      <w:tr w:rsidR="001360C0" w:rsidRPr="008A651D" w14:paraId="323543AC" w14:textId="77777777" w:rsidTr="00AC0FC7">
        <w:tc>
          <w:tcPr>
            <w:tcW w:w="4693" w:type="dxa"/>
            <w:tcBorders>
              <w:top w:val="nil"/>
              <w:left w:val="single" w:sz="4" w:space="0" w:color="auto"/>
              <w:bottom w:val="single" w:sz="4" w:space="0" w:color="auto"/>
              <w:right w:val="single" w:sz="4" w:space="0" w:color="auto"/>
            </w:tcBorders>
            <w:vAlign w:val="center"/>
          </w:tcPr>
          <w:p w14:paraId="58F00332" w14:textId="77777777" w:rsidR="001360C0" w:rsidRPr="008A651D" w:rsidRDefault="001360C0" w:rsidP="00AC0FC7">
            <w:pPr>
              <w:pStyle w:val="artx"/>
              <w:widowControl w:val="0"/>
              <w:spacing w:before="0" w:after="0" w:line="240" w:lineRule="auto"/>
              <w:ind w:left="53" w:firstLine="567"/>
              <w:rPr>
                <w:rFonts w:ascii="Times New Roman" w:hAnsi="Times New Roman" w:cs="Times New Roman"/>
                <w:color w:val="auto"/>
                <w:sz w:val="22"/>
                <w:szCs w:val="22"/>
              </w:rPr>
            </w:pPr>
            <w:r w:rsidRPr="008A651D">
              <w:rPr>
                <w:rFonts w:ascii="Times New Roman" w:hAnsi="Times New Roman" w:cs="Times New Roman"/>
                <w:color w:val="auto"/>
                <w:sz w:val="22"/>
                <w:szCs w:val="22"/>
              </w:rPr>
              <w:t>-импорт</w:t>
            </w:r>
          </w:p>
        </w:tc>
        <w:tc>
          <w:tcPr>
            <w:tcW w:w="1644" w:type="dxa"/>
            <w:tcBorders>
              <w:top w:val="nil"/>
              <w:left w:val="single" w:sz="4" w:space="0" w:color="auto"/>
              <w:bottom w:val="single" w:sz="4" w:space="0" w:color="auto"/>
              <w:right w:val="single" w:sz="4" w:space="0" w:color="auto"/>
            </w:tcBorders>
            <w:vAlign w:val="center"/>
          </w:tcPr>
          <w:p w14:paraId="0AB76AF6"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64,9</w:t>
            </w:r>
          </w:p>
        </w:tc>
        <w:tc>
          <w:tcPr>
            <w:tcW w:w="1644" w:type="dxa"/>
            <w:tcBorders>
              <w:top w:val="nil"/>
              <w:left w:val="single" w:sz="4" w:space="0" w:color="auto"/>
              <w:bottom w:val="single" w:sz="4" w:space="0" w:color="auto"/>
              <w:right w:val="single" w:sz="4" w:space="0" w:color="auto"/>
            </w:tcBorders>
            <w:vAlign w:val="center"/>
          </w:tcPr>
          <w:p w14:paraId="398F1205"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91,6</w:t>
            </w:r>
          </w:p>
        </w:tc>
        <w:tc>
          <w:tcPr>
            <w:tcW w:w="1645" w:type="dxa"/>
            <w:tcBorders>
              <w:top w:val="nil"/>
              <w:left w:val="single" w:sz="4" w:space="0" w:color="auto"/>
              <w:bottom w:val="single" w:sz="4" w:space="0" w:color="auto"/>
              <w:right w:val="single" w:sz="4" w:space="0" w:color="auto"/>
            </w:tcBorders>
            <w:vAlign w:val="center"/>
          </w:tcPr>
          <w:p w14:paraId="40B31B90"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92,9</w:t>
            </w:r>
          </w:p>
        </w:tc>
      </w:tr>
      <w:tr w:rsidR="001360C0" w:rsidRPr="008A651D" w14:paraId="03D3D2D8" w14:textId="77777777" w:rsidTr="00AC0FC7">
        <w:trPr>
          <w:trHeight w:val="322"/>
        </w:trPr>
        <w:tc>
          <w:tcPr>
            <w:tcW w:w="4693" w:type="dxa"/>
            <w:tcBorders>
              <w:top w:val="single" w:sz="4" w:space="0" w:color="auto"/>
              <w:bottom w:val="single" w:sz="4" w:space="0" w:color="auto"/>
            </w:tcBorders>
            <w:shd w:val="clear" w:color="auto" w:fill="E0E0E0"/>
            <w:vAlign w:val="center"/>
          </w:tcPr>
          <w:p w14:paraId="4071E797" w14:textId="77777777" w:rsidR="001360C0" w:rsidRPr="008A651D" w:rsidRDefault="001360C0" w:rsidP="008A651D">
            <w:pPr>
              <w:pStyle w:val="artx"/>
              <w:widowControl w:val="0"/>
              <w:spacing w:before="0" w:after="0" w:line="240" w:lineRule="auto"/>
              <w:ind w:firstLine="102"/>
              <w:rPr>
                <w:rFonts w:ascii="Times New Roman" w:hAnsi="Times New Roman" w:cs="Times New Roman"/>
                <w:color w:val="auto"/>
                <w:sz w:val="22"/>
                <w:szCs w:val="22"/>
              </w:rPr>
            </w:pPr>
            <w:r w:rsidRPr="008A651D">
              <w:rPr>
                <w:rFonts w:ascii="Times New Roman" w:hAnsi="Times New Roman" w:cs="Times New Roman"/>
                <w:color w:val="auto"/>
                <w:sz w:val="22"/>
                <w:szCs w:val="22"/>
              </w:rPr>
              <w:t>Первичные доходы</w:t>
            </w:r>
          </w:p>
        </w:tc>
        <w:tc>
          <w:tcPr>
            <w:tcW w:w="1644" w:type="dxa"/>
            <w:tcBorders>
              <w:top w:val="single" w:sz="4" w:space="0" w:color="auto"/>
              <w:bottom w:val="single" w:sz="4" w:space="0" w:color="auto"/>
            </w:tcBorders>
            <w:shd w:val="clear" w:color="auto" w:fill="E0E0E0"/>
            <w:vAlign w:val="center"/>
          </w:tcPr>
          <w:p w14:paraId="6CCE57FB"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-27,3</w:t>
            </w:r>
          </w:p>
        </w:tc>
        <w:tc>
          <w:tcPr>
            <w:tcW w:w="1644" w:type="dxa"/>
            <w:tcBorders>
              <w:top w:val="single" w:sz="4" w:space="0" w:color="auto"/>
              <w:bottom w:val="single" w:sz="4" w:space="0" w:color="auto"/>
            </w:tcBorders>
            <w:shd w:val="clear" w:color="auto" w:fill="E0E0E0"/>
            <w:vAlign w:val="center"/>
          </w:tcPr>
          <w:p w14:paraId="43122701"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-32,2</w:t>
            </w:r>
          </w:p>
        </w:tc>
        <w:tc>
          <w:tcPr>
            <w:tcW w:w="1645" w:type="dxa"/>
            <w:tcBorders>
              <w:top w:val="single" w:sz="4" w:space="0" w:color="auto"/>
              <w:bottom w:val="single" w:sz="4" w:space="0" w:color="auto"/>
            </w:tcBorders>
            <w:shd w:val="clear" w:color="auto" w:fill="E0E0E0"/>
            <w:vAlign w:val="center"/>
          </w:tcPr>
          <w:p w14:paraId="2A6F1DB8"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-42,0</w:t>
            </w:r>
          </w:p>
        </w:tc>
      </w:tr>
      <w:tr w:rsidR="001360C0" w:rsidRPr="008A651D" w14:paraId="7B356485" w14:textId="77777777" w:rsidTr="00AC0FC7">
        <w:tc>
          <w:tcPr>
            <w:tcW w:w="4693" w:type="dxa"/>
            <w:tcBorders>
              <w:top w:val="nil"/>
              <w:left w:val="single" w:sz="4" w:space="0" w:color="auto"/>
              <w:bottom w:val="nil"/>
              <w:right w:val="single" w:sz="4" w:space="0" w:color="auto"/>
            </w:tcBorders>
            <w:vAlign w:val="center"/>
          </w:tcPr>
          <w:p w14:paraId="704C6861" w14:textId="77777777" w:rsidR="001360C0" w:rsidRPr="008A651D"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8A651D">
              <w:rPr>
                <w:rFonts w:ascii="Times New Roman" w:hAnsi="Times New Roman" w:cs="Times New Roman"/>
                <w:color w:val="auto"/>
                <w:sz w:val="22"/>
                <w:szCs w:val="22"/>
              </w:rPr>
              <w:t>-кредит</w:t>
            </w:r>
          </w:p>
        </w:tc>
        <w:tc>
          <w:tcPr>
            <w:tcW w:w="1644" w:type="dxa"/>
            <w:tcBorders>
              <w:top w:val="nil"/>
              <w:left w:val="single" w:sz="4" w:space="0" w:color="auto"/>
              <w:bottom w:val="nil"/>
              <w:right w:val="single" w:sz="4" w:space="0" w:color="auto"/>
            </w:tcBorders>
            <w:vAlign w:val="center"/>
          </w:tcPr>
          <w:p w14:paraId="3E4D4F1E"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10,6</w:t>
            </w:r>
          </w:p>
        </w:tc>
        <w:tc>
          <w:tcPr>
            <w:tcW w:w="1644" w:type="dxa"/>
            <w:tcBorders>
              <w:top w:val="nil"/>
              <w:left w:val="single" w:sz="4" w:space="0" w:color="auto"/>
              <w:bottom w:val="nil"/>
              <w:right w:val="single" w:sz="4" w:space="0" w:color="auto"/>
            </w:tcBorders>
            <w:vAlign w:val="center"/>
          </w:tcPr>
          <w:p w14:paraId="36E111BC"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10,3</w:t>
            </w:r>
          </w:p>
        </w:tc>
        <w:tc>
          <w:tcPr>
            <w:tcW w:w="1645" w:type="dxa"/>
            <w:tcBorders>
              <w:top w:val="nil"/>
              <w:left w:val="single" w:sz="4" w:space="0" w:color="auto"/>
              <w:bottom w:val="nil"/>
              <w:right w:val="single" w:sz="4" w:space="0" w:color="auto"/>
            </w:tcBorders>
            <w:vAlign w:val="center"/>
          </w:tcPr>
          <w:p w14:paraId="737218FC"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10,9</w:t>
            </w:r>
          </w:p>
        </w:tc>
      </w:tr>
      <w:tr w:rsidR="001360C0" w:rsidRPr="008A651D" w14:paraId="6F58A867" w14:textId="77777777" w:rsidTr="00AC0FC7">
        <w:tc>
          <w:tcPr>
            <w:tcW w:w="4693" w:type="dxa"/>
            <w:tcBorders>
              <w:top w:val="nil"/>
              <w:left w:val="single" w:sz="4" w:space="0" w:color="auto"/>
              <w:bottom w:val="single" w:sz="4" w:space="0" w:color="auto"/>
              <w:right w:val="single" w:sz="4" w:space="0" w:color="auto"/>
            </w:tcBorders>
            <w:vAlign w:val="center"/>
          </w:tcPr>
          <w:p w14:paraId="4A5E2E96" w14:textId="77777777" w:rsidR="001360C0" w:rsidRPr="008A651D"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8A651D">
              <w:rPr>
                <w:rFonts w:ascii="Times New Roman" w:hAnsi="Times New Roman" w:cs="Times New Roman"/>
                <w:color w:val="auto"/>
                <w:sz w:val="22"/>
                <w:szCs w:val="22"/>
              </w:rPr>
              <w:t>-дебет</w:t>
            </w:r>
          </w:p>
        </w:tc>
        <w:tc>
          <w:tcPr>
            <w:tcW w:w="1644" w:type="dxa"/>
            <w:tcBorders>
              <w:top w:val="nil"/>
              <w:left w:val="single" w:sz="4" w:space="0" w:color="auto"/>
              <w:bottom w:val="single" w:sz="4" w:space="0" w:color="auto"/>
              <w:right w:val="single" w:sz="4" w:space="0" w:color="auto"/>
            </w:tcBorders>
            <w:vAlign w:val="center"/>
          </w:tcPr>
          <w:p w14:paraId="1A2E1C77"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37,9</w:t>
            </w:r>
          </w:p>
        </w:tc>
        <w:tc>
          <w:tcPr>
            <w:tcW w:w="1644" w:type="dxa"/>
            <w:tcBorders>
              <w:top w:val="nil"/>
              <w:left w:val="single" w:sz="4" w:space="0" w:color="auto"/>
              <w:bottom w:val="single" w:sz="4" w:space="0" w:color="auto"/>
              <w:right w:val="single" w:sz="4" w:space="0" w:color="auto"/>
            </w:tcBorders>
            <w:vAlign w:val="center"/>
          </w:tcPr>
          <w:p w14:paraId="7606D140"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42,5</w:t>
            </w:r>
          </w:p>
        </w:tc>
        <w:tc>
          <w:tcPr>
            <w:tcW w:w="1645" w:type="dxa"/>
            <w:tcBorders>
              <w:top w:val="nil"/>
              <w:left w:val="single" w:sz="4" w:space="0" w:color="auto"/>
              <w:bottom w:val="single" w:sz="4" w:space="0" w:color="auto"/>
              <w:right w:val="single" w:sz="4" w:space="0" w:color="auto"/>
            </w:tcBorders>
            <w:vAlign w:val="center"/>
          </w:tcPr>
          <w:p w14:paraId="7E968426"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52,8</w:t>
            </w:r>
          </w:p>
        </w:tc>
      </w:tr>
      <w:tr w:rsidR="001360C0" w:rsidRPr="008A651D" w14:paraId="7A68A16E" w14:textId="77777777" w:rsidTr="00AC0FC7">
        <w:trPr>
          <w:trHeight w:val="350"/>
        </w:trPr>
        <w:tc>
          <w:tcPr>
            <w:tcW w:w="4693" w:type="dxa"/>
            <w:tcBorders>
              <w:top w:val="single" w:sz="4" w:space="0" w:color="auto"/>
              <w:bottom w:val="single" w:sz="4" w:space="0" w:color="auto"/>
            </w:tcBorders>
            <w:shd w:val="clear" w:color="auto" w:fill="E0E0E0"/>
            <w:vAlign w:val="center"/>
          </w:tcPr>
          <w:p w14:paraId="37416856" w14:textId="77777777" w:rsidR="001360C0" w:rsidRPr="008A651D" w:rsidRDefault="001360C0" w:rsidP="008A651D">
            <w:pPr>
              <w:pStyle w:val="artx"/>
              <w:widowControl w:val="0"/>
              <w:tabs>
                <w:tab w:val="left" w:pos="219"/>
              </w:tabs>
              <w:spacing w:before="0" w:after="0" w:line="240" w:lineRule="auto"/>
              <w:ind w:firstLine="102"/>
              <w:rPr>
                <w:rFonts w:ascii="Times New Roman" w:hAnsi="Times New Roman" w:cs="Times New Roman"/>
                <w:color w:val="auto"/>
                <w:sz w:val="22"/>
                <w:szCs w:val="22"/>
              </w:rPr>
            </w:pPr>
            <w:r w:rsidRPr="008A651D">
              <w:rPr>
                <w:rFonts w:ascii="Times New Roman" w:hAnsi="Times New Roman" w:cs="Times New Roman"/>
                <w:color w:val="auto"/>
                <w:sz w:val="22"/>
                <w:szCs w:val="22"/>
              </w:rPr>
              <w:t>Вторичные доходы</w:t>
            </w:r>
          </w:p>
        </w:tc>
        <w:tc>
          <w:tcPr>
            <w:tcW w:w="1644" w:type="dxa"/>
            <w:tcBorders>
              <w:top w:val="single" w:sz="4" w:space="0" w:color="auto"/>
              <w:bottom w:val="single" w:sz="4" w:space="0" w:color="auto"/>
            </w:tcBorders>
            <w:shd w:val="clear" w:color="auto" w:fill="E0E0E0"/>
            <w:vAlign w:val="center"/>
          </w:tcPr>
          <w:p w14:paraId="634C7AE4" w14:textId="77777777" w:rsidR="001360C0" w:rsidRPr="008A651D" w:rsidRDefault="00BA575F" w:rsidP="00BA575F">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380,5</w:t>
            </w:r>
          </w:p>
        </w:tc>
        <w:tc>
          <w:tcPr>
            <w:tcW w:w="1644" w:type="dxa"/>
            <w:tcBorders>
              <w:top w:val="single" w:sz="4" w:space="0" w:color="auto"/>
              <w:bottom w:val="single" w:sz="4" w:space="0" w:color="auto"/>
            </w:tcBorders>
            <w:shd w:val="clear" w:color="auto" w:fill="E0E0E0"/>
            <w:vAlign w:val="center"/>
          </w:tcPr>
          <w:p w14:paraId="081359E5"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539,8</w:t>
            </w:r>
          </w:p>
        </w:tc>
        <w:tc>
          <w:tcPr>
            <w:tcW w:w="1645" w:type="dxa"/>
            <w:tcBorders>
              <w:top w:val="single" w:sz="4" w:space="0" w:color="auto"/>
              <w:bottom w:val="single" w:sz="4" w:space="0" w:color="auto"/>
            </w:tcBorders>
            <w:shd w:val="clear" w:color="auto" w:fill="E0E0E0"/>
            <w:vAlign w:val="center"/>
          </w:tcPr>
          <w:p w14:paraId="696C4A3B"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627,2</w:t>
            </w:r>
          </w:p>
        </w:tc>
      </w:tr>
      <w:tr w:rsidR="001360C0" w:rsidRPr="008A651D" w14:paraId="52B36A54" w14:textId="77777777" w:rsidTr="00AC0FC7">
        <w:tc>
          <w:tcPr>
            <w:tcW w:w="4693" w:type="dxa"/>
            <w:tcBorders>
              <w:top w:val="nil"/>
              <w:left w:val="single" w:sz="4" w:space="0" w:color="auto"/>
              <w:bottom w:val="nil"/>
              <w:right w:val="single" w:sz="4" w:space="0" w:color="auto"/>
            </w:tcBorders>
            <w:vAlign w:val="center"/>
          </w:tcPr>
          <w:p w14:paraId="1B05FDA9" w14:textId="77777777" w:rsidR="001360C0" w:rsidRPr="008A651D"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8A651D">
              <w:rPr>
                <w:rFonts w:ascii="Times New Roman" w:hAnsi="Times New Roman" w:cs="Times New Roman"/>
                <w:color w:val="auto"/>
                <w:sz w:val="22"/>
                <w:szCs w:val="22"/>
              </w:rPr>
              <w:t>-кредит</w:t>
            </w:r>
          </w:p>
        </w:tc>
        <w:tc>
          <w:tcPr>
            <w:tcW w:w="1644" w:type="dxa"/>
            <w:tcBorders>
              <w:top w:val="nil"/>
              <w:left w:val="single" w:sz="4" w:space="0" w:color="auto"/>
              <w:bottom w:val="nil"/>
              <w:right w:val="single" w:sz="4" w:space="0" w:color="auto"/>
            </w:tcBorders>
            <w:vAlign w:val="center"/>
          </w:tcPr>
          <w:p w14:paraId="4FE10A3F"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424,6</w:t>
            </w:r>
          </w:p>
        </w:tc>
        <w:tc>
          <w:tcPr>
            <w:tcW w:w="1644" w:type="dxa"/>
            <w:tcBorders>
              <w:top w:val="nil"/>
              <w:left w:val="single" w:sz="4" w:space="0" w:color="auto"/>
              <w:bottom w:val="nil"/>
              <w:right w:val="single" w:sz="4" w:space="0" w:color="auto"/>
            </w:tcBorders>
            <w:vAlign w:val="center"/>
          </w:tcPr>
          <w:p w14:paraId="0752E22A"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580,5</w:t>
            </w:r>
          </w:p>
        </w:tc>
        <w:tc>
          <w:tcPr>
            <w:tcW w:w="1645" w:type="dxa"/>
            <w:tcBorders>
              <w:top w:val="nil"/>
              <w:left w:val="single" w:sz="4" w:space="0" w:color="auto"/>
              <w:bottom w:val="nil"/>
              <w:right w:val="single" w:sz="4" w:space="0" w:color="auto"/>
            </w:tcBorders>
            <w:vAlign w:val="center"/>
          </w:tcPr>
          <w:p w14:paraId="11BB1F7B"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677,0</w:t>
            </w:r>
          </w:p>
        </w:tc>
      </w:tr>
      <w:tr w:rsidR="001360C0" w:rsidRPr="008A651D" w14:paraId="5A28C081" w14:textId="77777777" w:rsidTr="00AC0FC7">
        <w:tc>
          <w:tcPr>
            <w:tcW w:w="4693" w:type="dxa"/>
            <w:tcBorders>
              <w:top w:val="nil"/>
              <w:left w:val="single" w:sz="4" w:space="0" w:color="auto"/>
              <w:bottom w:val="single" w:sz="4" w:space="0" w:color="auto"/>
              <w:right w:val="single" w:sz="4" w:space="0" w:color="auto"/>
            </w:tcBorders>
            <w:vAlign w:val="center"/>
          </w:tcPr>
          <w:p w14:paraId="4802FEA5" w14:textId="77777777" w:rsidR="001360C0" w:rsidRPr="008A651D"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8A651D">
              <w:rPr>
                <w:rFonts w:ascii="Times New Roman" w:hAnsi="Times New Roman" w:cs="Times New Roman"/>
                <w:color w:val="auto"/>
                <w:sz w:val="22"/>
                <w:szCs w:val="22"/>
              </w:rPr>
              <w:t>-дебет</w:t>
            </w:r>
          </w:p>
        </w:tc>
        <w:tc>
          <w:tcPr>
            <w:tcW w:w="1644" w:type="dxa"/>
            <w:tcBorders>
              <w:top w:val="nil"/>
              <w:left w:val="single" w:sz="4" w:space="0" w:color="auto"/>
              <w:bottom w:val="single" w:sz="4" w:space="0" w:color="auto"/>
              <w:right w:val="single" w:sz="4" w:space="0" w:color="auto"/>
            </w:tcBorders>
            <w:vAlign w:val="center"/>
          </w:tcPr>
          <w:p w14:paraId="35EFC986"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44,2</w:t>
            </w:r>
          </w:p>
        </w:tc>
        <w:tc>
          <w:tcPr>
            <w:tcW w:w="1644" w:type="dxa"/>
            <w:tcBorders>
              <w:top w:val="nil"/>
              <w:left w:val="single" w:sz="4" w:space="0" w:color="auto"/>
              <w:bottom w:val="single" w:sz="4" w:space="0" w:color="auto"/>
              <w:right w:val="single" w:sz="4" w:space="0" w:color="auto"/>
            </w:tcBorders>
            <w:vAlign w:val="center"/>
          </w:tcPr>
          <w:p w14:paraId="4B12DB64"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40,7</w:t>
            </w:r>
          </w:p>
        </w:tc>
        <w:tc>
          <w:tcPr>
            <w:tcW w:w="1645" w:type="dxa"/>
            <w:tcBorders>
              <w:top w:val="nil"/>
              <w:left w:val="single" w:sz="4" w:space="0" w:color="auto"/>
              <w:bottom w:val="single" w:sz="4" w:space="0" w:color="auto"/>
              <w:right w:val="single" w:sz="4" w:space="0" w:color="auto"/>
            </w:tcBorders>
            <w:vAlign w:val="center"/>
          </w:tcPr>
          <w:p w14:paraId="2D7770A2"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49,8</w:t>
            </w:r>
          </w:p>
        </w:tc>
      </w:tr>
      <w:tr w:rsidR="001360C0" w:rsidRPr="008A651D" w14:paraId="016CB115" w14:textId="77777777" w:rsidTr="00AC0FC7">
        <w:trPr>
          <w:trHeight w:val="410"/>
        </w:trPr>
        <w:tc>
          <w:tcPr>
            <w:tcW w:w="4693" w:type="dxa"/>
            <w:tcBorders>
              <w:top w:val="single" w:sz="4" w:space="0" w:color="auto"/>
              <w:bottom w:val="single" w:sz="4" w:space="0" w:color="auto"/>
            </w:tcBorders>
            <w:shd w:val="clear" w:color="auto" w:fill="E0E0E0"/>
            <w:vAlign w:val="center"/>
          </w:tcPr>
          <w:p w14:paraId="686E03E8" w14:textId="77777777" w:rsidR="001360C0" w:rsidRPr="008A651D" w:rsidRDefault="001360C0" w:rsidP="00AC0FC7">
            <w:pPr>
              <w:pStyle w:val="CharChar"/>
              <w:widowControl w:val="0"/>
              <w:spacing w:before="0" w:after="0" w:line="240" w:lineRule="auto"/>
              <w:rPr>
                <w:rFonts w:ascii="Times New Roman" w:hAnsi="Times New Roman" w:cs="Times New Roman"/>
                <w:sz w:val="22"/>
                <w:szCs w:val="22"/>
              </w:rPr>
            </w:pPr>
            <w:r w:rsidRPr="008A651D">
              <w:rPr>
                <w:rFonts w:ascii="Times New Roman" w:hAnsi="Times New Roman" w:cs="Times New Roman"/>
                <w:sz w:val="22"/>
                <w:szCs w:val="22"/>
              </w:rPr>
              <w:t>2. СЧ</w:t>
            </w:r>
            <w:r w:rsidR="00AC0FC7">
              <w:rPr>
                <w:rFonts w:ascii="Times New Roman" w:hAnsi="Times New Roman" w:cs="Times New Roman"/>
                <w:sz w:val="22"/>
                <w:szCs w:val="22"/>
                <w:lang w:val="ru-RU"/>
              </w:rPr>
              <w:t>Ё</w:t>
            </w:r>
            <w:r w:rsidRPr="008A651D">
              <w:rPr>
                <w:rFonts w:ascii="Times New Roman" w:hAnsi="Times New Roman" w:cs="Times New Roman"/>
                <w:sz w:val="22"/>
                <w:szCs w:val="22"/>
              </w:rPr>
              <w:t xml:space="preserve">Т ОПЕРАЦИЙ С КАПИТАЛОМ </w:t>
            </w:r>
          </w:p>
        </w:tc>
        <w:tc>
          <w:tcPr>
            <w:tcW w:w="1644" w:type="dxa"/>
            <w:tcBorders>
              <w:top w:val="single" w:sz="4" w:space="0" w:color="auto"/>
              <w:bottom w:val="single" w:sz="4" w:space="0" w:color="auto"/>
            </w:tcBorders>
            <w:shd w:val="clear" w:color="auto" w:fill="E0E0E0"/>
            <w:vAlign w:val="center"/>
          </w:tcPr>
          <w:p w14:paraId="5F98BC76"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0,0</w:t>
            </w:r>
          </w:p>
        </w:tc>
        <w:tc>
          <w:tcPr>
            <w:tcW w:w="1644" w:type="dxa"/>
            <w:tcBorders>
              <w:top w:val="single" w:sz="4" w:space="0" w:color="auto"/>
              <w:bottom w:val="single" w:sz="4" w:space="0" w:color="auto"/>
            </w:tcBorders>
            <w:shd w:val="clear" w:color="auto" w:fill="E0E0E0"/>
            <w:vAlign w:val="center"/>
          </w:tcPr>
          <w:p w14:paraId="0182EB44"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0,0</w:t>
            </w:r>
          </w:p>
        </w:tc>
        <w:tc>
          <w:tcPr>
            <w:tcW w:w="1645" w:type="dxa"/>
            <w:tcBorders>
              <w:top w:val="single" w:sz="4" w:space="0" w:color="auto"/>
              <w:bottom w:val="single" w:sz="4" w:space="0" w:color="auto"/>
            </w:tcBorders>
            <w:shd w:val="clear" w:color="auto" w:fill="E0E0E0"/>
            <w:vAlign w:val="center"/>
          </w:tcPr>
          <w:p w14:paraId="16882E80"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0,0</w:t>
            </w:r>
          </w:p>
        </w:tc>
      </w:tr>
      <w:tr w:rsidR="001360C0" w:rsidRPr="008A651D" w14:paraId="0AE76E78" w14:textId="77777777" w:rsidTr="00AC0FC7">
        <w:trPr>
          <w:trHeight w:val="240"/>
        </w:trPr>
        <w:tc>
          <w:tcPr>
            <w:tcW w:w="4693" w:type="dxa"/>
            <w:tcBorders>
              <w:bottom w:val="single" w:sz="4" w:space="0" w:color="auto"/>
            </w:tcBorders>
            <w:shd w:val="clear" w:color="auto" w:fill="E0E0E0"/>
            <w:vAlign w:val="bottom"/>
          </w:tcPr>
          <w:p w14:paraId="41D223AB" w14:textId="77777777" w:rsidR="001360C0" w:rsidRPr="008A651D" w:rsidRDefault="001360C0" w:rsidP="00AC0FC7">
            <w:pPr>
              <w:spacing w:before="0" w:after="0" w:line="240" w:lineRule="auto"/>
              <w:ind w:right="-108"/>
              <w:rPr>
                <w:rFonts w:ascii="Times New Roman" w:hAnsi="Times New Roman" w:cs="Times New Roman"/>
                <w:b/>
                <w:bCs/>
                <w:sz w:val="22"/>
                <w:szCs w:val="22"/>
              </w:rPr>
            </w:pPr>
            <w:r w:rsidRPr="008A651D">
              <w:rPr>
                <w:rFonts w:ascii="Times New Roman" w:hAnsi="Times New Roman" w:cs="Times New Roman"/>
                <w:sz w:val="22"/>
                <w:szCs w:val="22"/>
              </w:rPr>
              <w:t xml:space="preserve">Чистое кредитование (+) / чистое заимствование (-) </w:t>
            </w:r>
            <w:r w:rsidRPr="008A651D">
              <w:rPr>
                <w:rStyle w:val="small"/>
                <w:rFonts w:ascii="Times New Roman" w:hAnsi="Times New Roman" w:cs="Times New Roman"/>
                <w:sz w:val="22"/>
                <w:szCs w:val="22"/>
              </w:rPr>
              <w:t>(сальдо по данным счёта текущих операций и сч</w:t>
            </w:r>
            <w:r w:rsidR="00AC0FC7">
              <w:rPr>
                <w:rStyle w:val="small"/>
                <w:rFonts w:ascii="Times New Roman" w:hAnsi="Times New Roman" w:cs="Times New Roman"/>
                <w:sz w:val="22"/>
                <w:szCs w:val="22"/>
              </w:rPr>
              <w:t>ё</w:t>
            </w:r>
            <w:r w:rsidRPr="008A651D">
              <w:rPr>
                <w:rStyle w:val="small"/>
                <w:rFonts w:ascii="Times New Roman" w:hAnsi="Times New Roman" w:cs="Times New Roman"/>
                <w:sz w:val="22"/>
                <w:szCs w:val="22"/>
              </w:rPr>
              <w:t>та операций с капиталом)</w:t>
            </w:r>
          </w:p>
        </w:tc>
        <w:tc>
          <w:tcPr>
            <w:tcW w:w="1644" w:type="dxa"/>
            <w:tcBorders>
              <w:bottom w:val="single" w:sz="4" w:space="0" w:color="auto"/>
            </w:tcBorders>
            <w:shd w:val="clear" w:color="auto" w:fill="E0E0E0"/>
            <w:vAlign w:val="center"/>
          </w:tcPr>
          <w:p w14:paraId="35AF3FB0"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-46,6</w:t>
            </w:r>
          </w:p>
        </w:tc>
        <w:tc>
          <w:tcPr>
            <w:tcW w:w="1644" w:type="dxa"/>
            <w:tcBorders>
              <w:bottom w:val="single" w:sz="4" w:space="0" w:color="auto"/>
            </w:tcBorders>
            <w:shd w:val="clear" w:color="auto" w:fill="E0E0E0"/>
            <w:vAlign w:val="center"/>
          </w:tcPr>
          <w:p w14:paraId="1F2B0121"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-44,3</w:t>
            </w:r>
          </w:p>
        </w:tc>
        <w:tc>
          <w:tcPr>
            <w:tcW w:w="1645" w:type="dxa"/>
            <w:tcBorders>
              <w:bottom w:val="single" w:sz="4" w:space="0" w:color="auto"/>
            </w:tcBorders>
            <w:shd w:val="clear" w:color="auto" w:fill="E0E0E0"/>
            <w:vAlign w:val="center"/>
          </w:tcPr>
          <w:p w14:paraId="4FD71FAF"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-5,5</w:t>
            </w:r>
          </w:p>
        </w:tc>
      </w:tr>
      <w:tr w:rsidR="001360C0" w:rsidRPr="008A651D" w14:paraId="23CF9164" w14:textId="77777777" w:rsidTr="00AC0FC7">
        <w:trPr>
          <w:trHeight w:val="240"/>
        </w:trPr>
        <w:tc>
          <w:tcPr>
            <w:tcW w:w="4693" w:type="dxa"/>
            <w:tcBorders>
              <w:bottom w:val="single" w:sz="4" w:space="0" w:color="auto"/>
            </w:tcBorders>
            <w:shd w:val="clear" w:color="auto" w:fill="E0E0E0"/>
            <w:vAlign w:val="center"/>
          </w:tcPr>
          <w:p w14:paraId="6B85A8AA" w14:textId="77777777" w:rsidR="001360C0" w:rsidRPr="008A651D" w:rsidRDefault="001360C0" w:rsidP="008A651D">
            <w:pPr>
              <w:pStyle w:val="CharChar"/>
              <w:widowControl w:val="0"/>
              <w:spacing w:before="0" w:after="0" w:line="240" w:lineRule="auto"/>
              <w:rPr>
                <w:rFonts w:ascii="Times New Roman" w:hAnsi="Times New Roman" w:cs="Times New Roman"/>
                <w:sz w:val="22"/>
                <w:szCs w:val="22"/>
              </w:rPr>
            </w:pPr>
            <w:r w:rsidRPr="008A651D">
              <w:rPr>
                <w:rFonts w:ascii="Times New Roman" w:hAnsi="Times New Roman" w:cs="Times New Roman"/>
                <w:sz w:val="22"/>
                <w:szCs w:val="22"/>
              </w:rPr>
              <w:t>3. ФИНАНСОВЫЙ СЧЕТ</w:t>
            </w:r>
          </w:p>
        </w:tc>
        <w:tc>
          <w:tcPr>
            <w:tcW w:w="1644" w:type="dxa"/>
            <w:tcBorders>
              <w:bottom w:val="single" w:sz="4" w:space="0" w:color="auto"/>
            </w:tcBorders>
            <w:shd w:val="clear" w:color="auto" w:fill="E0E0E0"/>
            <w:vAlign w:val="center"/>
          </w:tcPr>
          <w:p w14:paraId="01A46F02"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-62,5</w:t>
            </w:r>
          </w:p>
        </w:tc>
        <w:tc>
          <w:tcPr>
            <w:tcW w:w="1644" w:type="dxa"/>
            <w:tcBorders>
              <w:bottom w:val="single" w:sz="4" w:space="0" w:color="auto"/>
            </w:tcBorders>
            <w:shd w:val="clear" w:color="auto" w:fill="E0E0E0"/>
            <w:vAlign w:val="center"/>
          </w:tcPr>
          <w:p w14:paraId="1C434CE9"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-69,7</w:t>
            </w:r>
          </w:p>
        </w:tc>
        <w:tc>
          <w:tcPr>
            <w:tcW w:w="1645" w:type="dxa"/>
            <w:tcBorders>
              <w:bottom w:val="single" w:sz="4" w:space="0" w:color="auto"/>
            </w:tcBorders>
            <w:shd w:val="clear" w:color="auto" w:fill="E0E0E0"/>
            <w:vAlign w:val="center"/>
          </w:tcPr>
          <w:p w14:paraId="5CEA4E6D"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0,5</w:t>
            </w:r>
          </w:p>
        </w:tc>
      </w:tr>
      <w:tr w:rsidR="001360C0" w:rsidRPr="008A651D" w14:paraId="19E642D9" w14:textId="77777777" w:rsidTr="00AC0FC7">
        <w:tc>
          <w:tcPr>
            <w:tcW w:w="4693" w:type="dxa"/>
            <w:tcBorders>
              <w:bottom w:val="single" w:sz="4" w:space="0" w:color="auto"/>
            </w:tcBorders>
            <w:shd w:val="clear" w:color="auto" w:fill="D9D9D9"/>
            <w:vAlign w:val="center"/>
          </w:tcPr>
          <w:p w14:paraId="6D0966C4" w14:textId="77777777" w:rsidR="001360C0" w:rsidRPr="008A651D" w:rsidRDefault="001360C0" w:rsidP="008A651D">
            <w:pPr>
              <w:pStyle w:val="CharChar"/>
              <w:widowControl w:val="0"/>
              <w:spacing w:before="0" w:after="0" w:line="240" w:lineRule="auto"/>
              <w:ind w:firstLine="130"/>
              <w:rPr>
                <w:rFonts w:ascii="Times New Roman" w:hAnsi="Times New Roman" w:cs="Times New Roman"/>
                <w:sz w:val="22"/>
                <w:szCs w:val="22"/>
                <w:lang w:val="ru-RU"/>
              </w:rPr>
            </w:pPr>
            <w:r w:rsidRPr="008A651D">
              <w:rPr>
                <w:rFonts w:ascii="Times New Roman" w:hAnsi="Times New Roman" w:cs="Times New Roman"/>
                <w:sz w:val="22"/>
                <w:szCs w:val="22"/>
                <w:lang w:val="ru-RU"/>
              </w:rPr>
              <w:t>Прямые инвестиции</w:t>
            </w:r>
          </w:p>
        </w:tc>
        <w:tc>
          <w:tcPr>
            <w:tcW w:w="1644" w:type="dxa"/>
            <w:tcBorders>
              <w:bottom w:val="single" w:sz="4" w:space="0" w:color="auto"/>
            </w:tcBorders>
            <w:shd w:val="clear" w:color="auto" w:fill="D9D9D9"/>
            <w:vAlign w:val="center"/>
          </w:tcPr>
          <w:p w14:paraId="1CB86B4F"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14,4</w:t>
            </w:r>
          </w:p>
        </w:tc>
        <w:tc>
          <w:tcPr>
            <w:tcW w:w="1644" w:type="dxa"/>
            <w:tcBorders>
              <w:bottom w:val="single" w:sz="4" w:space="0" w:color="auto"/>
            </w:tcBorders>
            <w:shd w:val="clear" w:color="auto" w:fill="D9D9D9"/>
            <w:vAlign w:val="center"/>
          </w:tcPr>
          <w:p w14:paraId="69F98426"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1,6</w:t>
            </w:r>
          </w:p>
        </w:tc>
        <w:tc>
          <w:tcPr>
            <w:tcW w:w="1645" w:type="dxa"/>
            <w:tcBorders>
              <w:bottom w:val="single" w:sz="4" w:space="0" w:color="auto"/>
            </w:tcBorders>
            <w:shd w:val="clear" w:color="auto" w:fill="D9D9D9"/>
            <w:vAlign w:val="center"/>
          </w:tcPr>
          <w:p w14:paraId="244F8677"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6,2</w:t>
            </w:r>
          </w:p>
        </w:tc>
      </w:tr>
      <w:tr w:rsidR="001360C0" w:rsidRPr="008A651D" w14:paraId="5C65DD6A" w14:textId="77777777" w:rsidTr="00AC0FC7">
        <w:tc>
          <w:tcPr>
            <w:tcW w:w="4693" w:type="dxa"/>
            <w:tcBorders>
              <w:top w:val="nil"/>
              <w:left w:val="single" w:sz="4" w:space="0" w:color="auto"/>
              <w:bottom w:val="nil"/>
              <w:right w:val="single" w:sz="4" w:space="0" w:color="auto"/>
            </w:tcBorders>
            <w:vAlign w:val="center"/>
          </w:tcPr>
          <w:p w14:paraId="319F3A7A" w14:textId="77777777" w:rsidR="001360C0" w:rsidRPr="008A651D" w:rsidRDefault="001360C0" w:rsidP="008A651D">
            <w:pPr>
              <w:pStyle w:val="aa"/>
              <w:widowControl w:val="0"/>
              <w:spacing w:before="0" w:after="0" w:line="240" w:lineRule="auto"/>
              <w:ind w:left="382" w:hanging="98"/>
              <w:rPr>
                <w:rFonts w:ascii="Times New Roman" w:hAnsi="Times New Roman" w:cs="Times New Roman"/>
                <w:sz w:val="22"/>
                <w:szCs w:val="22"/>
              </w:rPr>
            </w:pPr>
            <w:r w:rsidRPr="008A651D">
              <w:rPr>
                <w:rFonts w:ascii="Times New Roman" w:hAnsi="Times New Roman" w:cs="Times New Roman"/>
                <w:sz w:val="22"/>
                <w:szCs w:val="22"/>
              </w:rPr>
              <w:t>-чистое приобретение финансовых активов</w:t>
            </w:r>
          </w:p>
        </w:tc>
        <w:tc>
          <w:tcPr>
            <w:tcW w:w="1644" w:type="dxa"/>
            <w:tcBorders>
              <w:top w:val="nil"/>
              <w:left w:val="single" w:sz="4" w:space="0" w:color="auto"/>
              <w:bottom w:val="nil"/>
              <w:right w:val="single" w:sz="4" w:space="0" w:color="auto"/>
            </w:tcBorders>
            <w:vAlign w:val="bottom"/>
          </w:tcPr>
          <w:p w14:paraId="44932446"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0,6</w:t>
            </w:r>
          </w:p>
        </w:tc>
        <w:tc>
          <w:tcPr>
            <w:tcW w:w="1644" w:type="dxa"/>
            <w:tcBorders>
              <w:top w:val="nil"/>
              <w:left w:val="single" w:sz="4" w:space="0" w:color="auto"/>
              <w:bottom w:val="nil"/>
              <w:right w:val="single" w:sz="4" w:space="0" w:color="auto"/>
            </w:tcBorders>
            <w:vAlign w:val="bottom"/>
          </w:tcPr>
          <w:p w14:paraId="5BE375FB"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2,5</w:t>
            </w:r>
          </w:p>
        </w:tc>
        <w:tc>
          <w:tcPr>
            <w:tcW w:w="1645" w:type="dxa"/>
            <w:tcBorders>
              <w:top w:val="nil"/>
              <w:left w:val="single" w:sz="4" w:space="0" w:color="auto"/>
              <w:bottom w:val="nil"/>
              <w:right w:val="single" w:sz="4" w:space="0" w:color="auto"/>
            </w:tcBorders>
            <w:vAlign w:val="bottom"/>
          </w:tcPr>
          <w:p w14:paraId="4032153F"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4,2</w:t>
            </w:r>
          </w:p>
        </w:tc>
      </w:tr>
      <w:tr w:rsidR="001360C0" w:rsidRPr="008A651D" w14:paraId="2EF3DD12" w14:textId="77777777" w:rsidTr="00AC0FC7">
        <w:tc>
          <w:tcPr>
            <w:tcW w:w="4693" w:type="dxa"/>
            <w:tcBorders>
              <w:top w:val="nil"/>
              <w:left w:val="single" w:sz="4" w:space="0" w:color="auto"/>
              <w:bottom w:val="single" w:sz="4" w:space="0" w:color="auto"/>
              <w:right w:val="single" w:sz="4" w:space="0" w:color="auto"/>
            </w:tcBorders>
            <w:vAlign w:val="center"/>
          </w:tcPr>
          <w:p w14:paraId="4AEC08F1" w14:textId="77777777" w:rsidR="001360C0" w:rsidRPr="008A651D" w:rsidRDefault="001360C0" w:rsidP="008A651D">
            <w:pPr>
              <w:pStyle w:val="aa"/>
              <w:widowControl w:val="0"/>
              <w:spacing w:before="0" w:after="0" w:line="240" w:lineRule="auto"/>
              <w:ind w:left="318" w:hanging="20"/>
              <w:rPr>
                <w:rFonts w:ascii="Times New Roman" w:hAnsi="Times New Roman" w:cs="Times New Roman"/>
                <w:sz w:val="22"/>
                <w:szCs w:val="22"/>
              </w:rPr>
            </w:pPr>
            <w:r w:rsidRPr="008A651D">
              <w:rPr>
                <w:rFonts w:ascii="Times New Roman" w:hAnsi="Times New Roman" w:cs="Times New Roman"/>
                <w:sz w:val="22"/>
                <w:szCs w:val="22"/>
              </w:rPr>
              <w:t>-чистое принятие обязательств</w:t>
            </w:r>
          </w:p>
        </w:tc>
        <w:tc>
          <w:tcPr>
            <w:tcW w:w="1644" w:type="dxa"/>
            <w:tcBorders>
              <w:top w:val="nil"/>
              <w:left w:val="single" w:sz="4" w:space="0" w:color="auto"/>
              <w:bottom w:val="single" w:sz="4" w:space="0" w:color="auto"/>
              <w:right w:val="single" w:sz="4" w:space="0" w:color="auto"/>
            </w:tcBorders>
            <w:vAlign w:val="bottom"/>
          </w:tcPr>
          <w:p w14:paraId="5C1FF2CB"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-13,8</w:t>
            </w:r>
          </w:p>
        </w:tc>
        <w:tc>
          <w:tcPr>
            <w:tcW w:w="1644" w:type="dxa"/>
            <w:tcBorders>
              <w:top w:val="nil"/>
              <w:left w:val="single" w:sz="4" w:space="0" w:color="auto"/>
              <w:bottom w:val="single" w:sz="4" w:space="0" w:color="auto"/>
              <w:right w:val="single" w:sz="4" w:space="0" w:color="auto"/>
            </w:tcBorders>
            <w:vAlign w:val="bottom"/>
          </w:tcPr>
          <w:p w14:paraId="50B24F81"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0,9</w:t>
            </w:r>
          </w:p>
        </w:tc>
        <w:tc>
          <w:tcPr>
            <w:tcW w:w="1645" w:type="dxa"/>
            <w:tcBorders>
              <w:top w:val="nil"/>
              <w:left w:val="single" w:sz="4" w:space="0" w:color="auto"/>
              <w:bottom w:val="single" w:sz="4" w:space="0" w:color="auto"/>
              <w:right w:val="single" w:sz="4" w:space="0" w:color="auto"/>
            </w:tcBorders>
            <w:vAlign w:val="bottom"/>
          </w:tcPr>
          <w:p w14:paraId="63A0E812"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-2,0</w:t>
            </w:r>
          </w:p>
        </w:tc>
      </w:tr>
      <w:tr w:rsidR="001360C0" w:rsidRPr="008A651D" w14:paraId="2E531FF4" w14:textId="77777777" w:rsidTr="00AC0FC7">
        <w:trPr>
          <w:trHeight w:val="336"/>
        </w:trPr>
        <w:tc>
          <w:tcPr>
            <w:tcW w:w="4693" w:type="dxa"/>
            <w:tcBorders>
              <w:top w:val="single" w:sz="4" w:space="0" w:color="auto"/>
              <w:bottom w:val="single" w:sz="4" w:space="0" w:color="auto"/>
            </w:tcBorders>
            <w:shd w:val="clear" w:color="auto" w:fill="D9D9D9"/>
            <w:vAlign w:val="center"/>
          </w:tcPr>
          <w:p w14:paraId="5C74CFE8" w14:textId="77777777" w:rsidR="001360C0" w:rsidRPr="008A651D" w:rsidRDefault="001360C0" w:rsidP="008A651D">
            <w:pPr>
              <w:pStyle w:val="aa"/>
              <w:widowControl w:val="0"/>
              <w:spacing w:before="0" w:after="0" w:line="240" w:lineRule="auto"/>
              <w:ind w:firstLine="130"/>
              <w:rPr>
                <w:rFonts w:ascii="Times New Roman" w:hAnsi="Times New Roman" w:cs="Times New Roman"/>
                <w:sz w:val="22"/>
                <w:szCs w:val="22"/>
              </w:rPr>
            </w:pPr>
            <w:r w:rsidRPr="008A651D">
              <w:rPr>
                <w:rFonts w:ascii="Times New Roman" w:hAnsi="Times New Roman" w:cs="Times New Roman"/>
                <w:sz w:val="22"/>
                <w:szCs w:val="22"/>
              </w:rPr>
              <w:t xml:space="preserve">Портфельные инвестиции </w:t>
            </w:r>
          </w:p>
        </w:tc>
        <w:tc>
          <w:tcPr>
            <w:tcW w:w="1644" w:type="dxa"/>
            <w:tcBorders>
              <w:top w:val="single" w:sz="4" w:space="0" w:color="auto"/>
              <w:bottom w:val="single" w:sz="4" w:space="0" w:color="auto"/>
            </w:tcBorders>
            <w:shd w:val="clear" w:color="auto" w:fill="D9D9D9"/>
            <w:vAlign w:val="center"/>
          </w:tcPr>
          <w:p w14:paraId="0858E55B" w14:textId="77777777" w:rsidR="001360C0" w:rsidRPr="008A651D" w:rsidRDefault="00BA575F"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0,0</w:t>
            </w:r>
          </w:p>
        </w:tc>
        <w:tc>
          <w:tcPr>
            <w:tcW w:w="1644" w:type="dxa"/>
            <w:tcBorders>
              <w:top w:val="single" w:sz="4" w:space="0" w:color="auto"/>
              <w:bottom w:val="single" w:sz="4" w:space="0" w:color="auto"/>
            </w:tcBorders>
            <w:shd w:val="clear" w:color="auto" w:fill="D9D9D9"/>
            <w:vAlign w:val="center"/>
          </w:tcPr>
          <w:p w14:paraId="55638104" w14:textId="77777777" w:rsidR="001360C0" w:rsidRPr="008A651D" w:rsidRDefault="00BA575F"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0,0</w:t>
            </w:r>
          </w:p>
        </w:tc>
        <w:tc>
          <w:tcPr>
            <w:tcW w:w="1645" w:type="dxa"/>
            <w:tcBorders>
              <w:top w:val="single" w:sz="4" w:space="0" w:color="auto"/>
              <w:bottom w:val="single" w:sz="4" w:space="0" w:color="auto"/>
            </w:tcBorders>
            <w:shd w:val="clear" w:color="auto" w:fill="D9D9D9"/>
            <w:vAlign w:val="center"/>
          </w:tcPr>
          <w:p w14:paraId="65594FB1" w14:textId="77777777" w:rsidR="001360C0" w:rsidRPr="008A651D" w:rsidRDefault="00BA575F"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-0,0</w:t>
            </w:r>
          </w:p>
        </w:tc>
      </w:tr>
      <w:tr w:rsidR="001360C0" w:rsidRPr="008A651D" w14:paraId="4519CE56" w14:textId="77777777" w:rsidTr="00AC0FC7">
        <w:tc>
          <w:tcPr>
            <w:tcW w:w="4693" w:type="dxa"/>
            <w:tcBorders>
              <w:top w:val="single" w:sz="4" w:space="0" w:color="auto"/>
              <w:left w:val="single" w:sz="4" w:space="0" w:color="auto"/>
              <w:bottom w:val="nil"/>
              <w:right w:val="single" w:sz="4" w:space="0" w:color="auto"/>
            </w:tcBorders>
            <w:vAlign w:val="center"/>
          </w:tcPr>
          <w:p w14:paraId="45FDA7A3" w14:textId="77777777" w:rsidR="001360C0" w:rsidRPr="008A651D" w:rsidRDefault="001360C0" w:rsidP="008A651D">
            <w:pPr>
              <w:pStyle w:val="aa"/>
              <w:widowControl w:val="0"/>
              <w:spacing w:before="0" w:after="0" w:line="240" w:lineRule="auto"/>
              <w:ind w:left="396" w:hanging="84"/>
              <w:rPr>
                <w:rFonts w:ascii="Times New Roman" w:hAnsi="Times New Roman" w:cs="Times New Roman"/>
                <w:sz w:val="22"/>
                <w:szCs w:val="22"/>
              </w:rPr>
            </w:pPr>
            <w:r w:rsidRPr="008A651D">
              <w:rPr>
                <w:rFonts w:ascii="Times New Roman" w:hAnsi="Times New Roman" w:cs="Times New Roman"/>
                <w:sz w:val="22"/>
                <w:szCs w:val="22"/>
              </w:rPr>
              <w:t>-чистое приобретение финансовых активов</w:t>
            </w:r>
          </w:p>
        </w:tc>
        <w:tc>
          <w:tcPr>
            <w:tcW w:w="1644" w:type="dxa"/>
            <w:tcBorders>
              <w:top w:val="single" w:sz="4" w:space="0" w:color="auto"/>
              <w:left w:val="nil"/>
              <w:bottom w:val="nil"/>
              <w:right w:val="single" w:sz="4" w:space="0" w:color="auto"/>
            </w:tcBorders>
            <w:vAlign w:val="bottom"/>
          </w:tcPr>
          <w:p w14:paraId="2F14E372"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0,0</w:t>
            </w:r>
          </w:p>
        </w:tc>
        <w:tc>
          <w:tcPr>
            <w:tcW w:w="1644" w:type="dxa"/>
            <w:tcBorders>
              <w:top w:val="single" w:sz="4" w:space="0" w:color="auto"/>
              <w:left w:val="single" w:sz="4" w:space="0" w:color="auto"/>
              <w:bottom w:val="nil"/>
              <w:right w:val="single" w:sz="4" w:space="0" w:color="auto"/>
            </w:tcBorders>
            <w:vAlign w:val="bottom"/>
          </w:tcPr>
          <w:p w14:paraId="4F664DFA"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0,0</w:t>
            </w:r>
          </w:p>
        </w:tc>
        <w:tc>
          <w:tcPr>
            <w:tcW w:w="1645" w:type="dxa"/>
            <w:tcBorders>
              <w:top w:val="single" w:sz="4" w:space="0" w:color="auto"/>
              <w:left w:val="nil"/>
              <w:bottom w:val="nil"/>
              <w:right w:val="single" w:sz="4" w:space="0" w:color="auto"/>
            </w:tcBorders>
            <w:vAlign w:val="bottom"/>
          </w:tcPr>
          <w:p w14:paraId="22CA4730"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-0,0</w:t>
            </w:r>
          </w:p>
        </w:tc>
      </w:tr>
      <w:tr w:rsidR="001360C0" w:rsidRPr="008A651D" w14:paraId="008DC4BB" w14:textId="77777777" w:rsidTr="00AC0FC7">
        <w:tc>
          <w:tcPr>
            <w:tcW w:w="4693" w:type="dxa"/>
            <w:tcBorders>
              <w:top w:val="nil"/>
              <w:left w:val="single" w:sz="4" w:space="0" w:color="auto"/>
              <w:bottom w:val="single" w:sz="4" w:space="0" w:color="auto"/>
              <w:right w:val="single" w:sz="4" w:space="0" w:color="auto"/>
            </w:tcBorders>
            <w:vAlign w:val="center"/>
          </w:tcPr>
          <w:p w14:paraId="0A0D812D" w14:textId="77777777" w:rsidR="001360C0" w:rsidRPr="008A651D" w:rsidRDefault="001360C0" w:rsidP="008A651D">
            <w:pPr>
              <w:pStyle w:val="aa"/>
              <w:widowControl w:val="0"/>
              <w:spacing w:before="0" w:after="0" w:line="240" w:lineRule="auto"/>
              <w:ind w:left="396" w:hanging="84"/>
              <w:rPr>
                <w:rFonts w:ascii="Times New Roman" w:hAnsi="Times New Roman" w:cs="Times New Roman"/>
                <w:sz w:val="22"/>
                <w:szCs w:val="22"/>
              </w:rPr>
            </w:pPr>
            <w:r w:rsidRPr="008A651D">
              <w:rPr>
                <w:rFonts w:ascii="Times New Roman" w:hAnsi="Times New Roman" w:cs="Times New Roman"/>
                <w:sz w:val="22"/>
                <w:szCs w:val="22"/>
              </w:rPr>
              <w:t>-чистое принятие обязательств</w:t>
            </w:r>
          </w:p>
        </w:tc>
        <w:tc>
          <w:tcPr>
            <w:tcW w:w="1644" w:type="dxa"/>
            <w:tcBorders>
              <w:top w:val="nil"/>
              <w:left w:val="nil"/>
              <w:bottom w:val="single" w:sz="4" w:space="0" w:color="auto"/>
              <w:right w:val="single" w:sz="4" w:space="0" w:color="auto"/>
            </w:tcBorders>
            <w:vAlign w:val="bottom"/>
          </w:tcPr>
          <w:p w14:paraId="43215D36"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0,0</w:t>
            </w:r>
          </w:p>
        </w:tc>
        <w:tc>
          <w:tcPr>
            <w:tcW w:w="1644" w:type="dxa"/>
            <w:tcBorders>
              <w:top w:val="nil"/>
              <w:left w:val="single" w:sz="4" w:space="0" w:color="auto"/>
              <w:bottom w:val="single" w:sz="4" w:space="0" w:color="auto"/>
              <w:right w:val="single" w:sz="4" w:space="0" w:color="auto"/>
            </w:tcBorders>
            <w:vAlign w:val="bottom"/>
          </w:tcPr>
          <w:p w14:paraId="7201AD7E"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0,0</w:t>
            </w:r>
          </w:p>
        </w:tc>
        <w:tc>
          <w:tcPr>
            <w:tcW w:w="1645" w:type="dxa"/>
            <w:tcBorders>
              <w:top w:val="nil"/>
              <w:left w:val="nil"/>
              <w:bottom w:val="single" w:sz="4" w:space="0" w:color="auto"/>
              <w:right w:val="single" w:sz="4" w:space="0" w:color="auto"/>
            </w:tcBorders>
            <w:vAlign w:val="bottom"/>
          </w:tcPr>
          <w:p w14:paraId="4569A28D"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0,0</w:t>
            </w:r>
          </w:p>
        </w:tc>
      </w:tr>
      <w:tr w:rsidR="001360C0" w:rsidRPr="008A651D" w14:paraId="2B02447C" w14:textId="77777777" w:rsidTr="00AC0FC7">
        <w:trPr>
          <w:trHeight w:val="322"/>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59C0F4AD" w14:textId="77777777" w:rsidR="001360C0" w:rsidRPr="008A651D" w:rsidRDefault="001360C0" w:rsidP="008A651D">
            <w:pPr>
              <w:pStyle w:val="aa"/>
              <w:widowControl w:val="0"/>
              <w:spacing w:before="0" w:after="0" w:line="240" w:lineRule="auto"/>
              <w:ind w:left="318" w:hanging="174"/>
              <w:rPr>
                <w:rFonts w:ascii="Times New Roman" w:hAnsi="Times New Roman" w:cs="Times New Roman"/>
                <w:sz w:val="22"/>
                <w:szCs w:val="22"/>
              </w:rPr>
            </w:pPr>
            <w:r w:rsidRPr="008A651D">
              <w:rPr>
                <w:rFonts w:ascii="Times New Roman" w:hAnsi="Times New Roman" w:cs="Times New Roman"/>
                <w:sz w:val="22"/>
                <w:szCs w:val="22"/>
              </w:rPr>
              <w:t>Другие инвестиции</w:t>
            </w:r>
          </w:p>
        </w:tc>
        <w:tc>
          <w:tcPr>
            <w:tcW w:w="1644" w:type="dxa"/>
            <w:tcBorders>
              <w:top w:val="single" w:sz="4" w:space="0" w:color="auto"/>
              <w:left w:val="nil"/>
              <w:bottom w:val="single" w:sz="4" w:space="0" w:color="auto"/>
              <w:right w:val="single" w:sz="4" w:space="0" w:color="auto"/>
            </w:tcBorders>
            <w:shd w:val="clear" w:color="auto" w:fill="D9D9D9"/>
            <w:vAlign w:val="center"/>
          </w:tcPr>
          <w:p w14:paraId="5A777A46"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-90,0</w:t>
            </w:r>
          </w:p>
        </w:tc>
        <w:tc>
          <w:tcPr>
            <w:tcW w:w="1644" w:type="dxa"/>
            <w:tcBorders>
              <w:top w:val="single" w:sz="4" w:space="0" w:color="auto"/>
              <w:left w:val="single" w:sz="4" w:space="0" w:color="auto"/>
              <w:bottom w:val="single" w:sz="4" w:space="0" w:color="auto"/>
              <w:right w:val="single" w:sz="4" w:space="0" w:color="auto"/>
            </w:tcBorders>
            <w:shd w:val="clear" w:color="auto" w:fill="D9D9D9"/>
            <w:vAlign w:val="center"/>
          </w:tcPr>
          <w:p w14:paraId="349AA42D"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-73,1</w:t>
            </w:r>
          </w:p>
        </w:tc>
        <w:tc>
          <w:tcPr>
            <w:tcW w:w="1645" w:type="dxa"/>
            <w:tcBorders>
              <w:top w:val="single" w:sz="4" w:space="0" w:color="auto"/>
              <w:left w:val="nil"/>
              <w:bottom w:val="single" w:sz="4" w:space="0" w:color="auto"/>
              <w:right w:val="single" w:sz="4" w:space="0" w:color="auto"/>
            </w:tcBorders>
            <w:shd w:val="clear" w:color="auto" w:fill="D9D9D9"/>
            <w:vAlign w:val="center"/>
          </w:tcPr>
          <w:p w14:paraId="2B991689"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-37,1</w:t>
            </w:r>
          </w:p>
        </w:tc>
      </w:tr>
      <w:tr w:rsidR="001360C0" w:rsidRPr="008A651D" w14:paraId="24326C5F" w14:textId="77777777" w:rsidTr="00AC0FC7">
        <w:tc>
          <w:tcPr>
            <w:tcW w:w="4693" w:type="dxa"/>
            <w:tcBorders>
              <w:top w:val="single" w:sz="4" w:space="0" w:color="auto"/>
              <w:left w:val="single" w:sz="4" w:space="0" w:color="auto"/>
              <w:bottom w:val="nil"/>
              <w:right w:val="single" w:sz="4" w:space="0" w:color="auto"/>
            </w:tcBorders>
            <w:vAlign w:val="center"/>
          </w:tcPr>
          <w:p w14:paraId="110A242A" w14:textId="77777777" w:rsidR="001360C0" w:rsidRPr="008A651D" w:rsidRDefault="001360C0" w:rsidP="008A651D">
            <w:pPr>
              <w:pStyle w:val="aa"/>
              <w:widowControl w:val="0"/>
              <w:spacing w:before="0" w:after="0" w:line="240" w:lineRule="auto"/>
              <w:ind w:left="396" w:hanging="84"/>
              <w:rPr>
                <w:rFonts w:ascii="Times New Roman" w:hAnsi="Times New Roman" w:cs="Times New Roman"/>
                <w:sz w:val="22"/>
                <w:szCs w:val="22"/>
              </w:rPr>
            </w:pPr>
            <w:r w:rsidRPr="008A651D">
              <w:rPr>
                <w:rFonts w:ascii="Times New Roman" w:hAnsi="Times New Roman" w:cs="Times New Roman"/>
                <w:sz w:val="22"/>
                <w:szCs w:val="22"/>
              </w:rPr>
              <w:t>-чистое приобретение финансовых активов</w:t>
            </w:r>
          </w:p>
        </w:tc>
        <w:tc>
          <w:tcPr>
            <w:tcW w:w="1644" w:type="dxa"/>
            <w:tcBorders>
              <w:top w:val="single" w:sz="4" w:space="0" w:color="auto"/>
              <w:left w:val="nil"/>
              <w:bottom w:val="nil"/>
              <w:right w:val="single" w:sz="4" w:space="0" w:color="auto"/>
            </w:tcBorders>
            <w:vAlign w:val="bottom"/>
          </w:tcPr>
          <w:p w14:paraId="4D1A0DF0"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-29,9</w:t>
            </w:r>
          </w:p>
        </w:tc>
        <w:tc>
          <w:tcPr>
            <w:tcW w:w="1644" w:type="dxa"/>
            <w:tcBorders>
              <w:top w:val="single" w:sz="4" w:space="0" w:color="auto"/>
              <w:left w:val="single" w:sz="4" w:space="0" w:color="auto"/>
              <w:bottom w:val="nil"/>
              <w:right w:val="single" w:sz="4" w:space="0" w:color="auto"/>
            </w:tcBorders>
            <w:vAlign w:val="bottom"/>
          </w:tcPr>
          <w:p w14:paraId="7B95903E"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-45,0</w:t>
            </w:r>
          </w:p>
        </w:tc>
        <w:tc>
          <w:tcPr>
            <w:tcW w:w="1645" w:type="dxa"/>
            <w:tcBorders>
              <w:top w:val="single" w:sz="4" w:space="0" w:color="auto"/>
              <w:left w:val="nil"/>
              <w:bottom w:val="nil"/>
              <w:right w:val="single" w:sz="4" w:space="0" w:color="auto"/>
            </w:tcBorders>
            <w:vAlign w:val="bottom"/>
          </w:tcPr>
          <w:p w14:paraId="33CB957B"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-49,8</w:t>
            </w:r>
          </w:p>
        </w:tc>
      </w:tr>
      <w:tr w:rsidR="001360C0" w:rsidRPr="008A651D" w14:paraId="63C7FC81" w14:textId="77777777" w:rsidTr="00AC0FC7">
        <w:tc>
          <w:tcPr>
            <w:tcW w:w="4693" w:type="dxa"/>
            <w:tcBorders>
              <w:top w:val="nil"/>
              <w:left w:val="single" w:sz="4" w:space="0" w:color="auto"/>
              <w:bottom w:val="nil"/>
              <w:right w:val="single" w:sz="4" w:space="0" w:color="auto"/>
            </w:tcBorders>
            <w:vAlign w:val="center"/>
          </w:tcPr>
          <w:p w14:paraId="3D744670" w14:textId="77777777" w:rsidR="001360C0" w:rsidRPr="008A651D" w:rsidRDefault="001360C0" w:rsidP="008A651D">
            <w:pPr>
              <w:pStyle w:val="aa"/>
              <w:widowControl w:val="0"/>
              <w:spacing w:before="0" w:after="0" w:line="240" w:lineRule="auto"/>
              <w:ind w:left="396" w:hanging="84"/>
              <w:rPr>
                <w:rFonts w:ascii="Times New Roman" w:hAnsi="Times New Roman" w:cs="Times New Roman"/>
                <w:sz w:val="22"/>
                <w:szCs w:val="22"/>
              </w:rPr>
            </w:pPr>
            <w:r w:rsidRPr="008A651D">
              <w:rPr>
                <w:rFonts w:ascii="Times New Roman" w:hAnsi="Times New Roman" w:cs="Times New Roman"/>
                <w:sz w:val="22"/>
                <w:szCs w:val="22"/>
              </w:rPr>
              <w:t>-чистое приобретение обязательств</w:t>
            </w:r>
          </w:p>
        </w:tc>
        <w:tc>
          <w:tcPr>
            <w:tcW w:w="1644" w:type="dxa"/>
            <w:tcBorders>
              <w:top w:val="nil"/>
              <w:left w:val="nil"/>
              <w:bottom w:val="nil"/>
              <w:right w:val="single" w:sz="4" w:space="0" w:color="auto"/>
            </w:tcBorders>
            <w:vAlign w:val="bottom"/>
          </w:tcPr>
          <w:p w14:paraId="30BF0CEE"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60,1</w:t>
            </w:r>
          </w:p>
        </w:tc>
        <w:tc>
          <w:tcPr>
            <w:tcW w:w="1644" w:type="dxa"/>
            <w:tcBorders>
              <w:top w:val="nil"/>
              <w:left w:val="single" w:sz="4" w:space="0" w:color="auto"/>
              <w:bottom w:val="nil"/>
              <w:right w:val="single" w:sz="4" w:space="0" w:color="auto"/>
            </w:tcBorders>
            <w:vAlign w:val="bottom"/>
          </w:tcPr>
          <w:p w14:paraId="2C5FE2ED"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28,1</w:t>
            </w:r>
          </w:p>
        </w:tc>
        <w:tc>
          <w:tcPr>
            <w:tcW w:w="1645" w:type="dxa"/>
            <w:tcBorders>
              <w:top w:val="nil"/>
              <w:left w:val="nil"/>
              <w:bottom w:val="nil"/>
              <w:right w:val="single" w:sz="4" w:space="0" w:color="auto"/>
            </w:tcBorders>
            <w:vAlign w:val="bottom"/>
          </w:tcPr>
          <w:p w14:paraId="7591571D"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-12,7</w:t>
            </w:r>
          </w:p>
        </w:tc>
      </w:tr>
      <w:tr w:rsidR="001360C0" w:rsidRPr="008A651D" w14:paraId="52A9FB08" w14:textId="77777777" w:rsidTr="00AC0FC7">
        <w:trPr>
          <w:trHeight w:val="331"/>
        </w:trPr>
        <w:tc>
          <w:tcPr>
            <w:tcW w:w="4693" w:type="dxa"/>
            <w:tcBorders>
              <w:top w:val="single" w:sz="4" w:space="0" w:color="auto"/>
              <w:bottom w:val="single" w:sz="4" w:space="0" w:color="auto"/>
            </w:tcBorders>
            <w:shd w:val="clear" w:color="auto" w:fill="E0E0E0"/>
            <w:vAlign w:val="center"/>
          </w:tcPr>
          <w:p w14:paraId="0A2EBC34" w14:textId="77777777" w:rsidR="001360C0" w:rsidRPr="008A651D" w:rsidRDefault="001360C0" w:rsidP="008A651D">
            <w:pPr>
              <w:pStyle w:val="aa"/>
              <w:widowControl w:val="0"/>
              <w:spacing w:before="0" w:after="0" w:line="240" w:lineRule="auto"/>
              <w:ind w:firstLine="158"/>
              <w:jc w:val="both"/>
              <w:rPr>
                <w:rFonts w:ascii="Times New Roman" w:hAnsi="Times New Roman" w:cs="Times New Roman"/>
                <w:sz w:val="22"/>
                <w:szCs w:val="22"/>
              </w:rPr>
            </w:pPr>
            <w:r w:rsidRPr="008A651D">
              <w:rPr>
                <w:rFonts w:ascii="Times New Roman" w:hAnsi="Times New Roman" w:cs="Times New Roman"/>
                <w:sz w:val="22"/>
                <w:szCs w:val="22"/>
              </w:rPr>
              <w:t>Валютные активы</w:t>
            </w:r>
            <w:r w:rsidRPr="008A651D">
              <w:rPr>
                <w:rFonts w:ascii="Times New Roman" w:hAnsi="Times New Roman" w:cs="Times New Roman"/>
                <w:sz w:val="22"/>
                <w:szCs w:val="22"/>
                <w:lang w:val="en-US"/>
              </w:rPr>
              <w:t xml:space="preserve"> </w:t>
            </w:r>
            <w:r w:rsidRPr="008A651D">
              <w:rPr>
                <w:rFonts w:ascii="Times New Roman" w:hAnsi="Times New Roman" w:cs="Times New Roman"/>
                <w:sz w:val="22"/>
                <w:szCs w:val="22"/>
              </w:rPr>
              <w:t>центрального банка</w:t>
            </w:r>
          </w:p>
        </w:tc>
        <w:tc>
          <w:tcPr>
            <w:tcW w:w="1644" w:type="dxa"/>
            <w:tcBorders>
              <w:top w:val="single" w:sz="4" w:space="0" w:color="auto"/>
              <w:bottom w:val="single" w:sz="4" w:space="0" w:color="auto"/>
            </w:tcBorders>
            <w:shd w:val="clear" w:color="auto" w:fill="E0E0E0"/>
            <w:vAlign w:val="center"/>
          </w:tcPr>
          <w:p w14:paraId="3DF6DA7A"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13,1</w:t>
            </w:r>
          </w:p>
        </w:tc>
        <w:tc>
          <w:tcPr>
            <w:tcW w:w="1644" w:type="dxa"/>
            <w:tcBorders>
              <w:top w:val="single" w:sz="4" w:space="0" w:color="auto"/>
              <w:bottom w:val="single" w:sz="4" w:space="0" w:color="auto"/>
            </w:tcBorders>
            <w:shd w:val="clear" w:color="auto" w:fill="E0E0E0"/>
            <w:vAlign w:val="center"/>
          </w:tcPr>
          <w:p w14:paraId="42284E04"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1,8</w:t>
            </w:r>
          </w:p>
        </w:tc>
        <w:tc>
          <w:tcPr>
            <w:tcW w:w="1645" w:type="dxa"/>
            <w:tcBorders>
              <w:top w:val="single" w:sz="4" w:space="0" w:color="auto"/>
              <w:bottom w:val="single" w:sz="4" w:space="0" w:color="auto"/>
            </w:tcBorders>
            <w:shd w:val="clear" w:color="auto" w:fill="E0E0E0"/>
            <w:vAlign w:val="center"/>
          </w:tcPr>
          <w:p w14:paraId="1F45C52C"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31,5</w:t>
            </w:r>
          </w:p>
        </w:tc>
      </w:tr>
      <w:tr w:rsidR="001360C0" w:rsidRPr="008A651D" w14:paraId="53B25813" w14:textId="77777777" w:rsidTr="00AC0FC7">
        <w:trPr>
          <w:trHeight w:val="337"/>
        </w:trPr>
        <w:tc>
          <w:tcPr>
            <w:tcW w:w="4693" w:type="dxa"/>
            <w:tcBorders>
              <w:bottom w:val="single" w:sz="4" w:space="0" w:color="auto"/>
            </w:tcBorders>
            <w:shd w:val="clear" w:color="auto" w:fill="D9D9D9"/>
            <w:vAlign w:val="center"/>
          </w:tcPr>
          <w:p w14:paraId="5E1037C6" w14:textId="77777777" w:rsidR="001360C0" w:rsidRPr="008A651D" w:rsidRDefault="001360C0" w:rsidP="008A651D">
            <w:pPr>
              <w:pStyle w:val="aa"/>
              <w:widowControl w:val="0"/>
              <w:spacing w:before="0" w:after="0" w:line="240" w:lineRule="auto"/>
              <w:ind w:firstLine="32"/>
              <w:rPr>
                <w:rFonts w:ascii="Times New Roman" w:hAnsi="Times New Roman" w:cs="Times New Roman"/>
                <w:sz w:val="22"/>
                <w:szCs w:val="22"/>
              </w:rPr>
            </w:pPr>
            <w:r w:rsidRPr="008A651D">
              <w:rPr>
                <w:rFonts w:ascii="Times New Roman" w:hAnsi="Times New Roman" w:cs="Times New Roman"/>
                <w:sz w:val="22"/>
                <w:szCs w:val="22"/>
              </w:rPr>
              <w:t>4. СТАТИСТИЧЕСКИЕ РАСХОЖДЕНИЯ</w:t>
            </w:r>
          </w:p>
        </w:tc>
        <w:tc>
          <w:tcPr>
            <w:tcW w:w="1644" w:type="dxa"/>
            <w:tcBorders>
              <w:bottom w:val="single" w:sz="4" w:space="0" w:color="auto"/>
            </w:tcBorders>
            <w:shd w:val="clear" w:color="auto" w:fill="D9D9D9"/>
            <w:vAlign w:val="center"/>
          </w:tcPr>
          <w:p w14:paraId="2F3886EA" w14:textId="77777777" w:rsidR="001360C0" w:rsidRPr="008A651D" w:rsidRDefault="00E02A4A"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-15,9</w:t>
            </w:r>
          </w:p>
        </w:tc>
        <w:tc>
          <w:tcPr>
            <w:tcW w:w="1644" w:type="dxa"/>
            <w:tcBorders>
              <w:bottom w:val="single" w:sz="4" w:space="0" w:color="auto"/>
            </w:tcBorders>
            <w:shd w:val="clear" w:color="auto" w:fill="D9D9D9"/>
            <w:vAlign w:val="center"/>
          </w:tcPr>
          <w:p w14:paraId="269C8CA3" w14:textId="77777777" w:rsidR="001360C0" w:rsidRPr="008A651D" w:rsidRDefault="00E02A4A"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-25,4</w:t>
            </w:r>
          </w:p>
        </w:tc>
        <w:tc>
          <w:tcPr>
            <w:tcW w:w="1645" w:type="dxa"/>
            <w:tcBorders>
              <w:bottom w:val="single" w:sz="4" w:space="0" w:color="auto"/>
            </w:tcBorders>
            <w:shd w:val="clear" w:color="auto" w:fill="D9D9D9"/>
            <w:vAlign w:val="center"/>
          </w:tcPr>
          <w:p w14:paraId="5ECC0395" w14:textId="77777777" w:rsidR="001360C0" w:rsidRPr="008A651D" w:rsidRDefault="00E02A4A"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6,0</w:t>
            </w:r>
          </w:p>
        </w:tc>
      </w:tr>
    </w:tbl>
    <w:p w14:paraId="42A4D70D" w14:textId="77777777" w:rsidR="009E2CDB" w:rsidRPr="009E2CDB" w:rsidRDefault="009E2CDB" w:rsidP="005F4E3E">
      <w:pPr>
        <w:pStyle w:val="Iauiue"/>
        <w:spacing w:before="120" w:after="0" w:line="240" w:lineRule="auto"/>
        <w:ind w:firstLine="425"/>
        <w:jc w:val="both"/>
        <w:rPr>
          <w:rFonts w:ascii="Times New Roman" w:hAnsi="Times New Roman" w:cs="Times New Roman"/>
          <w:sz w:val="24"/>
          <w:szCs w:val="24"/>
        </w:rPr>
      </w:pPr>
      <w:r w:rsidRPr="009E2CDB">
        <w:rPr>
          <w:rFonts w:ascii="Times New Roman" w:hAnsi="Times New Roman" w:cs="Times New Roman"/>
          <w:sz w:val="24"/>
          <w:szCs w:val="24"/>
        </w:rPr>
        <w:t xml:space="preserve">Согласно методике платёжного баланса, импорт товаров уменьшился на 1,9% и сложился на уровне 1 203,1 млн долл. В региональном разрезе фиксировалось сокращение стоимости товаров, купленных в странах СНГ (-6,6%, до 910,0 млн долл.), и её рост при импорте из государств дальнего зарубежья (+16,1%, до 293,1 млн долл.). </w:t>
      </w:r>
    </w:p>
    <w:p w14:paraId="7FF63825" w14:textId="19EEF6D1" w:rsidR="00E02A4A" w:rsidRPr="00E02A4A" w:rsidRDefault="00E02A4A" w:rsidP="009E2CDB">
      <w:pPr>
        <w:pStyle w:val="CharChar"/>
        <w:spacing w:before="0" w:after="0" w:line="240" w:lineRule="auto"/>
        <w:ind w:firstLine="425"/>
        <w:jc w:val="both"/>
        <w:rPr>
          <w:rFonts w:ascii="Times New Roman" w:hAnsi="Times New Roman" w:cs="Times New Roman"/>
          <w:sz w:val="24"/>
          <w:szCs w:val="24"/>
          <w:lang w:val="ru-RU" w:eastAsia="ru-RU"/>
        </w:rPr>
      </w:pPr>
      <w:r w:rsidRPr="009E2CDB">
        <w:rPr>
          <w:rFonts w:ascii="Times New Roman" w:hAnsi="Times New Roman" w:cs="Times New Roman"/>
          <w:sz w:val="24"/>
          <w:szCs w:val="24"/>
          <w:lang w:val="ru-RU" w:eastAsia="ru-RU"/>
        </w:rPr>
        <w:t>Отрицательное сальдо баланса услуг, превысив</w:t>
      </w:r>
      <w:r w:rsidRPr="00E02A4A">
        <w:rPr>
          <w:rFonts w:ascii="Times New Roman" w:hAnsi="Times New Roman" w:cs="Times New Roman"/>
          <w:sz w:val="24"/>
          <w:szCs w:val="24"/>
          <w:lang w:val="ru-RU" w:eastAsia="ru-RU"/>
        </w:rPr>
        <w:t xml:space="preserve"> в 2,0 раза показатель 2018 года, сложилось на отметке -37,1 млн долл. Его расширение стало результатом смены профицита на дефицит сальдо в части операций с резидентами СНГ (с +0,2 млн долл. до -18,0 млн долл.). Пассивное сальдо по сделкам с контрагентами из дальнего зарубежья зафиксировано в пределах, близких к базисным параметрам – 19,1 млн долл. (-0,3%). Экспорт услуг составил 55,8 млн долл., </w:t>
      </w:r>
      <w:r w:rsidRPr="00E02A4A">
        <w:rPr>
          <w:rFonts w:ascii="Times New Roman" w:hAnsi="Times New Roman" w:cs="Times New Roman"/>
          <w:sz w:val="24"/>
          <w:szCs w:val="24"/>
          <w:lang w:val="ru-RU" w:eastAsia="ru-RU"/>
        </w:rPr>
        <w:lastRenderedPageBreak/>
        <w:t>уступив 23,1% отметке 2018 года.</w:t>
      </w:r>
      <w:r>
        <w:rPr>
          <w:rFonts w:ascii="Times New Roman" w:hAnsi="Times New Roman" w:cs="Times New Roman"/>
          <w:sz w:val="24"/>
          <w:szCs w:val="24"/>
          <w:lang w:val="ru-RU" w:eastAsia="ru-RU"/>
        </w:rPr>
        <w:t xml:space="preserve"> </w:t>
      </w:r>
      <w:r w:rsidRPr="00E02A4A">
        <w:rPr>
          <w:rFonts w:ascii="Times New Roman" w:hAnsi="Times New Roman" w:cs="Times New Roman"/>
          <w:sz w:val="24"/>
          <w:szCs w:val="24"/>
          <w:lang w:val="ru-RU" w:eastAsia="ru-RU"/>
        </w:rPr>
        <w:t xml:space="preserve">Импорт услуг, напротив, увеличился на 1,4%, до </w:t>
      </w:r>
      <w:r w:rsidR="00683E52">
        <w:rPr>
          <w:rFonts w:ascii="Times New Roman" w:hAnsi="Times New Roman" w:cs="Times New Roman"/>
          <w:sz w:val="24"/>
          <w:szCs w:val="24"/>
          <w:lang w:val="ru-RU" w:eastAsia="ru-RU"/>
        </w:rPr>
        <w:br/>
      </w:r>
      <w:r w:rsidRPr="00E02A4A">
        <w:rPr>
          <w:rFonts w:ascii="Times New Roman" w:hAnsi="Times New Roman" w:cs="Times New Roman"/>
          <w:sz w:val="24"/>
          <w:szCs w:val="24"/>
          <w:lang w:val="ru-RU" w:eastAsia="ru-RU"/>
        </w:rPr>
        <w:t>92,9 млн долл.</w:t>
      </w:r>
    </w:p>
    <w:p w14:paraId="23D4EC43" w14:textId="77777777" w:rsidR="00E02A4A" w:rsidRPr="00E02A4A" w:rsidRDefault="00E02A4A" w:rsidP="00E02A4A">
      <w:pPr>
        <w:widowControl w:val="0"/>
        <w:spacing w:before="0" w:after="0" w:line="240" w:lineRule="auto"/>
        <w:ind w:firstLine="425"/>
        <w:jc w:val="both"/>
        <w:rPr>
          <w:rFonts w:ascii="Times New Roman" w:hAnsi="Times New Roman" w:cs="Times New Roman"/>
          <w:sz w:val="24"/>
          <w:szCs w:val="24"/>
        </w:rPr>
      </w:pPr>
      <w:r w:rsidRPr="00E02A4A">
        <w:rPr>
          <w:rFonts w:ascii="Times New Roman" w:hAnsi="Times New Roman" w:cs="Times New Roman"/>
          <w:sz w:val="24"/>
          <w:szCs w:val="24"/>
        </w:rPr>
        <w:t xml:space="preserve">Дефицит баланса первичных доходов, среди которых оплата труда, инвестиционные доходы, процентные платежи по займам и дивидендам, составил -42,0 млн долл. против </w:t>
      </w:r>
      <w:r>
        <w:rPr>
          <w:rFonts w:ascii="Times New Roman" w:hAnsi="Times New Roman" w:cs="Times New Roman"/>
          <w:sz w:val="24"/>
          <w:szCs w:val="24"/>
        </w:rPr>
        <w:br/>
      </w:r>
      <w:r w:rsidRPr="00E02A4A">
        <w:rPr>
          <w:rFonts w:ascii="Times New Roman" w:hAnsi="Times New Roman" w:cs="Times New Roman"/>
          <w:sz w:val="24"/>
          <w:szCs w:val="24"/>
        </w:rPr>
        <w:t xml:space="preserve">-32,2 млн долл. годом ранее. Доходы, начисленные к выплате резидентам, расширились на 5,2%, до 10,9 млн долл. Объём средств, направленных нерезидентам в рамках данного баланса, возрос на 24,3%, до 52,8 млн долл.  </w:t>
      </w:r>
    </w:p>
    <w:p w14:paraId="3A7893E4" w14:textId="77777777" w:rsidR="00E02A4A" w:rsidRPr="00E02A4A" w:rsidRDefault="00E02A4A" w:rsidP="00E02A4A">
      <w:pPr>
        <w:widowControl w:val="0"/>
        <w:spacing w:before="0" w:after="0" w:line="240" w:lineRule="auto"/>
        <w:ind w:firstLine="425"/>
        <w:jc w:val="both"/>
        <w:rPr>
          <w:rFonts w:ascii="Times New Roman" w:hAnsi="Times New Roman" w:cs="Times New Roman"/>
          <w:sz w:val="24"/>
          <w:szCs w:val="24"/>
        </w:rPr>
      </w:pPr>
      <w:r w:rsidRPr="00E02A4A">
        <w:rPr>
          <w:rFonts w:ascii="Times New Roman" w:hAnsi="Times New Roman" w:cs="Times New Roman"/>
          <w:sz w:val="24"/>
          <w:szCs w:val="24"/>
        </w:rPr>
        <w:t xml:space="preserve">Положительное сальдо баланса вторичных доходов, отражающих перечисления частных и государственных трансфертов в/из республики, увеличилось на 16,2%, до 627,2 млн долл. Перечисления в адрес резидентов ПМР возросли на 16,6%, до 677,0 млн долл., величина обратных ремитенций – на 22,5%, до 49,8 млн долл. </w:t>
      </w:r>
    </w:p>
    <w:p w14:paraId="3ECE6B98" w14:textId="77777777" w:rsidR="009C4D2E" w:rsidRPr="008A651D" w:rsidRDefault="000D3D31" w:rsidP="008A651D">
      <w:pPr>
        <w:pStyle w:val="af7"/>
        <w:spacing w:before="0" w:after="0" w:line="240" w:lineRule="auto"/>
        <w:ind w:left="0"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По итогам 2019 года сальдо финансового счёта платёжного баланса Приднестровской Молдавской Республики сформировалось </w:t>
      </w:r>
      <w:r w:rsidR="00DE14C7">
        <w:rPr>
          <w:rFonts w:ascii="Times New Roman" w:hAnsi="Times New Roman" w:cs="Times New Roman"/>
          <w:sz w:val="24"/>
          <w:szCs w:val="24"/>
        </w:rPr>
        <w:t>положительным</w:t>
      </w:r>
      <w:r w:rsidRPr="008A651D">
        <w:rPr>
          <w:rFonts w:ascii="Times New Roman" w:hAnsi="Times New Roman" w:cs="Times New Roman"/>
          <w:sz w:val="24"/>
          <w:szCs w:val="24"/>
        </w:rPr>
        <w:t xml:space="preserve"> в размере </w:t>
      </w:r>
      <w:r w:rsidR="00DE14C7">
        <w:rPr>
          <w:rFonts w:ascii="Times New Roman" w:hAnsi="Times New Roman" w:cs="Times New Roman"/>
          <w:sz w:val="24"/>
          <w:szCs w:val="24"/>
        </w:rPr>
        <w:t>0,5 млн долл., тогда как годом ранее фиксировался дефицит в сумме -69,7 млн долл.</w:t>
      </w:r>
      <w:r w:rsidRPr="008A651D">
        <w:rPr>
          <w:rFonts w:ascii="Times New Roman" w:hAnsi="Times New Roman" w:cs="Times New Roman"/>
          <w:sz w:val="24"/>
          <w:szCs w:val="24"/>
        </w:rPr>
        <w:t xml:space="preserve"> </w:t>
      </w:r>
      <w:r w:rsidR="00DE14C7">
        <w:rPr>
          <w:rFonts w:ascii="Times New Roman" w:hAnsi="Times New Roman" w:cs="Times New Roman"/>
          <w:sz w:val="24"/>
          <w:szCs w:val="24"/>
        </w:rPr>
        <w:t>Сокращение нетто-обязательств</w:t>
      </w:r>
      <w:r w:rsidRPr="008A651D">
        <w:rPr>
          <w:rFonts w:ascii="Times New Roman" w:hAnsi="Times New Roman" w:cs="Times New Roman"/>
          <w:sz w:val="24"/>
          <w:szCs w:val="24"/>
        </w:rPr>
        <w:t xml:space="preserve"> составило </w:t>
      </w:r>
      <w:r w:rsidR="00DE14C7">
        <w:rPr>
          <w:rFonts w:ascii="Times New Roman" w:hAnsi="Times New Roman" w:cs="Times New Roman"/>
          <w:sz w:val="24"/>
          <w:szCs w:val="24"/>
        </w:rPr>
        <w:t>14,7</w:t>
      </w:r>
      <w:r w:rsidRPr="008A651D">
        <w:rPr>
          <w:rFonts w:ascii="Times New Roman" w:hAnsi="Times New Roman" w:cs="Times New Roman"/>
          <w:sz w:val="24"/>
          <w:szCs w:val="24"/>
        </w:rPr>
        <w:t xml:space="preserve"> млн долл.</w:t>
      </w:r>
      <w:r w:rsidR="00AC416B">
        <w:rPr>
          <w:rFonts w:ascii="Times New Roman" w:hAnsi="Times New Roman" w:cs="Times New Roman"/>
          <w:sz w:val="24"/>
          <w:szCs w:val="24"/>
        </w:rPr>
        <w:t xml:space="preserve"> </w:t>
      </w:r>
      <w:r w:rsidR="00183D6D">
        <w:rPr>
          <w:rFonts w:ascii="Times New Roman" w:hAnsi="Times New Roman" w:cs="Times New Roman"/>
          <w:sz w:val="24"/>
          <w:szCs w:val="24"/>
        </w:rPr>
        <w:t>(</w:t>
      </w:r>
      <w:r w:rsidRPr="008A651D">
        <w:rPr>
          <w:rFonts w:ascii="Times New Roman" w:hAnsi="Times New Roman" w:cs="Times New Roman"/>
          <w:sz w:val="24"/>
          <w:szCs w:val="24"/>
        </w:rPr>
        <w:t>в 2018 год</w:t>
      </w:r>
      <w:r w:rsidR="00DE14C7">
        <w:rPr>
          <w:rFonts w:ascii="Times New Roman" w:hAnsi="Times New Roman" w:cs="Times New Roman"/>
          <w:sz w:val="24"/>
          <w:szCs w:val="24"/>
        </w:rPr>
        <w:t>у</w:t>
      </w:r>
      <w:r w:rsidR="00183D6D">
        <w:rPr>
          <w:rFonts w:ascii="Times New Roman" w:hAnsi="Times New Roman" w:cs="Times New Roman"/>
          <w:sz w:val="24"/>
          <w:szCs w:val="24"/>
        </w:rPr>
        <w:t xml:space="preserve"> – рост на </w:t>
      </w:r>
      <w:r w:rsidR="00033332">
        <w:rPr>
          <w:rFonts w:ascii="Times New Roman" w:hAnsi="Times New Roman" w:cs="Times New Roman"/>
          <w:sz w:val="24"/>
          <w:szCs w:val="24"/>
        </w:rPr>
        <w:t>28,9</w:t>
      </w:r>
      <w:r w:rsidR="00183D6D">
        <w:rPr>
          <w:rFonts w:ascii="Times New Roman" w:hAnsi="Times New Roman" w:cs="Times New Roman"/>
          <w:sz w:val="24"/>
          <w:szCs w:val="24"/>
        </w:rPr>
        <w:t xml:space="preserve"> млн долл.</w:t>
      </w:r>
      <w:r w:rsidRPr="008A651D">
        <w:rPr>
          <w:rFonts w:ascii="Times New Roman" w:hAnsi="Times New Roman" w:cs="Times New Roman"/>
          <w:sz w:val="24"/>
          <w:szCs w:val="24"/>
        </w:rPr>
        <w:t>)</w:t>
      </w:r>
      <w:r w:rsidR="00183D6D">
        <w:rPr>
          <w:rFonts w:ascii="Times New Roman" w:hAnsi="Times New Roman" w:cs="Times New Roman"/>
          <w:sz w:val="24"/>
          <w:szCs w:val="24"/>
        </w:rPr>
        <w:t>,</w:t>
      </w:r>
      <w:r w:rsidRPr="008A651D">
        <w:rPr>
          <w:rFonts w:ascii="Times New Roman" w:hAnsi="Times New Roman" w:cs="Times New Roman"/>
          <w:sz w:val="24"/>
          <w:szCs w:val="24"/>
        </w:rPr>
        <w:t xml:space="preserve"> иностранных активов </w:t>
      </w:r>
      <w:r w:rsidR="00183D6D">
        <w:rPr>
          <w:rFonts w:ascii="Times New Roman" w:hAnsi="Times New Roman" w:cs="Times New Roman"/>
          <w:sz w:val="24"/>
          <w:szCs w:val="24"/>
        </w:rPr>
        <w:t>–</w:t>
      </w:r>
      <w:r w:rsidR="00183D6D">
        <w:rPr>
          <w:rFonts w:ascii="Times New Roman" w:hAnsi="Times New Roman" w:cs="Times New Roman"/>
          <w:sz w:val="24"/>
          <w:szCs w:val="24"/>
        </w:rPr>
        <w:br/>
        <w:t>14,2</w:t>
      </w:r>
      <w:r w:rsidRPr="008A651D">
        <w:rPr>
          <w:rFonts w:ascii="Times New Roman" w:hAnsi="Times New Roman" w:cs="Times New Roman"/>
          <w:sz w:val="24"/>
          <w:szCs w:val="24"/>
        </w:rPr>
        <w:t xml:space="preserve"> млн долл. (-</w:t>
      </w:r>
      <w:r w:rsidR="00A146B8">
        <w:rPr>
          <w:rFonts w:ascii="Times New Roman" w:hAnsi="Times New Roman" w:cs="Times New Roman"/>
          <w:sz w:val="24"/>
          <w:szCs w:val="24"/>
        </w:rPr>
        <w:t>40,</w:t>
      </w:r>
      <w:r w:rsidR="00033332">
        <w:rPr>
          <w:rFonts w:ascii="Times New Roman" w:hAnsi="Times New Roman" w:cs="Times New Roman"/>
          <w:sz w:val="24"/>
          <w:szCs w:val="24"/>
        </w:rPr>
        <w:t>8</w:t>
      </w:r>
      <w:r w:rsidRPr="008A651D">
        <w:rPr>
          <w:rFonts w:ascii="Times New Roman" w:hAnsi="Times New Roman" w:cs="Times New Roman"/>
          <w:sz w:val="24"/>
          <w:szCs w:val="24"/>
        </w:rPr>
        <w:t xml:space="preserve"> млн долл.). </w:t>
      </w:r>
      <w:r w:rsidRPr="00A82ED7">
        <w:rPr>
          <w:rFonts w:ascii="Times New Roman" w:hAnsi="Times New Roman" w:cs="Times New Roman"/>
          <w:sz w:val="24"/>
          <w:szCs w:val="24"/>
        </w:rPr>
        <w:t xml:space="preserve">При этом </w:t>
      </w:r>
      <w:r w:rsidR="00A82ED7" w:rsidRPr="00A82ED7">
        <w:rPr>
          <w:rFonts w:ascii="Times New Roman" w:hAnsi="Times New Roman" w:cs="Times New Roman"/>
          <w:sz w:val="24"/>
          <w:szCs w:val="24"/>
        </w:rPr>
        <w:t>чистое заимствование у контрагентов</w:t>
      </w:r>
      <w:r w:rsidRPr="00A82ED7">
        <w:rPr>
          <w:rFonts w:ascii="Times New Roman" w:hAnsi="Times New Roman" w:cs="Times New Roman"/>
          <w:sz w:val="24"/>
          <w:szCs w:val="24"/>
        </w:rPr>
        <w:t xml:space="preserve"> </w:t>
      </w:r>
      <w:r w:rsidR="00A82ED7" w:rsidRPr="00A82ED7">
        <w:rPr>
          <w:rFonts w:ascii="Times New Roman" w:hAnsi="Times New Roman" w:cs="Times New Roman"/>
          <w:sz w:val="24"/>
          <w:szCs w:val="24"/>
        </w:rPr>
        <w:t xml:space="preserve">из стран СНГ оценивалось на сумму 23,1 млн долл., а нетто-кредитование партнёров </w:t>
      </w:r>
      <w:r w:rsidRPr="00A82ED7">
        <w:rPr>
          <w:rFonts w:ascii="Times New Roman" w:hAnsi="Times New Roman" w:cs="Times New Roman"/>
          <w:sz w:val="24"/>
          <w:szCs w:val="24"/>
        </w:rPr>
        <w:t>дальнего зарубежья</w:t>
      </w:r>
      <w:r w:rsidR="00A82ED7" w:rsidRPr="00A82ED7">
        <w:rPr>
          <w:rFonts w:ascii="Times New Roman" w:hAnsi="Times New Roman" w:cs="Times New Roman"/>
          <w:sz w:val="24"/>
          <w:szCs w:val="24"/>
        </w:rPr>
        <w:t xml:space="preserve"> </w:t>
      </w:r>
      <w:r w:rsidRPr="00A82ED7">
        <w:rPr>
          <w:rFonts w:ascii="Times New Roman" w:hAnsi="Times New Roman" w:cs="Times New Roman"/>
          <w:sz w:val="24"/>
          <w:szCs w:val="24"/>
        </w:rPr>
        <w:t>–</w:t>
      </w:r>
      <w:r w:rsidR="00FA6175" w:rsidRPr="00A82ED7">
        <w:rPr>
          <w:rFonts w:ascii="Times New Roman" w:hAnsi="Times New Roman" w:cs="Times New Roman"/>
          <w:sz w:val="24"/>
          <w:szCs w:val="24"/>
        </w:rPr>
        <w:t xml:space="preserve"> </w:t>
      </w:r>
      <w:r w:rsidR="00A82ED7" w:rsidRPr="00A82ED7">
        <w:rPr>
          <w:rFonts w:ascii="Times New Roman" w:hAnsi="Times New Roman" w:cs="Times New Roman"/>
          <w:sz w:val="24"/>
          <w:szCs w:val="24"/>
        </w:rPr>
        <w:br/>
        <w:t>23,6</w:t>
      </w:r>
      <w:r w:rsidRPr="00A82ED7">
        <w:rPr>
          <w:rFonts w:ascii="Times New Roman" w:hAnsi="Times New Roman" w:cs="Times New Roman"/>
          <w:sz w:val="24"/>
          <w:szCs w:val="24"/>
        </w:rPr>
        <w:t xml:space="preserve"> млн долл.</w:t>
      </w:r>
    </w:p>
    <w:p w14:paraId="100270ED" w14:textId="77777777" w:rsidR="009C4D2E" w:rsidRPr="008A651D" w:rsidRDefault="000D3D31" w:rsidP="008A651D">
      <w:pPr>
        <w:pStyle w:val="af7"/>
        <w:spacing w:before="0" w:after="0" w:line="240" w:lineRule="auto"/>
        <w:ind w:left="0"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Сальдо по операциям с прямыми инвестициями сложилось </w:t>
      </w:r>
      <w:r w:rsidR="00F63791">
        <w:rPr>
          <w:rFonts w:ascii="Times New Roman" w:hAnsi="Times New Roman" w:cs="Times New Roman"/>
          <w:sz w:val="24"/>
          <w:szCs w:val="24"/>
        </w:rPr>
        <w:t>положительным</w:t>
      </w:r>
      <w:r w:rsidR="00162243">
        <w:rPr>
          <w:rFonts w:ascii="Times New Roman" w:hAnsi="Times New Roman" w:cs="Times New Roman"/>
          <w:sz w:val="24"/>
          <w:szCs w:val="24"/>
        </w:rPr>
        <w:t xml:space="preserve"> </w:t>
      </w:r>
      <w:r w:rsidRPr="008A651D">
        <w:rPr>
          <w:rFonts w:ascii="Times New Roman" w:hAnsi="Times New Roman" w:cs="Times New Roman"/>
          <w:sz w:val="24"/>
          <w:szCs w:val="24"/>
        </w:rPr>
        <w:t xml:space="preserve">в размере </w:t>
      </w:r>
      <w:r w:rsidRPr="008A651D">
        <w:rPr>
          <w:rFonts w:ascii="Times New Roman" w:hAnsi="Times New Roman" w:cs="Times New Roman"/>
          <w:sz w:val="24"/>
          <w:szCs w:val="24"/>
        </w:rPr>
        <w:br/>
      </w:r>
      <w:r w:rsidR="00162243">
        <w:rPr>
          <w:rFonts w:ascii="Times New Roman" w:hAnsi="Times New Roman" w:cs="Times New Roman"/>
          <w:sz w:val="24"/>
          <w:szCs w:val="24"/>
        </w:rPr>
        <w:t>6,2</w:t>
      </w:r>
      <w:r w:rsidRPr="008A651D">
        <w:rPr>
          <w:rFonts w:ascii="Times New Roman" w:hAnsi="Times New Roman" w:cs="Times New Roman"/>
          <w:sz w:val="24"/>
          <w:szCs w:val="24"/>
        </w:rPr>
        <w:t xml:space="preserve"> млн долл., что указывает на превышение оттока прямых инвестиций из страны над аналогичными вложениями зарубежных инвесторов в экономику республики.</w:t>
      </w:r>
      <w:r w:rsidRPr="008A651D">
        <w:rPr>
          <w:rFonts w:ascii="Times New Roman" w:hAnsi="Times New Roman" w:cs="Times New Roman"/>
          <w:sz w:val="22"/>
          <w:szCs w:val="22"/>
        </w:rPr>
        <w:t xml:space="preserve"> </w:t>
      </w:r>
      <w:r w:rsidRPr="008A651D">
        <w:rPr>
          <w:rFonts w:ascii="Times New Roman" w:hAnsi="Times New Roman" w:cs="Times New Roman"/>
          <w:sz w:val="24"/>
          <w:szCs w:val="24"/>
        </w:rPr>
        <w:t>Баланс портфельных инвестиций в 2019 год</w:t>
      </w:r>
      <w:r w:rsidR="00F63791">
        <w:rPr>
          <w:rFonts w:ascii="Times New Roman" w:hAnsi="Times New Roman" w:cs="Times New Roman"/>
          <w:sz w:val="24"/>
          <w:szCs w:val="24"/>
        </w:rPr>
        <w:t xml:space="preserve">у </w:t>
      </w:r>
      <w:r w:rsidRPr="008A651D">
        <w:rPr>
          <w:rFonts w:ascii="Times New Roman" w:hAnsi="Times New Roman" w:cs="Times New Roman"/>
          <w:sz w:val="24"/>
          <w:szCs w:val="24"/>
        </w:rPr>
        <w:t xml:space="preserve">зафиксирован </w:t>
      </w:r>
      <w:r w:rsidR="00F63791">
        <w:rPr>
          <w:rFonts w:ascii="Times New Roman" w:hAnsi="Times New Roman" w:cs="Times New Roman"/>
          <w:sz w:val="24"/>
          <w:szCs w:val="24"/>
        </w:rPr>
        <w:t>на уровне близком к нулю.</w:t>
      </w:r>
    </w:p>
    <w:p w14:paraId="48B2EB3F" w14:textId="77777777" w:rsidR="00A03642" w:rsidRPr="008A651D" w:rsidRDefault="00AE3C6A"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Операции с депозитами</w:t>
      </w:r>
      <w:r w:rsidR="001360C0" w:rsidRPr="008A651D">
        <w:rPr>
          <w:rFonts w:ascii="Times New Roman" w:hAnsi="Times New Roman" w:cs="Times New Roman"/>
          <w:sz w:val="24"/>
          <w:szCs w:val="24"/>
        </w:rPr>
        <w:t xml:space="preserve"> и наличной иностранной валютой</w:t>
      </w:r>
      <w:r w:rsidRPr="008A651D">
        <w:rPr>
          <w:rFonts w:ascii="Times New Roman" w:hAnsi="Times New Roman" w:cs="Times New Roman"/>
          <w:sz w:val="24"/>
          <w:szCs w:val="24"/>
        </w:rPr>
        <w:t xml:space="preserve">, кредитами и займами, торговыми кредитами и авансами обеспечили нетто-приток капитала в республику в размере </w:t>
      </w:r>
      <w:r w:rsidR="00F63791">
        <w:rPr>
          <w:rFonts w:ascii="Times New Roman" w:hAnsi="Times New Roman" w:cs="Times New Roman"/>
          <w:sz w:val="24"/>
          <w:szCs w:val="24"/>
        </w:rPr>
        <w:t>37,1</w:t>
      </w:r>
      <w:r w:rsidRPr="008A651D">
        <w:rPr>
          <w:rFonts w:ascii="Times New Roman" w:hAnsi="Times New Roman" w:cs="Times New Roman"/>
          <w:sz w:val="24"/>
          <w:szCs w:val="24"/>
        </w:rPr>
        <w:t xml:space="preserve"> млн долл. против </w:t>
      </w:r>
      <w:r w:rsidR="00F63791">
        <w:rPr>
          <w:rFonts w:ascii="Times New Roman" w:hAnsi="Times New Roman" w:cs="Times New Roman"/>
          <w:sz w:val="24"/>
          <w:szCs w:val="24"/>
        </w:rPr>
        <w:t>73,1</w:t>
      </w:r>
      <w:r w:rsidRPr="008A651D">
        <w:rPr>
          <w:rFonts w:ascii="Times New Roman" w:hAnsi="Times New Roman" w:cs="Times New Roman"/>
          <w:sz w:val="24"/>
          <w:szCs w:val="24"/>
        </w:rPr>
        <w:t xml:space="preserve"> млн долл. годом ранее.</w:t>
      </w:r>
      <w:r w:rsidR="001360C0" w:rsidRPr="008A651D">
        <w:rPr>
          <w:rFonts w:ascii="Times New Roman" w:hAnsi="Times New Roman" w:cs="Times New Roman"/>
          <w:sz w:val="24"/>
          <w:szCs w:val="24"/>
        </w:rPr>
        <w:t xml:space="preserve"> Это стало итогом </w:t>
      </w:r>
      <w:r w:rsidR="00F63791" w:rsidRPr="008A651D">
        <w:rPr>
          <w:rFonts w:ascii="Times New Roman" w:hAnsi="Times New Roman" w:cs="Times New Roman"/>
          <w:sz w:val="24"/>
          <w:szCs w:val="24"/>
        </w:rPr>
        <w:t xml:space="preserve">сокращения </w:t>
      </w:r>
      <w:r w:rsidR="001360C0" w:rsidRPr="008A651D">
        <w:rPr>
          <w:rFonts w:ascii="Times New Roman" w:hAnsi="Times New Roman" w:cs="Times New Roman"/>
          <w:sz w:val="24"/>
          <w:szCs w:val="24"/>
        </w:rPr>
        <w:t xml:space="preserve">внешних </w:t>
      </w:r>
      <w:r w:rsidR="00F63791" w:rsidRPr="008A651D">
        <w:rPr>
          <w:rFonts w:ascii="Times New Roman" w:hAnsi="Times New Roman" w:cs="Times New Roman"/>
          <w:sz w:val="24"/>
          <w:szCs w:val="24"/>
        </w:rPr>
        <w:t xml:space="preserve">иностранных активов </w:t>
      </w:r>
      <w:r w:rsidR="00F63791">
        <w:rPr>
          <w:rFonts w:ascii="Times New Roman" w:hAnsi="Times New Roman" w:cs="Times New Roman"/>
          <w:sz w:val="24"/>
          <w:szCs w:val="24"/>
        </w:rPr>
        <w:t xml:space="preserve">резидентов (на 49,8 млн долл.) </w:t>
      </w:r>
      <w:r w:rsidR="00F63791" w:rsidRPr="008A651D">
        <w:rPr>
          <w:rFonts w:ascii="Times New Roman" w:hAnsi="Times New Roman" w:cs="Times New Roman"/>
          <w:sz w:val="24"/>
          <w:szCs w:val="24"/>
        </w:rPr>
        <w:t xml:space="preserve">и </w:t>
      </w:r>
      <w:r w:rsidR="00F63791">
        <w:rPr>
          <w:rFonts w:ascii="Times New Roman" w:hAnsi="Times New Roman" w:cs="Times New Roman"/>
          <w:sz w:val="24"/>
          <w:szCs w:val="24"/>
        </w:rPr>
        <w:t xml:space="preserve">аналогичных </w:t>
      </w:r>
      <w:r w:rsidR="00F63791" w:rsidRPr="008A651D">
        <w:rPr>
          <w:rFonts w:ascii="Times New Roman" w:hAnsi="Times New Roman" w:cs="Times New Roman"/>
          <w:sz w:val="24"/>
          <w:szCs w:val="24"/>
        </w:rPr>
        <w:t xml:space="preserve">обязательств </w:t>
      </w:r>
      <w:r w:rsidR="001360C0" w:rsidRPr="008A651D">
        <w:rPr>
          <w:rFonts w:ascii="Times New Roman" w:hAnsi="Times New Roman" w:cs="Times New Roman"/>
          <w:sz w:val="24"/>
          <w:szCs w:val="24"/>
        </w:rPr>
        <w:t xml:space="preserve">перед нерезидентами (на </w:t>
      </w:r>
      <w:r w:rsidR="00F63791">
        <w:rPr>
          <w:rFonts w:ascii="Times New Roman" w:hAnsi="Times New Roman" w:cs="Times New Roman"/>
          <w:sz w:val="24"/>
          <w:szCs w:val="24"/>
        </w:rPr>
        <w:t>12,7 млн долл.).</w:t>
      </w:r>
    </w:p>
    <w:p w14:paraId="12F79DBE" w14:textId="77777777" w:rsidR="00033332" w:rsidRDefault="001360C0" w:rsidP="008A651D">
      <w:pPr>
        <w:widowControl w:val="0"/>
        <w:autoSpaceDE w:val="0"/>
        <w:autoSpaceDN w:val="0"/>
        <w:adjustRightInd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Валютные активы центрального банка в виде наличных средств в кассе и безналичных средств на счетах (расчётных и депозитных) в зарубежных кредитных организациях за </w:t>
      </w:r>
      <w:r w:rsidR="00A82ED7">
        <w:rPr>
          <w:rFonts w:ascii="Times New Roman" w:hAnsi="Times New Roman" w:cs="Times New Roman"/>
          <w:sz w:val="24"/>
          <w:szCs w:val="24"/>
        </w:rPr>
        <w:br/>
      </w:r>
      <w:r w:rsidRPr="008A651D">
        <w:rPr>
          <w:rFonts w:ascii="Times New Roman" w:hAnsi="Times New Roman" w:cs="Times New Roman"/>
          <w:sz w:val="24"/>
          <w:szCs w:val="24"/>
        </w:rPr>
        <w:t xml:space="preserve">2019 год </w:t>
      </w:r>
      <w:r w:rsidR="00F63791">
        <w:rPr>
          <w:rFonts w:ascii="Times New Roman" w:hAnsi="Times New Roman" w:cs="Times New Roman"/>
          <w:sz w:val="24"/>
          <w:szCs w:val="24"/>
        </w:rPr>
        <w:t>увеличились</w:t>
      </w:r>
      <w:r w:rsidRPr="008A651D">
        <w:rPr>
          <w:rFonts w:ascii="Times New Roman" w:hAnsi="Times New Roman" w:cs="Times New Roman"/>
          <w:sz w:val="24"/>
          <w:szCs w:val="24"/>
        </w:rPr>
        <w:t xml:space="preserve"> на </w:t>
      </w:r>
      <w:r w:rsidR="00F63791">
        <w:rPr>
          <w:rFonts w:ascii="Times New Roman" w:hAnsi="Times New Roman" w:cs="Times New Roman"/>
          <w:sz w:val="24"/>
          <w:szCs w:val="24"/>
        </w:rPr>
        <w:t>31,5</w:t>
      </w:r>
      <w:r w:rsidRPr="008A651D">
        <w:rPr>
          <w:rFonts w:ascii="Times New Roman" w:hAnsi="Times New Roman" w:cs="Times New Roman"/>
          <w:sz w:val="24"/>
          <w:szCs w:val="24"/>
        </w:rPr>
        <w:t xml:space="preserve"> млн долл. (в базисном </w:t>
      </w:r>
      <w:r w:rsidR="00F63791">
        <w:rPr>
          <w:rFonts w:ascii="Times New Roman" w:hAnsi="Times New Roman" w:cs="Times New Roman"/>
          <w:sz w:val="24"/>
          <w:szCs w:val="24"/>
        </w:rPr>
        <w:t>году</w:t>
      </w:r>
      <w:r w:rsidRPr="008A651D">
        <w:rPr>
          <w:rFonts w:ascii="Times New Roman" w:hAnsi="Times New Roman" w:cs="Times New Roman"/>
          <w:sz w:val="24"/>
          <w:szCs w:val="24"/>
        </w:rPr>
        <w:t xml:space="preserve"> – на </w:t>
      </w:r>
      <w:r w:rsidR="00F63791">
        <w:rPr>
          <w:rFonts w:ascii="Times New Roman" w:hAnsi="Times New Roman" w:cs="Times New Roman"/>
          <w:sz w:val="24"/>
          <w:szCs w:val="24"/>
        </w:rPr>
        <w:t xml:space="preserve">1,8 </w:t>
      </w:r>
      <w:r w:rsidR="00033332">
        <w:rPr>
          <w:rFonts w:ascii="Times New Roman" w:hAnsi="Times New Roman" w:cs="Times New Roman"/>
          <w:sz w:val="24"/>
          <w:szCs w:val="24"/>
        </w:rPr>
        <w:t>млн долл.).</w:t>
      </w:r>
    </w:p>
    <w:p w14:paraId="406B2AEF" w14:textId="77777777" w:rsidR="001360C0" w:rsidRDefault="001360C0" w:rsidP="008A651D">
      <w:pPr>
        <w:widowControl w:val="0"/>
        <w:autoSpaceDE w:val="0"/>
        <w:autoSpaceDN w:val="0"/>
        <w:adjustRightInd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Статистические расхождения между текущими и финансовыми операциями платёжно</w:t>
      </w:r>
      <w:r w:rsidR="00A44DB2">
        <w:rPr>
          <w:rFonts w:ascii="Times New Roman" w:hAnsi="Times New Roman" w:cs="Times New Roman"/>
          <w:sz w:val="24"/>
          <w:szCs w:val="24"/>
        </w:rPr>
        <w:t xml:space="preserve">го баланса сложились на уровне 6,0 </w:t>
      </w:r>
      <w:r w:rsidRPr="008A651D">
        <w:rPr>
          <w:rFonts w:ascii="Times New Roman" w:hAnsi="Times New Roman" w:cs="Times New Roman"/>
          <w:sz w:val="24"/>
          <w:szCs w:val="24"/>
        </w:rPr>
        <w:t>млн долл. (-</w:t>
      </w:r>
      <w:r w:rsidR="00A44DB2">
        <w:rPr>
          <w:rFonts w:ascii="Times New Roman" w:hAnsi="Times New Roman" w:cs="Times New Roman"/>
          <w:sz w:val="24"/>
          <w:szCs w:val="24"/>
        </w:rPr>
        <w:t>25,4</w:t>
      </w:r>
      <w:r w:rsidRPr="008A651D">
        <w:rPr>
          <w:rFonts w:ascii="Times New Roman" w:hAnsi="Times New Roman" w:cs="Times New Roman"/>
          <w:sz w:val="24"/>
          <w:szCs w:val="24"/>
        </w:rPr>
        <w:t xml:space="preserve"> млн дол</w:t>
      </w:r>
      <w:r w:rsidR="00694EA5">
        <w:rPr>
          <w:rFonts w:ascii="Times New Roman" w:hAnsi="Times New Roman" w:cs="Times New Roman"/>
          <w:sz w:val="24"/>
          <w:szCs w:val="24"/>
        </w:rPr>
        <w:t>л. в 2018 год</w:t>
      </w:r>
      <w:r w:rsidR="00A44DB2">
        <w:rPr>
          <w:rFonts w:ascii="Times New Roman" w:hAnsi="Times New Roman" w:cs="Times New Roman"/>
          <w:sz w:val="24"/>
          <w:szCs w:val="24"/>
        </w:rPr>
        <w:t>у</w:t>
      </w:r>
      <w:r w:rsidR="00694EA5">
        <w:rPr>
          <w:rFonts w:ascii="Times New Roman" w:hAnsi="Times New Roman" w:cs="Times New Roman"/>
          <w:sz w:val="24"/>
          <w:szCs w:val="24"/>
        </w:rPr>
        <w:t>)</w:t>
      </w:r>
      <w:r w:rsidRPr="008A651D">
        <w:rPr>
          <w:rFonts w:ascii="Times New Roman" w:hAnsi="Times New Roman" w:cs="Times New Roman"/>
          <w:sz w:val="24"/>
          <w:szCs w:val="24"/>
        </w:rPr>
        <w:t>.</w:t>
      </w:r>
    </w:p>
    <w:p w14:paraId="6A5AF368" w14:textId="591DA026" w:rsidR="00ED41EE" w:rsidRDefault="00ED41EE" w:rsidP="008A651D">
      <w:pPr>
        <w:widowControl w:val="0"/>
        <w:autoSpaceDE w:val="0"/>
        <w:autoSpaceDN w:val="0"/>
        <w:adjustRightInd w:val="0"/>
        <w:spacing w:before="0" w:after="0" w:line="240" w:lineRule="auto"/>
        <w:ind w:firstLine="425"/>
        <w:jc w:val="both"/>
        <w:rPr>
          <w:rFonts w:ascii="Times New Roman" w:hAnsi="Times New Roman" w:cs="Times New Roman"/>
          <w:sz w:val="24"/>
          <w:szCs w:val="24"/>
        </w:rPr>
      </w:pPr>
    </w:p>
    <w:p w14:paraId="21891A83" w14:textId="77777777" w:rsidR="00E72185" w:rsidRPr="00A344C8" w:rsidRDefault="00071AA5" w:rsidP="00A344C8">
      <w:pPr>
        <w:pStyle w:val="1"/>
        <w:widowControl w:val="0"/>
        <w:numPr>
          <w:ilvl w:val="1"/>
          <w:numId w:val="1"/>
        </w:numPr>
        <w:rPr>
          <w:b/>
          <w:bCs/>
          <w:noProof/>
          <w:sz w:val="24"/>
          <w:szCs w:val="24"/>
        </w:rPr>
      </w:pPr>
      <w:r w:rsidRPr="004D7D79">
        <w:rPr>
          <w:b/>
          <w:bCs/>
          <w:noProof/>
          <w:sz w:val="24"/>
          <w:szCs w:val="24"/>
        </w:rPr>
        <w:t xml:space="preserve"> </w:t>
      </w:r>
      <w:r w:rsidR="00E72185" w:rsidRPr="004D7D79">
        <w:rPr>
          <w:b/>
          <w:bCs/>
          <w:noProof/>
          <w:sz w:val="24"/>
          <w:szCs w:val="24"/>
        </w:rPr>
        <w:t xml:space="preserve">ГОСУДАРСТВЕННЫЕ ФИНАНСЫ </w:t>
      </w:r>
    </w:p>
    <w:p w14:paraId="23CADD2C" w14:textId="77777777" w:rsidR="00A344C8" w:rsidRPr="000C007E" w:rsidRDefault="00A344C8" w:rsidP="008A651D">
      <w:pPr>
        <w:spacing w:before="0" w:after="0" w:line="240" w:lineRule="auto"/>
        <w:ind w:firstLine="425"/>
        <w:jc w:val="both"/>
        <w:rPr>
          <w:rFonts w:ascii="Times New Roman" w:hAnsi="Times New Roman" w:cs="Times New Roman"/>
          <w:sz w:val="16"/>
          <w:szCs w:val="16"/>
        </w:rPr>
      </w:pPr>
    </w:p>
    <w:p w14:paraId="710441E9" w14:textId="77777777" w:rsidR="000C007E" w:rsidRDefault="006D25FE" w:rsidP="00B55541">
      <w:pPr>
        <w:widowControl w:val="0"/>
        <w:spacing w:before="0" w:after="0" w:line="240" w:lineRule="auto"/>
        <w:ind w:firstLine="425"/>
        <w:jc w:val="both"/>
        <w:rPr>
          <w:rFonts w:ascii="Times New Roman" w:hAnsi="Times New Roman" w:cs="Times New Roman"/>
          <w:sz w:val="24"/>
          <w:szCs w:val="24"/>
        </w:rPr>
      </w:pPr>
      <w:r w:rsidRPr="00B967F4">
        <w:rPr>
          <w:rFonts w:ascii="Times New Roman" w:hAnsi="Times New Roman" w:cs="Times New Roman"/>
          <w:sz w:val="24"/>
          <w:szCs w:val="24"/>
        </w:rPr>
        <w:t xml:space="preserve">В </w:t>
      </w:r>
      <w:r>
        <w:rPr>
          <w:rFonts w:ascii="Times New Roman" w:hAnsi="Times New Roman" w:cs="Times New Roman"/>
          <w:sz w:val="24"/>
          <w:szCs w:val="24"/>
        </w:rPr>
        <w:t>2019 году</w:t>
      </w:r>
      <w:r w:rsidRPr="00B967F4">
        <w:rPr>
          <w:rFonts w:ascii="Times New Roman" w:hAnsi="Times New Roman" w:cs="Times New Roman"/>
          <w:sz w:val="24"/>
          <w:szCs w:val="24"/>
        </w:rPr>
        <w:t xml:space="preserve">, несмотря на сложную ситуацию как в мировой экономике, так и в экономике республики, во внутригодовой динамике фиксировалось постепенное повышение налоговых платежей и доходов целевых бюджетных фондов, что обусловило </w:t>
      </w:r>
      <w:r w:rsidRPr="008A651D">
        <w:rPr>
          <w:rFonts w:ascii="Times New Roman" w:hAnsi="Times New Roman" w:cs="Times New Roman"/>
          <w:sz w:val="24"/>
          <w:szCs w:val="24"/>
        </w:rPr>
        <w:t xml:space="preserve">достижение совокупного прироста доходов </w:t>
      </w:r>
      <w:r>
        <w:rPr>
          <w:rFonts w:ascii="Times New Roman" w:hAnsi="Times New Roman" w:cs="Times New Roman"/>
          <w:sz w:val="24"/>
          <w:szCs w:val="24"/>
        </w:rPr>
        <w:t>к</w:t>
      </w:r>
      <w:r w:rsidRPr="00B967F4">
        <w:rPr>
          <w:rFonts w:ascii="Times New Roman" w:hAnsi="Times New Roman" w:cs="Times New Roman"/>
          <w:sz w:val="24"/>
          <w:szCs w:val="24"/>
        </w:rPr>
        <w:t xml:space="preserve">онсолидированного бюджета на 3,5%. </w:t>
      </w:r>
      <w:r w:rsidRPr="008A651D">
        <w:rPr>
          <w:rFonts w:ascii="Times New Roman" w:hAnsi="Times New Roman" w:cs="Times New Roman"/>
          <w:sz w:val="24"/>
          <w:szCs w:val="24"/>
        </w:rPr>
        <w:t>По информации Министерства финансов П</w:t>
      </w:r>
      <w:r>
        <w:rPr>
          <w:rFonts w:ascii="Times New Roman" w:hAnsi="Times New Roman" w:cs="Times New Roman"/>
          <w:sz w:val="24"/>
          <w:szCs w:val="24"/>
        </w:rPr>
        <w:t xml:space="preserve">риднестровской </w:t>
      </w:r>
      <w:r w:rsidRPr="008A651D">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8A651D">
        <w:rPr>
          <w:rFonts w:ascii="Times New Roman" w:hAnsi="Times New Roman" w:cs="Times New Roman"/>
          <w:sz w:val="24"/>
          <w:szCs w:val="24"/>
        </w:rPr>
        <w:t>Р</w:t>
      </w:r>
      <w:r>
        <w:rPr>
          <w:rFonts w:ascii="Times New Roman" w:hAnsi="Times New Roman" w:cs="Times New Roman"/>
          <w:sz w:val="24"/>
          <w:szCs w:val="24"/>
        </w:rPr>
        <w:t>еспублики</w:t>
      </w:r>
      <w:r w:rsidRPr="008A651D">
        <w:rPr>
          <w:rFonts w:ascii="Times New Roman" w:hAnsi="Times New Roman" w:cs="Times New Roman"/>
          <w:sz w:val="24"/>
          <w:szCs w:val="24"/>
        </w:rPr>
        <w:t xml:space="preserve">, по итогам 2019 года доходы </w:t>
      </w:r>
      <w:r>
        <w:rPr>
          <w:rFonts w:ascii="Times New Roman" w:hAnsi="Times New Roman" w:cs="Times New Roman"/>
          <w:sz w:val="24"/>
          <w:szCs w:val="24"/>
        </w:rPr>
        <w:t>республиканского и территориальных</w:t>
      </w:r>
      <w:r w:rsidRPr="008A651D">
        <w:rPr>
          <w:rFonts w:ascii="Times New Roman" w:hAnsi="Times New Roman" w:cs="Times New Roman"/>
          <w:sz w:val="24"/>
          <w:szCs w:val="24"/>
        </w:rPr>
        <w:t xml:space="preserve"> бюджет</w:t>
      </w:r>
      <w:r>
        <w:rPr>
          <w:rFonts w:ascii="Times New Roman" w:hAnsi="Times New Roman" w:cs="Times New Roman"/>
          <w:sz w:val="24"/>
          <w:szCs w:val="24"/>
        </w:rPr>
        <w:t>ов</w:t>
      </w:r>
      <w:r w:rsidRPr="008A651D">
        <w:rPr>
          <w:rFonts w:ascii="Times New Roman" w:hAnsi="Times New Roman" w:cs="Times New Roman"/>
          <w:sz w:val="24"/>
          <w:szCs w:val="24"/>
        </w:rPr>
        <w:t xml:space="preserve">, превысив плановое задание на </w:t>
      </w:r>
      <w:r>
        <w:rPr>
          <w:rFonts w:ascii="Times New Roman" w:hAnsi="Times New Roman" w:cs="Times New Roman"/>
          <w:sz w:val="24"/>
          <w:szCs w:val="24"/>
        </w:rPr>
        <w:t>4,0</w:t>
      </w:r>
      <w:r w:rsidRPr="008A651D">
        <w:rPr>
          <w:rFonts w:ascii="Times New Roman" w:hAnsi="Times New Roman" w:cs="Times New Roman"/>
          <w:sz w:val="24"/>
          <w:szCs w:val="24"/>
        </w:rPr>
        <w:t xml:space="preserve">%, составили </w:t>
      </w:r>
      <w:r>
        <w:rPr>
          <w:rFonts w:ascii="Times New Roman" w:hAnsi="Times New Roman" w:cs="Times New Roman"/>
          <w:sz w:val="24"/>
          <w:szCs w:val="24"/>
        </w:rPr>
        <w:t>3 087,2</w:t>
      </w:r>
      <w:r w:rsidRPr="008A651D">
        <w:rPr>
          <w:rFonts w:ascii="Times New Roman" w:hAnsi="Times New Roman" w:cs="Times New Roman"/>
          <w:sz w:val="24"/>
          <w:szCs w:val="24"/>
        </w:rPr>
        <w:t xml:space="preserve"> млн руб. </w:t>
      </w:r>
      <w:r>
        <w:rPr>
          <w:rFonts w:ascii="Times New Roman" w:hAnsi="Times New Roman" w:cs="Times New Roman"/>
          <w:sz w:val="24"/>
          <w:szCs w:val="24"/>
        </w:rPr>
        <w:t>Д</w:t>
      </w:r>
      <w:r w:rsidRPr="008A651D">
        <w:rPr>
          <w:rFonts w:ascii="Times New Roman" w:hAnsi="Times New Roman" w:cs="Times New Roman"/>
          <w:sz w:val="24"/>
          <w:szCs w:val="24"/>
        </w:rPr>
        <w:t xml:space="preserve">оходы на первом уровне бюджетной системы </w:t>
      </w:r>
      <w:r>
        <w:rPr>
          <w:rFonts w:ascii="Times New Roman" w:hAnsi="Times New Roman" w:cs="Times New Roman"/>
          <w:sz w:val="24"/>
          <w:szCs w:val="24"/>
        </w:rPr>
        <w:t>сложились в пределах базисного значения в сумме</w:t>
      </w:r>
      <w:r w:rsidRPr="008A651D">
        <w:rPr>
          <w:rFonts w:ascii="Times New Roman" w:hAnsi="Times New Roman" w:cs="Times New Roman"/>
          <w:sz w:val="24"/>
          <w:szCs w:val="24"/>
        </w:rPr>
        <w:t xml:space="preserve"> 1</w:t>
      </w:r>
      <w:r>
        <w:rPr>
          <w:rFonts w:ascii="Times New Roman" w:hAnsi="Times New Roman" w:cs="Times New Roman"/>
          <w:sz w:val="24"/>
          <w:szCs w:val="24"/>
        </w:rPr>
        <w:t> 991,8</w:t>
      </w:r>
      <w:r w:rsidRPr="008A651D">
        <w:rPr>
          <w:rFonts w:ascii="Times New Roman" w:hAnsi="Times New Roman" w:cs="Times New Roman"/>
          <w:sz w:val="24"/>
          <w:szCs w:val="24"/>
        </w:rPr>
        <w:t xml:space="preserve"> млн руб., доходы местных бюджетов возросли на </w:t>
      </w:r>
      <w:r>
        <w:rPr>
          <w:rFonts w:ascii="Times New Roman" w:hAnsi="Times New Roman" w:cs="Times New Roman"/>
          <w:sz w:val="24"/>
          <w:szCs w:val="24"/>
        </w:rPr>
        <w:t>11,3</w:t>
      </w:r>
      <w:r w:rsidRPr="008A651D">
        <w:rPr>
          <w:rFonts w:ascii="Times New Roman" w:hAnsi="Times New Roman" w:cs="Times New Roman"/>
          <w:sz w:val="24"/>
          <w:szCs w:val="24"/>
        </w:rPr>
        <w:t xml:space="preserve">%, до </w:t>
      </w:r>
      <w:r>
        <w:rPr>
          <w:rFonts w:ascii="Times New Roman" w:hAnsi="Times New Roman" w:cs="Times New Roman"/>
          <w:sz w:val="24"/>
          <w:szCs w:val="24"/>
        </w:rPr>
        <w:t>1 095,4</w:t>
      </w:r>
      <w:r w:rsidRPr="008A651D">
        <w:rPr>
          <w:rFonts w:ascii="Times New Roman" w:hAnsi="Times New Roman" w:cs="Times New Roman"/>
          <w:sz w:val="24"/>
          <w:szCs w:val="24"/>
        </w:rPr>
        <w:t xml:space="preserve"> млн руб. </w:t>
      </w:r>
    </w:p>
    <w:p w14:paraId="113ADCA0" w14:textId="359BCE16" w:rsidR="006D25FE" w:rsidRPr="008A651D" w:rsidRDefault="006D25FE" w:rsidP="00B55541">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В сопоставимой оценке</w:t>
      </w:r>
      <w:r w:rsidRPr="008A651D">
        <w:rPr>
          <w:rStyle w:val="ae"/>
          <w:rFonts w:ascii="Times New Roman" w:hAnsi="Times New Roman"/>
          <w:sz w:val="24"/>
          <w:szCs w:val="24"/>
        </w:rPr>
        <w:footnoteReference w:id="13"/>
      </w:r>
      <w:r w:rsidRPr="008A651D">
        <w:rPr>
          <w:rFonts w:ascii="Times New Roman" w:hAnsi="Times New Roman" w:cs="Times New Roman"/>
          <w:sz w:val="24"/>
          <w:szCs w:val="24"/>
        </w:rPr>
        <w:t xml:space="preserve"> совокупные доходы бюджета сложились на отметке </w:t>
      </w:r>
      <w:r w:rsidR="000C007E">
        <w:rPr>
          <w:rFonts w:ascii="Times New Roman" w:hAnsi="Times New Roman" w:cs="Times New Roman"/>
          <w:sz w:val="24"/>
          <w:szCs w:val="24"/>
        </w:rPr>
        <w:br/>
      </w:r>
      <w:r>
        <w:rPr>
          <w:rFonts w:ascii="Times New Roman" w:hAnsi="Times New Roman" w:cs="Times New Roman"/>
          <w:sz w:val="24"/>
          <w:szCs w:val="24"/>
        </w:rPr>
        <w:lastRenderedPageBreak/>
        <w:t>3 030,0</w:t>
      </w:r>
      <w:r w:rsidRPr="008A651D">
        <w:rPr>
          <w:rFonts w:ascii="Times New Roman" w:hAnsi="Times New Roman" w:cs="Times New Roman"/>
          <w:sz w:val="24"/>
          <w:szCs w:val="24"/>
        </w:rPr>
        <w:t xml:space="preserve"> млн руб., что на 7,</w:t>
      </w:r>
      <w:r>
        <w:rPr>
          <w:rFonts w:ascii="Times New Roman" w:hAnsi="Times New Roman" w:cs="Times New Roman"/>
          <w:sz w:val="24"/>
          <w:szCs w:val="24"/>
        </w:rPr>
        <w:t>7</w:t>
      </w:r>
      <w:r w:rsidRPr="008A651D">
        <w:rPr>
          <w:rFonts w:ascii="Times New Roman" w:hAnsi="Times New Roman" w:cs="Times New Roman"/>
          <w:sz w:val="24"/>
          <w:szCs w:val="24"/>
        </w:rPr>
        <w:t xml:space="preserve">% выше поступлений 2018 года. </w:t>
      </w:r>
    </w:p>
    <w:p w14:paraId="1A2EAF8F" w14:textId="67605383" w:rsidR="006D25FE" w:rsidRPr="008A651D" w:rsidRDefault="006D25FE" w:rsidP="006D25FE">
      <w:pPr>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Превышение базисных значений было характерно для </w:t>
      </w:r>
      <w:r>
        <w:rPr>
          <w:rFonts w:ascii="Times New Roman" w:hAnsi="Times New Roman" w:cs="Times New Roman"/>
          <w:sz w:val="24"/>
          <w:szCs w:val="24"/>
        </w:rPr>
        <w:t>всех основных укрупнённых статей доходов</w:t>
      </w:r>
      <w:r w:rsidRPr="008A651D">
        <w:rPr>
          <w:rFonts w:ascii="Times New Roman" w:hAnsi="Times New Roman" w:cs="Times New Roman"/>
          <w:sz w:val="24"/>
          <w:szCs w:val="24"/>
        </w:rPr>
        <w:t xml:space="preserve">. </w:t>
      </w:r>
      <w:r>
        <w:rPr>
          <w:rFonts w:ascii="Times New Roman" w:hAnsi="Times New Roman" w:cs="Times New Roman"/>
          <w:sz w:val="24"/>
          <w:szCs w:val="24"/>
        </w:rPr>
        <w:t>В частности, о</w:t>
      </w:r>
      <w:r w:rsidRPr="008A651D">
        <w:rPr>
          <w:rFonts w:ascii="Times New Roman" w:hAnsi="Times New Roman" w:cs="Times New Roman"/>
          <w:sz w:val="24"/>
          <w:szCs w:val="24"/>
        </w:rPr>
        <w:t>бъём налоговых доходов</w:t>
      </w:r>
      <w:r w:rsidRPr="008A651D">
        <w:rPr>
          <w:rFonts w:ascii="Times New Roman" w:hAnsi="Times New Roman" w:cs="Times New Roman"/>
          <w:sz w:val="24"/>
          <w:szCs w:val="24"/>
          <w:vertAlign w:val="superscript"/>
        </w:rPr>
        <w:footnoteReference w:id="14"/>
      </w:r>
      <w:r w:rsidRPr="008A651D">
        <w:rPr>
          <w:rFonts w:ascii="Times New Roman" w:hAnsi="Times New Roman" w:cs="Times New Roman"/>
          <w:sz w:val="24"/>
          <w:szCs w:val="24"/>
        </w:rPr>
        <w:t xml:space="preserve"> консолидированного бюджета возрос на 1,1%, до </w:t>
      </w:r>
      <w:r>
        <w:rPr>
          <w:rFonts w:ascii="Times New Roman" w:hAnsi="Times New Roman" w:cs="Times New Roman"/>
          <w:sz w:val="24"/>
          <w:szCs w:val="24"/>
        </w:rPr>
        <w:t>2 082,5</w:t>
      </w:r>
      <w:r w:rsidRPr="008A651D">
        <w:rPr>
          <w:rFonts w:ascii="Times New Roman" w:hAnsi="Times New Roman" w:cs="Times New Roman"/>
          <w:sz w:val="24"/>
          <w:szCs w:val="24"/>
        </w:rPr>
        <w:t xml:space="preserve"> млн руб</w:t>
      </w:r>
      <w:r>
        <w:rPr>
          <w:rFonts w:ascii="Times New Roman" w:hAnsi="Times New Roman" w:cs="Times New Roman"/>
          <w:sz w:val="24"/>
          <w:szCs w:val="24"/>
        </w:rPr>
        <w:t>., составив 67,5% в совокупном доходе</w:t>
      </w:r>
      <w:r w:rsidRPr="008A651D">
        <w:rPr>
          <w:rFonts w:ascii="Times New Roman" w:hAnsi="Times New Roman" w:cs="Times New Roman"/>
          <w:sz w:val="24"/>
          <w:szCs w:val="24"/>
        </w:rPr>
        <w:t>. Динамика налоговых доходов в большей степени определялась поступлениями налогов с доходов юридических и физических лиц. За отчётный период перечисления налога на доходы организаций, превосходящего по сумме доходы по другим статьям консолиди</w:t>
      </w:r>
      <w:r>
        <w:rPr>
          <w:rFonts w:ascii="Times New Roman" w:hAnsi="Times New Roman" w:cs="Times New Roman"/>
          <w:sz w:val="24"/>
          <w:szCs w:val="24"/>
        </w:rPr>
        <w:t>рованного бюджета, возросли на 7,0</w:t>
      </w:r>
      <w:r w:rsidRPr="008A651D">
        <w:rPr>
          <w:rFonts w:ascii="Times New Roman" w:hAnsi="Times New Roman" w:cs="Times New Roman"/>
          <w:sz w:val="24"/>
          <w:szCs w:val="24"/>
        </w:rPr>
        <w:t xml:space="preserve">%, до </w:t>
      </w:r>
      <w:r>
        <w:rPr>
          <w:rFonts w:ascii="Times New Roman" w:hAnsi="Times New Roman" w:cs="Times New Roman"/>
          <w:sz w:val="24"/>
          <w:szCs w:val="24"/>
        </w:rPr>
        <w:t>858,3</w:t>
      </w:r>
      <w:r w:rsidRPr="008A651D">
        <w:rPr>
          <w:rFonts w:ascii="Times New Roman" w:hAnsi="Times New Roman" w:cs="Times New Roman"/>
          <w:sz w:val="24"/>
          <w:szCs w:val="24"/>
        </w:rPr>
        <w:t xml:space="preserve"> млн руб. Рост фонда оплаты труда </w:t>
      </w:r>
      <w:r w:rsidRPr="000E7A49">
        <w:rPr>
          <w:rFonts w:ascii="Times New Roman" w:hAnsi="Times New Roman" w:cs="Times New Roman"/>
          <w:sz w:val="24"/>
          <w:szCs w:val="24"/>
        </w:rPr>
        <w:t xml:space="preserve">во всех секторах экономики (в целом на 8,8%) </w:t>
      </w:r>
      <w:r w:rsidRPr="008A651D">
        <w:rPr>
          <w:rFonts w:ascii="Times New Roman" w:hAnsi="Times New Roman" w:cs="Times New Roman"/>
          <w:sz w:val="24"/>
          <w:szCs w:val="24"/>
        </w:rPr>
        <w:t xml:space="preserve">и </w:t>
      </w:r>
      <w:r>
        <w:rPr>
          <w:rFonts w:ascii="Times New Roman" w:hAnsi="Times New Roman" w:cs="Times New Roman"/>
          <w:sz w:val="24"/>
          <w:szCs w:val="24"/>
        </w:rPr>
        <w:t xml:space="preserve">других </w:t>
      </w:r>
      <w:r w:rsidRPr="008A651D">
        <w:rPr>
          <w:rFonts w:ascii="Times New Roman" w:hAnsi="Times New Roman" w:cs="Times New Roman"/>
          <w:sz w:val="24"/>
          <w:szCs w:val="24"/>
        </w:rPr>
        <w:t>выплат</w:t>
      </w:r>
      <w:r>
        <w:rPr>
          <w:rFonts w:ascii="Times New Roman" w:hAnsi="Times New Roman" w:cs="Times New Roman"/>
          <w:sz w:val="24"/>
          <w:szCs w:val="24"/>
        </w:rPr>
        <w:t xml:space="preserve"> работникам обеспечил</w:t>
      </w:r>
      <w:r w:rsidRPr="008A651D">
        <w:rPr>
          <w:rFonts w:ascii="Times New Roman" w:hAnsi="Times New Roman" w:cs="Times New Roman"/>
          <w:sz w:val="24"/>
          <w:szCs w:val="24"/>
        </w:rPr>
        <w:t xml:space="preserve"> увеличение суммы подоходного налога с физических лиц на </w:t>
      </w:r>
      <w:r>
        <w:rPr>
          <w:rFonts w:ascii="Times New Roman" w:hAnsi="Times New Roman" w:cs="Times New Roman"/>
          <w:sz w:val="24"/>
          <w:szCs w:val="24"/>
        </w:rPr>
        <w:t>9,9</w:t>
      </w:r>
      <w:r w:rsidRPr="008A651D">
        <w:rPr>
          <w:rFonts w:ascii="Times New Roman" w:hAnsi="Times New Roman" w:cs="Times New Roman"/>
          <w:sz w:val="24"/>
          <w:szCs w:val="24"/>
        </w:rPr>
        <w:t xml:space="preserve">%, до </w:t>
      </w:r>
      <w:r>
        <w:rPr>
          <w:rFonts w:ascii="Times New Roman" w:hAnsi="Times New Roman" w:cs="Times New Roman"/>
          <w:sz w:val="24"/>
          <w:szCs w:val="24"/>
        </w:rPr>
        <w:t>454,1</w:t>
      </w:r>
      <w:r w:rsidRPr="008A651D">
        <w:rPr>
          <w:rFonts w:ascii="Times New Roman" w:hAnsi="Times New Roman" w:cs="Times New Roman"/>
          <w:sz w:val="24"/>
          <w:szCs w:val="24"/>
        </w:rPr>
        <w:t xml:space="preserve"> млн руб. </w:t>
      </w:r>
    </w:p>
    <w:p w14:paraId="0C11B4BA" w14:textId="77777777" w:rsidR="006D25FE" w:rsidRPr="008A651D" w:rsidRDefault="006D25FE" w:rsidP="006D25FE">
      <w:pPr>
        <w:spacing w:before="0" w:after="0" w:line="240" w:lineRule="auto"/>
        <w:ind w:firstLine="420"/>
        <w:jc w:val="both"/>
        <w:rPr>
          <w:rFonts w:ascii="Times New Roman" w:hAnsi="Times New Roman" w:cs="Times New Roman"/>
          <w:sz w:val="24"/>
          <w:szCs w:val="24"/>
        </w:rPr>
      </w:pPr>
      <w:r w:rsidRPr="008A651D">
        <w:rPr>
          <w:rFonts w:ascii="Times New Roman" w:hAnsi="Times New Roman" w:cs="Times New Roman"/>
          <w:sz w:val="24"/>
          <w:szCs w:val="24"/>
        </w:rPr>
        <w:t xml:space="preserve">Привлекательность применения упрощённого режима налогообложения обусловила увеличение в отчётном периоде количества организаций, перешедших на данную систему, которыми было уплачено </w:t>
      </w:r>
      <w:r>
        <w:rPr>
          <w:rFonts w:ascii="Times New Roman" w:hAnsi="Times New Roman" w:cs="Times New Roman"/>
          <w:sz w:val="24"/>
          <w:szCs w:val="24"/>
        </w:rPr>
        <w:t>17,5</w:t>
      </w:r>
      <w:r w:rsidRPr="008A651D">
        <w:rPr>
          <w:rFonts w:ascii="Times New Roman" w:hAnsi="Times New Roman" w:cs="Times New Roman"/>
          <w:sz w:val="24"/>
          <w:szCs w:val="24"/>
        </w:rPr>
        <w:t xml:space="preserve"> млн руб., что </w:t>
      </w:r>
      <w:r>
        <w:rPr>
          <w:rFonts w:ascii="Times New Roman" w:hAnsi="Times New Roman" w:cs="Times New Roman"/>
          <w:sz w:val="24"/>
          <w:szCs w:val="24"/>
        </w:rPr>
        <w:t>в полтора раза</w:t>
      </w:r>
      <w:r w:rsidRPr="008A651D">
        <w:rPr>
          <w:rFonts w:ascii="Times New Roman" w:hAnsi="Times New Roman" w:cs="Times New Roman"/>
          <w:sz w:val="24"/>
          <w:szCs w:val="24"/>
        </w:rPr>
        <w:t xml:space="preserve"> больше, чем в 2018 год</w:t>
      </w:r>
      <w:r>
        <w:rPr>
          <w:rFonts w:ascii="Times New Roman" w:hAnsi="Times New Roman" w:cs="Times New Roman"/>
          <w:sz w:val="24"/>
          <w:szCs w:val="24"/>
        </w:rPr>
        <w:t>у</w:t>
      </w:r>
      <w:r w:rsidRPr="008A651D">
        <w:rPr>
          <w:rFonts w:ascii="Times New Roman" w:hAnsi="Times New Roman" w:cs="Times New Roman"/>
          <w:sz w:val="24"/>
          <w:szCs w:val="24"/>
        </w:rPr>
        <w:t xml:space="preserve">. </w:t>
      </w:r>
    </w:p>
    <w:p w14:paraId="1E4F0AC1" w14:textId="77777777" w:rsidR="006D25FE" w:rsidRPr="008A651D" w:rsidRDefault="006D25FE" w:rsidP="006D25FE">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После введения новых режимов налогообложения инд</w:t>
      </w:r>
      <w:r>
        <w:rPr>
          <w:rFonts w:ascii="Times New Roman" w:hAnsi="Times New Roman" w:cs="Times New Roman"/>
          <w:sz w:val="24"/>
          <w:szCs w:val="24"/>
        </w:rPr>
        <w:t xml:space="preserve">ивидуальных предпринимателей с </w:t>
      </w:r>
      <w:r w:rsidRPr="008A651D">
        <w:rPr>
          <w:rFonts w:ascii="Times New Roman" w:hAnsi="Times New Roman" w:cs="Times New Roman"/>
          <w:sz w:val="24"/>
          <w:szCs w:val="24"/>
        </w:rPr>
        <w:t xml:space="preserve">1 апреля 2019 года классификация доходов бюджета пополнилась новыми статьями, такими как «налог с выручки индивидуальных предпринимателей, применяющих упрощённую систему налогообложения» и «налог с потенциально возможного к получению годового дохода для индивидуальных предпринимателей», по которым поступления средств составили </w:t>
      </w:r>
      <w:r>
        <w:rPr>
          <w:rFonts w:ascii="Times New Roman" w:hAnsi="Times New Roman" w:cs="Times New Roman"/>
          <w:sz w:val="24"/>
          <w:szCs w:val="24"/>
        </w:rPr>
        <w:t>11,2 млн руб. и 18,3</w:t>
      </w:r>
      <w:r w:rsidRPr="008A651D">
        <w:rPr>
          <w:rFonts w:ascii="Times New Roman" w:hAnsi="Times New Roman" w:cs="Times New Roman"/>
          <w:sz w:val="24"/>
          <w:szCs w:val="24"/>
        </w:rPr>
        <w:t xml:space="preserve"> млн руб. соответственно. </w:t>
      </w:r>
    </w:p>
    <w:p w14:paraId="595C5704" w14:textId="4FA7E18C" w:rsidR="006D25FE" w:rsidRPr="008A651D" w:rsidRDefault="006D25FE" w:rsidP="006D25FE">
      <w:pPr>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Сумма импортных пошлин (включая часть средств, перечисленных в Фонд капитальных вложений и в Фонд развития предпринимательства) составила </w:t>
      </w:r>
      <w:r>
        <w:rPr>
          <w:rFonts w:ascii="Times New Roman" w:hAnsi="Times New Roman" w:cs="Times New Roman"/>
          <w:sz w:val="24"/>
          <w:szCs w:val="24"/>
        </w:rPr>
        <w:t>397,8</w:t>
      </w:r>
      <w:r w:rsidRPr="008A651D">
        <w:rPr>
          <w:rFonts w:ascii="Times New Roman" w:hAnsi="Times New Roman" w:cs="Times New Roman"/>
          <w:sz w:val="24"/>
          <w:szCs w:val="24"/>
        </w:rPr>
        <w:t xml:space="preserve"> млн руб., что на 1</w:t>
      </w:r>
      <w:r>
        <w:rPr>
          <w:rFonts w:ascii="Times New Roman" w:hAnsi="Times New Roman" w:cs="Times New Roman"/>
          <w:sz w:val="24"/>
          <w:szCs w:val="24"/>
        </w:rPr>
        <w:t>3,9</w:t>
      </w:r>
      <w:r w:rsidRPr="008A651D">
        <w:rPr>
          <w:rFonts w:ascii="Times New Roman" w:hAnsi="Times New Roman" w:cs="Times New Roman"/>
          <w:sz w:val="24"/>
          <w:szCs w:val="24"/>
        </w:rPr>
        <w:t xml:space="preserve">% больше, чем годом ранее. В совокупности с экспортными пошлинами в сумме </w:t>
      </w:r>
      <w:r>
        <w:rPr>
          <w:rFonts w:ascii="Times New Roman" w:hAnsi="Times New Roman" w:cs="Times New Roman"/>
          <w:sz w:val="24"/>
          <w:szCs w:val="24"/>
        </w:rPr>
        <w:t>11,4</w:t>
      </w:r>
      <w:r w:rsidRPr="008A651D">
        <w:rPr>
          <w:rFonts w:ascii="Times New Roman" w:hAnsi="Times New Roman" w:cs="Times New Roman"/>
          <w:sz w:val="24"/>
          <w:szCs w:val="24"/>
        </w:rPr>
        <w:t xml:space="preserve"> млн руб. (рост к базисному значению на </w:t>
      </w:r>
      <w:r>
        <w:rPr>
          <w:rFonts w:ascii="Times New Roman" w:hAnsi="Times New Roman" w:cs="Times New Roman"/>
          <w:sz w:val="24"/>
          <w:szCs w:val="24"/>
        </w:rPr>
        <w:t>44,2</w:t>
      </w:r>
      <w:r w:rsidRPr="008A651D">
        <w:rPr>
          <w:rFonts w:ascii="Times New Roman" w:hAnsi="Times New Roman" w:cs="Times New Roman"/>
          <w:sz w:val="24"/>
          <w:szCs w:val="24"/>
        </w:rPr>
        <w:t xml:space="preserve">%), налоги на внешнюю торговлю и внешние операции достигли </w:t>
      </w:r>
      <w:r>
        <w:rPr>
          <w:rFonts w:ascii="Times New Roman" w:hAnsi="Times New Roman" w:cs="Times New Roman"/>
          <w:sz w:val="24"/>
          <w:szCs w:val="24"/>
        </w:rPr>
        <w:t>40</w:t>
      </w:r>
      <w:r w:rsidRPr="008A651D">
        <w:rPr>
          <w:rFonts w:ascii="Times New Roman" w:hAnsi="Times New Roman" w:cs="Times New Roman"/>
          <w:sz w:val="24"/>
          <w:szCs w:val="24"/>
        </w:rPr>
        <w:t>9,2 млн руб. (+1</w:t>
      </w:r>
      <w:r>
        <w:rPr>
          <w:rFonts w:ascii="Times New Roman" w:hAnsi="Times New Roman" w:cs="Times New Roman"/>
          <w:sz w:val="24"/>
          <w:szCs w:val="24"/>
        </w:rPr>
        <w:t>4,6</w:t>
      </w:r>
      <w:r w:rsidRPr="008A651D">
        <w:rPr>
          <w:rFonts w:ascii="Times New Roman" w:hAnsi="Times New Roman" w:cs="Times New Roman"/>
          <w:sz w:val="24"/>
          <w:szCs w:val="24"/>
        </w:rPr>
        <w:t>%).</w:t>
      </w:r>
    </w:p>
    <w:p w14:paraId="46832A8A" w14:textId="77777777" w:rsidR="006D25FE" w:rsidRPr="008A651D" w:rsidRDefault="006D25FE" w:rsidP="006D25FE">
      <w:pPr>
        <w:autoSpaceDE w:val="0"/>
        <w:autoSpaceDN w:val="0"/>
        <w:adjustRightInd w:val="0"/>
        <w:spacing w:before="0" w:after="0" w:line="240" w:lineRule="auto"/>
        <w:ind w:firstLine="397"/>
        <w:jc w:val="both"/>
        <w:rPr>
          <w:rFonts w:ascii="Times New Roman" w:hAnsi="Times New Roman" w:cs="Times New Roman"/>
          <w:sz w:val="24"/>
          <w:szCs w:val="24"/>
        </w:rPr>
      </w:pPr>
      <w:r w:rsidRPr="008A651D">
        <w:rPr>
          <w:rFonts w:ascii="Times New Roman" w:hAnsi="Times New Roman" w:cs="Times New Roman"/>
          <w:sz w:val="24"/>
          <w:szCs w:val="24"/>
        </w:rPr>
        <w:t>Перечисления акциза на продукцию, производимую на территории П</w:t>
      </w:r>
      <w:r>
        <w:rPr>
          <w:rFonts w:ascii="Times New Roman" w:hAnsi="Times New Roman" w:cs="Times New Roman"/>
          <w:sz w:val="24"/>
          <w:szCs w:val="24"/>
        </w:rPr>
        <w:t xml:space="preserve">риднестровской </w:t>
      </w:r>
      <w:r w:rsidRPr="008A651D">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8A651D">
        <w:rPr>
          <w:rFonts w:ascii="Times New Roman" w:hAnsi="Times New Roman" w:cs="Times New Roman"/>
          <w:sz w:val="24"/>
          <w:szCs w:val="24"/>
        </w:rPr>
        <w:t>Р</w:t>
      </w:r>
      <w:r>
        <w:rPr>
          <w:rFonts w:ascii="Times New Roman" w:hAnsi="Times New Roman" w:cs="Times New Roman"/>
          <w:sz w:val="24"/>
          <w:szCs w:val="24"/>
        </w:rPr>
        <w:t>еспублики</w:t>
      </w:r>
      <w:r w:rsidRPr="008A651D">
        <w:rPr>
          <w:rFonts w:ascii="Times New Roman" w:hAnsi="Times New Roman" w:cs="Times New Roman"/>
          <w:sz w:val="24"/>
          <w:szCs w:val="24"/>
        </w:rPr>
        <w:t xml:space="preserve">, возросли на </w:t>
      </w:r>
      <w:r>
        <w:rPr>
          <w:rFonts w:ascii="Times New Roman" w:hAnsi="Times New Roman" w:cs="Times New Roman"/>
          <w:sz w:val="24"/>
          <w:szCs w:val="24"/>
        </w:rPr>
        <w:t>2,4</w:t>
      </w:r>
      <w:r w:rsidRPr="008A651D">
        <w:rPr>
          <w:rFonts w:ascii="Times New Roman" w:hAnsi="Times New Roman" w:cs="Times New Roman"/>
          <w:sz w:val="24"/>
          <w:szCs w:val="24"/>
        </w:rPr>
        <w:t xml:space="preserve">%, до </w:t>
      </w:r>
      <w:r>
        <w:rPr>
          <w:rFonts w:ascii="Times New Roman" w:hAnsi="Times New Roman" w:cs="Times New Roman"/>
          <w:sz w:val="24"/>
          <w:szCs w:val="24"/>
        </w:rPr>
        <w:t>57,6</w:t>
      </w:r>
      <w:r w:rsidRPr="008A651D">
        <w:rPr>
          <w:rFonts w:ascii="Times New Roman" w:hAnsi="Times New Roman" w:cs="Times New Roman"/>
          <w:sz w:val="24"/>
          <w:szCs w:val="24"/>
        </w:rPr>
        <w:t xml:space="preserve"> млн руб. При этом поступления акцизов на импортируемые товары уступили базисному значению </w:t>
      </w:r>
      <w:r>
        <w:rPr>
          <w:rFonts w:ascii="Times New Roman" w:hAnsi="Times New Roman" w:cs="Times New Roman"/>
          <w:sz w:val="24"/>
          <w:szCs w:val="24"/>
        </w:rPr>
        <w:t>6</w:t>
      </w:r>
      <w:r w:rsidRPr="008A651D">
        <w:rPr>
          <w:rFonts w:ascii="Times New Roman" w:hAnsi="Times New Roman" w:cs="Times New Roman"/>
          <w:sz w:val="24"/>
          <w:szCs w:val="24"/>
        </w:rPr>
        <w:t xml:space="preserve">,7%, сложившись в сумме </w:t>
      </w:r>
      <w:r>
        <w:rPr>
          <w:rFonts w:ascii="Times New Roman" w:hAnsi="Times New Roman" w:cs="Times New Roman"/>
          <w:sz w:val="24"/>
          <w:szCs w:val="24"/>
        </w:rPr>
        <w:br/>
        <w:t>223,0</w:t>
      </w:r>
      <w:r w:rsidRPr="008A651D">
        <w:rPr>
          <w:rFonts w:ascii="Times New Roman" w:hAnsi="Times New Roman" w:cs="Times New Roman"/>
          <w:sz w:val="24"/>
          <w:szCs w:val="24"/>
        </w:rPr>
        <w:t xml:space="preserve"> млн руб. Акцизные сборы на реализуемую на территории республики продукцию достигли </w:t>
      </w:r>
      <w:r>
        <w:rPr>
          <w:rFonts w:ascii="Times New Roman" w:hAnsi="Times New Roman" w:cs="Times New Roman"/>
          <w:sz w:val="24"/>
          <w:szCs w:val="24"/>
        </w:rPr>
        <w:t>5,3</w:t>
      </w:r>
      <w:r w:rsidRPr="008A651D">
        <w:rPr>
          <w:rFonts w:ascii="Times New Roman" w:hAnsi="Times New Roman" w:cs="Times New Roman"/>
          <w:sz w:val="24"/>
          <w:szCs w:val="24"/>
        </w:rPr>
        <w:t xml:space="preserve"> млн руб. (</w:t>
      </w:r>
      <w:r>
        <w:rPr>
          <w:rFonts w:ascii="Times New Roman" w:hAnsi="Times New Roman" w:cs="Times New Roman"/>
          <w:sz w:val="24"/>
          <w:szCs w:val="24"/>
        </w:rPr>
        <w:t>-13,3</w:t>
      </w:r>
      <w:r w:rsidRPr="008A651D">
        <w:rPr>
          <w:rFonts w:ascii="Times New Roman" w:hAnsi="Times New Roman" w:cs="Times New Roman"/>
          <w:sz w:val="24"/>
          <w:szCs w:val="24"/>
        </w:rPr>
        <w:t xml:space="preserve">%). В целом по данной статье, на фоне максимальных значений, фиксировавшихся годом ранее, наблюдалось отставание от показателя </w:t>
      </w:r>
      <w:r>
        <w:rPr>
          <w:rFonts w:ascii="Times New Roman" w:hAnsi="Times New Roman" w:cs="Times New Roman"/>
          <w:sz w:val="24"/>
          <w:szCs w:val="24"/>
        </w:rPr>
        <w:t>2018 года на 5</w:t>
      </w:r>
      <w:r w:rsidRPr="008A651D">
        <w:rPr>
          <w:rFonts w:ascii="Times New Roman" w:hAnsi="Times New Roman" w:cs="Times New Roman"/>
          <w:sz w:val="24"/>
          <w:szCs w:val="24"/>
        </w:rPr>
        <w:t xml:space="preserve">,2%. </w:t>
      </w:r>
    </w:p>
    <w:p w14:paraId="3103D42A" w14:textId="77777777" w:rsidR="006D25FE" w:rsidRPr="008A651D" w:rsidRDefault="006D25FE" w:rsidP="006D25FE">
      <w:pPr>
        <w:autoSpaceDE w:val="0"/>
        <w:autoSpaceDN w:val="0"/>
        <w:adjustRightInd w:val="0"/>
        <w:spacing w:before="0" w:after="0" w:line="240" w:lineRule="auto"/>
        <w:ind w:firstLine="397"/>
        <w:jc w:val="both"/>
        <w:rPr>
          <w:rFonts w:ascii="Times New Roman" w:hAnsi="Times New Roman" w:cs="Times New Roman"/>
          <w:sz w:val="24"/>
          <w:szCs w:val="24"/>
        </w:rPr>
      </w:pPr>
      <w:r w:rsidRPr="008A651D">
        <w:rPr>
          <w:rFonts w:ascii="Times New Roman" w:hAnsi="Times New Roman" w:cs="Times New Roman"/>
          <w:sz w:val="24"/>
          <w:szCs w:val="24"/>
        </w:rPr>
        <w:t>Платежи за пользование природными рес</w:t>
      </w:r>
      <w:r>
        <w:rPr>
          <w:rFonts w:ascii="Times New Roman" w:hAnsi="Times New Roman" w:cs="Times New Roman"/>
          <w:sz w:val="24"/>
          <w:szCs w:val="24"/>
        </w:rPr>
        <w:t>урсами сформировались в объёме 130</w:t>
      </w:r>
      <w:r w:rsidRPr="008A651D">
        <w:rPr>
          <w:rFonts w:ascii="Times New Roman" w:hAnsi="Times New Roman" w:cs="Times New Roman"/>
          <w:sz w:val="24"/>
          <w:szCs w:val="24"/>
        </w:rPr>
        <w:t xml:space="preserve">,4 млн руб., что на </w:t>
      </w:r>
      <w:r>
        <w:rPr>
          <w:rFonts w:ascii="Times New Roman" w:hAnsi="Times New Roman" w:cs="Times New Roman"/>
          <w:sz w:val="24"/>
          <w:szCs w:val="24"/>
        </w:rPr>
        <w:t>8,6</w:t>
      </w:r>
      <w:r w:rsidRPr="008A651D">
        <w:rPr>
          <w:rFonts w:ascii="Times New Roman" w:hAnsi="Times New Roman" w:cs="Times New Roman"/>
          <w:sz w:val="24"/>
          <w:szCs w:val="24"/>
        </w:rPr>
        <w:t xml:space="preserve">% </w:t>
      </w:r>
      <w:r>
        <w:rPr>
          <w:rFonts w:ascii="Times New Roman" w:hAnsi="Times New Roman" w:cs="Times New Roman"/>
          <w:sz w:val="24"/>
          <w:szCs w:val="24"/>
        </w:rPr>
        <w:t>бол</w:t>
      </w:r>
      <w:r w:rsidRPr="008A651D">
        <w:rPr>
          <w:rFonts w:ascii="Times New Roman" w:hAnsi="Times New Roman" w:cs="Times New Roman"/>
          <w:sz w:val="24"/>
          <w:szCs w:val="24"/>
        </w:rPr>
        <w:t>ьше, чем в 2018 год</w:t>
      </w:r>
      <w:r>
        <w:rPr>
          <w:rFonts w:ascii="Times New Roman" w:hAnsi="Times New Roman" w:cs="Times New Roman"/>
          <w:sz w:val="24"/>
          <w:szCs w:val="24"/>
        </w:rPr>
        <w:t>у</w:t>
      </w:r>
      <w:r w:rsidRPr="008A651D">
        <w:rPr>
          <w:rFonts w:ascii="Times New Roman" w:hAnsi="Times New Roman" w:cs="Times New Roman"/>
          <w:sz w:val="24"/>
          <w:szCs w:val="24"/>
        </w:rPr>
        <w:t xml:space="preserve">. </w:t>
      </w:r>
    </w:p>
    <w:p w14:paraId="7AEF158A" w14:textId="77777777" w:rsidR="006D25FE" w:rsidRPr="008A651D" w:rsidRDefault="006D25FE" w:rsidP="006D25FE">
      <w:pPr>
        <w:autoSpaceDE w:val="0"/>
        <w:autoSpaceDN w:val="0"/>
        <w:adjustRightInd w:val="0"/>
        <w:spacing w:before="0"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качестве н</w:t>
      </w:r>
      <w:r w:rsidRPr="008A651D">
        <w:rPr>
          <w:rFonts w:ascii="Times New Roman" w:hAnsi="Times New Roman" w:cs="Times New Roman"/>
          <w:sz w:val="24"/>
          <w:szCs w:val="24"/>
        </w:rPr>
        <w:t>еналоговы</w:t>
      </w:r>
      <w:r>
        <w:rPr>
          <w:rFonts w:ascii="Times New Roman" w:hAnsi="Times New Roman" w:cs="Times New Roman"/>
          <w:sz w:val="24"/>
          <w:szCs w:val="24"/>
        </w:rPr>
        <w:t>х</w:t>
      </w:r>
      <w:r w:rsidRPr="008A651D">
        <w:rPr>
          <w:rFonts w:ascii="Times New Roman" w:hAnsi="Times New Roman" w:cs="Times New Roman"/>
          <w:sz w:val="24"/>
          <w:szCs w:val="24"/>
        </w:rPr>
        <w:t xml:space="preserve"> доход</w:t>
      </w:r>
      <w:r>
        <w:rPr>
          <w:rFonts w:ascii="Times New Roman" w:hAnsi="Times New Roman" w:cs="Times New Roman"/>
          <w:sz w:val="24"/>
          <w:szCs w:val="24"/>
        </w:rPr>
        <w:t>ов в бюджет поступило</w:t>
      </w:r>
      <w:r w:rsidRPr="008A651D">
        <w:rPr>
          <w:rFonts w:ascii="Times New Roman" w:hAnsi="Times New Roman" w:cs="Times New Roman"/>
          <w:sz w:val="24"/>
          <w:szCs w:val="24"/>
        </w:rPr>
        <w:t xml:space="preserve"> </w:t>
      </w:r>
      <w:r>
        <w:rPr>
          <w:rFonts w:ascii="Times New Roman" w:hAnsi="Times New Roman" w:cs="Times New Roman"/>
          <w:sz w:val="24"/>
          <w:szCs w:val="24"/>
        </w:rPr>
        <w:t>124,3</w:t>
      </w:r>
      <w:r w:rsidRPr="008A651D">
        <w:rPr>
          <w:rFonts w:ascii="Times New Roman" w:hAnsi="Times New Roman" w:cs="Times New Roman"/>
          <w:sz w:val="24"/>
          <w:szCs w:val="24"/>
        </w:rPr>
        <w:t xml:space="preserve"> млн руб., превзойдя на </w:t>
      </w:r>
      <w:r>
        <w:rPr>
          <w:rFonts w:ascii="Times New Roman" w:hAnsi="Times New Roman" w:cs="Times New Roman"/>
          <w:sz w:val="24"/>
          <w:szCs w:val="24"/>
        </w:rPr>
        <w:t>13,2</w:t>
      </w:r>
      <w:r w:rsidRPr="008A651D">
        <w:rPr>
          <w:rFonts w:ascii="Times New Roman" w:hAnsi="Times New Roman" w:cs="Times New Roman"/>
          <w:sz w:val="24"/>
          <w:szCs w:val="24"/>
        </w:rPr>
        <w:t xml:space="preserve">% уровень 2018 года. </w:t>
      </w:r>
      <w:r>
        <w:rPr>
          <w:rFonts w:ascii="Times New Roman" w:hAnsi="Times New Roman" w:cs="Times New Roman"/>
          <w:sz w:val="24"/>
          <w:szCs w:val="24"/>
        </w:rPr>
        <w:t xml:space="preserve">Ростом характеризовались и доходы, полученные </w:t>
      </w:r>
      <w:r w:rsidRPr="008A651D">
        <w:rPr>
          <w:rFonts w:ascii="Times New Roman" w:hAnsi="Times New Roman" w:cs="Times New Roman"/>
          <w:sz w:val="24"/>
          <w:szCs w:val="24"/>
        </w:rPr>
        <w:t>от оказания государственными и муниципальными учреждениями платных услуг – на</w:t>
      </w:r>
      <w:r>
        <w:rPr>
          <w:rFonts w:ascii="Times New Roman" w:hAnsi="Times New Roman" w:cs="Times New Roman"/>
          <w:sz w:val="24"/>
          <w:szCs w:val="24"/>
        </w:rPr>
        <w:t xml:space="preserve"> 7,0</w:t>
      </w:r>
      <w:r w:rsidRPr="008A651D">
        <w:rPr>
          <w:rFonts w:ascii="Times New Roman" w:hAnsi="Times New Roman" w:cs="Times New Roman"/>
          <w:sz w:val="24"/>
          <w:szCs w:val="24"/>
        </w:rPr>
        <w:t xml:space="preserve">%, до </w:t>
      </w:r>
      <w:r>
        <w:rPr>
          <w:rFonts w:ascii="Times New Roman" w:hAnsi="Times New Roman" w:cs="Times New Roman"/>
          <w:sz w:val="24"/>
          <w:szCs w:val="24"/>
        </w:rPr>
        <w:br/>
        <w:t>234,3</w:t>
      </w:r>
      <w:r w:rsidRPr="008A651D">
        <w:rPr>
          <w:rFonts w:ascii="Times New Roman" w:hAnsi="Times New Roman" w:cs="Times New Roman"/>
          <w:sz w:val="24"/>
          <w:szCs w:val="24"/>
        </w:rPr>
        <w:t xml:space="preserve"> млн руб.</w:t>
      </w:r>
    </w:p>
    <w:p w14:paraId="411A3782" w14:textId="0B496067" w:rsidR="006D25FE" w:rsidRPr="00890FED" w:rsidRDefault="006D25FE" w:rsidP="006D25FE">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Доходы целевых бюджетных фондов сложились в объёме </w:t>
      </w:r>
      <w:r>
        <w:rPr>
          <w:rFonts w:ascii="Times New Roman" w:hAnsi="Times New Roman" w:cs="Times New Roman"/>
          <w:sz w:val="24"/>
          <w:szCs w:val="24"/>
        </w:rPr>
        <w:t>626,4</w:t>
      </w:r>
      <w:r w:rsidRPr="008A651D">
        <w:rPr>
          <w:rFonts w:ascii="Times New Roman" w:hAnsi="Times New Roman" w:cs="Times New Roman"/>
          <w:sz w:val="24"/>
          <w:szCs w:val="24"/>
        </w:rPr>
        <w:t xml:space="preserve"> млн руб., превысив на </w:t>
      </w:r>
      <w:r>
        <w:rPr>
          <w:rFonts w:ascii="Times New Roman" w:hAnsi="Times New Roman" w:cs="Times New Roman"/>
          <w:sz w:val="24"/>
          <w:szCs w:val="24"/>
        </w:rPr>
        <w:t>19,0</w:t>
      </w:r>
      <w:r w:rsidRPr="008A651D">
        <w:rPr>
          <w:rFonts w:ascii="Times New Roman" w:hAnsi="Times New Roman" w:cs="Times New Roman"/>
          <w:sz w:val="24"/>
          <w:szCs w:val="24"/>
        </w:rPr>
        <w:t xml:space="preserve">% базисное значение. Наиболее крупные суммы средств поступили в Фонд капитальных вложений, сформированный путём зачисления части ввозной таможенной пошлины и единого социального налога, – </w:t>
      </w:r>
      <w:r>
        <w:rPr>
          <w:rFonts w:ascii="Times New Roman" w:hAnsi="Times New Roman" w:cs="Times New Roman"/>
          <w:sz w:val="24"/>
          <w:szCs w:val="24"/>
        </w:rPr>
        <w:t>265,1</w:t>
      </w:r>
      <w:r w:rsidRPr="008A651D">
        <w:rPr>
          <w:rFonts w:ascii="Times New Roman" w:hAnsi="Times New Roman" w:cs="Times New Roman"/>
          <w:sz w:val="24"/>
          <w:szCs w:val="24"/>
        </w:rPr>
        <w:t xml:space="preserve"> млн руб. (+</w:t>
      </w:r>
      <w:r>
        <w:rPr>
          <w:rFonts w:ascii="Times New Roman" w:hAnsi="Times New Roman" w:cs="Times New Roman"/>
          <w:sz w:val="24"/>
          <w:szCs w:val="24"/>
        </w:rPr>
        <w:t>34,3</w:t>
      </w:r>
      <w:r w:rsidRPr="008A651D">
        <w:rPr>
          <w:rFonts w:ascii="Times New Roman" w:hAnsi="Times New Roman" w:cs="Times New Roman"/>
          <w:sz w:val="24"/>
          <w:szCs w:val="24"/>
        </w:rPr>
        <w:t xml:space="preserve">% к базисному уровню). </w:t>
      </w:r>
      <w:r w:rsidRPr="00890FED">
        <w:rPr>
          <w:rFonts w:ascii="Times New Roman" w:hAnsi="Times New Roman" w:cs="Times New Roman"/>
          <w:sz w:val="24"/>
          <w:szCs w:val="24"/>
        </w:rPr>
        <w:t xml:space="preserve">В Фонде развития предпринимательства, созданном в 2019 году, пополнение которого происходит за счёт отчислений части ввозной таможенной пошлины, по итогам года было аккумулировано </w:t>
      </w:r>
      <w:r>
        <w:rPr>
          <w:rFonts w:ascii="Times New Roman" w:hAnsi="Times New Roman" w:cs="Times New Roman"/>
          <w:sz w:val="24"/>
          <w:szCs w:val="24"/>
        </w:rPr>
        <w:br/>
      </w:r>
      <w:r w:rsidRPr="00890FED">
        <w:rPr>
          <w:rFonts w:ascii="Times New Roman" w:hAnsi="Times New Roman" w:cs="Times New Roman"/>
          <w:sz w:val="24"/>
          <w:szCs w:val="24"/>
        </w:rPr>
        <w:t>24,2 млн руб.</w:t>
      </w:r>
    </w:p>
    <w:p w14:paraId="25D0511E" w14:textId="77777777" w:rsidR="006D25FE" w:rsidRDefault="006D25FE" w:rsidP="006D25FE">
      <w:pPr>
        <w:pStyle w:val="a5"/>
        <w:spacing w:before="0" w:after="0" w:line="240" w:lineRule="auto"/>
        <w:ind w:firstLine="425"/>
        <w:rPr>
          <w:rFonts w:ascii="Times New Roman" w:hAnsi="Times New Roman" w:cs="Times New Roman"/>
          <w:sz w:val="24"/>
          <w:szCs w:val="24"/>
        </w:rPr>
      </w:pPr>
      <w:r w:rsidRPr="008A651D">
        <w:rPr>
          <w:rFonts w:ascii="Times New Roman" w:hAnsi="Times New Roman" w:cs="Times New Roman"/>
          <w:sz w:val="24"/>
          <w:szCs w:val="24"/>
        </w:rPr>
        <w:t>Безвозмездные перечисления попол</w:t>
      </w:r>
      <w:r>
        <w:rPr>
          <w:rFonts w:ascii="Times New Roman" w:hAnsi="Times New Roman" w:cs="Times New Roman"/>
          <w:sz w:val="24"/>
          <w:szCs w:val="24"/>
        </w:rPr>
        <w:t xml:space="preserve">нили республиканский бюджет на 19,6 млн руб. </w:t>
      </w:r>
      <w:r w:rsidRPr="00890FED">
        <w:rPr>
          <w:rFonts w:ascii="Times New Roman" w:hAnsi="Times New Roman" w:cs="Times New Roman"/>
          <w:sz w:val="24"/>
          <w:szCs w:val="24"/>
        </w:rPr>
        <w:t>против 66,2 млн руб. в 2018 году.</w:t>
      </w:r>
    </w:p>
    <w:p w14:paraId="43C4AC0A" w14:textId="66963DAF" w:rsidR="006D25FE" w:rsidRPr="000E7A49" w:rsidRDefault="006D25FE" w:rsidP="006D25FE">
      <w:pPr>
        <w:pStyle w:val="a5"/>
        <w:spacing w:before="0" w:after="0" w:line="240" w:lineRule="auto"/>
        <w:ind w:firstLine="425"/>
        <w:rPr>
          <w:rFonts w:ascii="Times New Roman" w:hAnsi="Times New Roman" w:cs="Times New Roman"/>
          <w:sz w:val="24"/>
          <w:szCs w:val="24"/>
        </w:rPr>
      </w:pPr>
      <w:r w:rsidRPr="000E7A49">
        <w:rPr>
          <w:rFonts w:ascii="Times New Roman" w:hAnsi="Times New Roman" w:cs="Times New Roman"/>
          <w:sz w:val="24"/>
          <w:szCs w:val="24"/>
        </w:rPr>
        <w:lastRenderedPageBreak/>
        <w:t xml:space="preserve">Расходы консолидированного бюджета за 2019 год увеличились на 17,0%, до </w:t>
      </w:r>
      <w:r w:rsidRPr="000E7A49">
        <w:rPr>
          <w:rFonts w:ascii="Times New Roman" w:hAnsi="Times New Roman" w:cs="Times New Roman"/>
          <w:sz w:val="24"/>
          <w:szCs w:val="24"/>
        </w:rPr>
        <w:br/>
        <w:t xml:space="preserve">4 896,1 млн руб. Общереспубликанские расходные назначения сформировали 69,9% совокупного показателя, или 3 423,1 млн руб. (+17,1% к базисному уровню). Финансирование потребностей городов и районов расширилось на 16,8%, до 1 473,0 млн руб. </w:t>
      </w:r>
    </w:p>
    <w:p w14:paraId="6B08C1B0" w14:textId="77777777" w:rsidR="006D25FE" w:rsidRPr="000E7A49" w:rsidRDefault="006D25FE" w:rsidP="006D25FE">
      <w:pPr>
        <w:tabs>
          <w:tab w:val="left" w:pos="6946"/>
        </w:tabs>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Как и в предыдущие периоды, при исполнении государственных обязательств сохранялся приоритет финансирования социально защищённых статей. Бόльшая часть финансирования из бюджетов всех уровней пришлась на группу «воспроизводство человеческого капитала»</w:t>
      </w:r>
      <w:r w:rsidRPr="000E7A49">
        <w:rPr>
          <w:rStyle w:val="ae"/>
          <w:rFonts w:ascii="Times New Roman" w:hAnsi="Times New Roman"/>
          <w:sz w:val="24"/>
          <w:szCs w:val="24"/>
        </w:rPr>
        <w:footnoteReference w:id="15"/>
      </w:r>
      <w:r w:rsidRPr="000E7A49">
        <w:rPr>
          <w:rFonts w:ascii="Times New Roman" w:hAnsi="Times New Roman" w:cs="Times New Roman"/>
          <w:sz w:val="24"/>
          <w:szCs w:val="24"/>
        </w:rPr>
        <w:t xml:space="preserve"> – 2 133,4 млн руб. (+7,5% к значению сопоставимого периода 2018 года), из них на содержание образовательных учреждений выделено 1 041,5 млн руб. (+8,3% к базисному значению), на здравоохранение – 542,8 млн руб. (+5,6%), на социальное обеспечение – 459,8 млн руб. (+7,8%); затраты на поддержание организаций культуры и искусства расширились на 9,2%, до 89,4 млн руб. </w:t>
      </w:r>
    </w:p>
    <w:p w14:paraId="49FB76C5" w14:textId="77777777" w:rsidR="006D25FE" w:rsidRPr="000E7A49" w:rsidRDefault="006D25FE" w:rsidP="006D25FE">
      <w:pPr>
        <w:widowControl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 xml:space="preserve">Расходы на жилищно-коммунальное хозяйство, финансирование которого осуществляется из территориальных бюджетов, увеличились на 14,6%, до 60,5 млн руб. </w:t>
      </w:r>
    </w:p>
    <w:p w14:paraId="4F084AE4" w14:textId="77777777" w:rsidR="006D25FE" w:rsidRPr="000E7A49" w:rsidRDefault="006D25FE" w:rsidP="006D25FE">
      <w:pPr>
        <w:widowControl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На выполнение правоохранительной функции и обеспечение безопасности государства было направлено 507,8 млн руб. (+9,8%). Объём выделенных средств на обеспечение функционирования государства (государственное и местное управление, судебная власть, международная деятельность) составил 304,0 млн руб., что на 16,4% превзошло базисный уровень.</w:t>
      </w:r>
    </w:p>
    <w:p w14:paraId="0C2DF92E" w14:textId="77777777" w:rsidR="006D25FE" w:rsidRPr="000E7A49" w:rsidRDefault="006D25FE" w:rsidP="006D25FE">
      <w:pPr>
        <w:widowControl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При исполнении целевых программ зафиксировано расширение общих расходов на 23,5%, до 21,1 млн руб. Традиционно наибольшая часть ассигнований сконцентрирована в секторе здравоохранения.</w:t>
      </w:r>
    </w:p>
    <w:p w14:paraId="5ABCFFD9" w14:textId="77777777" w:rsidR="006D25FE" w:rsidRPr="000E7A49" w:rsidRDefault="006D25FE" w:rsidP="006D25FE">
      <w:pPr>
        <w:widowControl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Трансферты из республиканского бюджета в адрес территориальных бюджетов сократились на 18,9%, до 151,9 млн руб.</w:t>
      </w:r>
    </w:p>
    <w:p w14:paraId="1FB01322" w14:textId="77777777" w:rsidR="006D25FE" w:rsidRPr="000E7A49" w:rsidRDefault="006D25FE" w:rsidP="006D25FE">
      <w:pPr>
        <w:autoSpaceDE w:val="0"/>
        <w:autoSpaceDN w:val="0"/>
        <w:adjustRightInd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 xml:space="preserve">Сумма средств, направленных из Фонда капитальных вложений на строительство объектов производственного, социально-культурного, административного назначения, на жилищное строительство, на финансирование приобретения оборудования и предметов длительного пользования, на капитальный ремонт и развитие материально-технической базы, возросла в 1,5 раза, до 257,7 млн руб. </w:t>
      </w:r>
    </w:p>
    <w:p w14:paraId="40DAB706" w14:textId="5BD0C79F" w:rsidR="006D25FE" w:rsidRPr="000E7A49" w:rsidRDefault="008039B8" w:rsidP="006D25FE">
      <w:pPr>
        <w:autoSpaceDE w:val="0"/>
        <w:autoSpaceDN w:val="0"/>
        <w:adjustRightInd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Из средств</w:t>
      </w:r>
      <w:r w:rsidR="006D25FE" w:rsidRPr="000E7A49">
        <w:rPr>
          <w:rFonts w:ascii="Times New Roman" w:hAnsi="Times New Roman" w:cs="Times New Roman"/>
          <w:sz w:val="24"/>
          <w:szCs w:val="24"/>
        </w:rPr>
        <w:t xml:space="preserve"> Фонд</w:t>
      </w:r>
      <w:r>
        <w:rPr>
          <w:rFonts w:ascii="Times New Roman" w:hAnsi="Times New Roman" w:cs="Times New Roman"/>
          <w:sz w:val="24"/>
          <w:szCs w:val="24"/>
        </w:rPr>
        <w:t>а</w:t>
      </w:r>
      <w:r w:rsidR="006D25FE" w:rsidRPr="000E7A49">
        <w:rPr>
          <w:rFonts w:ascii="Times New Roman" w:hAnsi="Times New Roman" w:cs="Times New Roman"/>
          <w:sz w:val="24"/>
          <w:szCs w:val="24"/>
        </w:rPr>
        <w:t xml:space="preserve"> развития предпринимательства было выделено 10,4</w:t>
      </w:r>
      <w:r>
        <w:rPr>
          <w:rFonts w:ascii="Times New Roman" w:hAnsi="Times New Roman" w:cs="Times New Roman"/>
          <w:sz w:val="24"/>
          <w:szCs w:val="24"/>
        </w:rPr>
        <w:t xml:space="preserve"> млн руб., о</w:t>
      </w:r>
      <w:r w:rsidR="006D25FE" w:rsidRPr="000E7A49">
        <w:rPr>
          <w:rFonts w:ascii="Times New Roman" w:hAnsi="Times New Roman" w:cs="Times New Roman"/>
          <w:sz w:val="24"/>
          <w:szCs w:val="24"/>
        </w:rPr>
        <w:t xml:space="preserve">сновная часть </w:t>
      </w:r>
      <w:r>
        <w:rPr>
          <w:rFonts w:ascii="Times New Roman" w:hAnsi="Times New Roman" w:cs="Times New Roman"/>
          <w:sz w:val="24"/>
          <w:szCs w:val="24"/>
        </w:rPr>
        <w:t>из которых</w:t>
      </w:r>
      <w:r w:rsidR="006D25FE" w:rsidRPr="000E7A49">
        <w:rPr>
          <w:rFonts w:ascii="Times New Roman" w:hAnsi="Times New Roman" w:cs="Times New Roman"/>
          <w:sz w:val="24"/>
          <w:szCs w:val="24"/>
        </w:rPr>
        <w:t xml:space="preserve"> была направлена на дотирование отечественных сельскохозяйственных организаций. </w:t>
      </w:r>
    </w:p>
    <w:p w14:paraId="21AC3973" w14:textId="7089010F" w:rsidR="006D25FE" w:rsidRPr="000E7A49" w:rsidRDefault="006D25FE" w:rsidP="006D25FE">
      <w:pPr>
        <w:autoSpaceDE w:val="0"/>
        <w:autoSpaceDN w:val="0"/>
        <w:adjustRightInd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 xml:space="preserve">На содержание, ремонт и развитие автомобильных дорог общего пользования и их составных частей, находящихся в государственной собственности, из бюджета направлено </w:t>
      </w:r>
      <w:r w:rsidRPr="000E7A49">
        <w:rPr>
          <w:rFonts w:ascii="Times New Roman" w:hAnsi="Times New Roman" w:cs="Times New Roman"/>
          <w:sz w:val="24"/>
          <w:szCs w:val="24"/>
        </w:rPr>
        <w:br/>
        <w:t>62,3 млн руб., муниципальной собственности – 95,3 млн руб. На благоустройство территорий образовательных учреждений были направлены целевые субсидии в сумме 24,0 млн руб.</w:t>
      </w:r>
    </w:p>
    <w:p w14:paraId="00906F29" w14:textId="1494C533" w:rsidR="00471C23" w:rsidRDefault="006D25FE" w:rsidP="006D25FE">
      <w:pPr>
        <w:autoSpaceDE w:val="0"/>
        <w:autoSpaceDN w:val="0"/>
        <w:adjustRightInd w:val="0"/>
        <w:spacing w:before="0" w:after="0" w:line="240" w:lineRule="auto"/>
        <w:ind w:firstLine="425"/>
        <w:jc w:val="both"/>
        <w:rPr>
          <w:rFonts w:ascii="Times New Roman" w:hAnsi="Times New Roman" w:cs="Times New Roman"/>
          <w:sz w:val="24"/>
          <w:szCs w:val="24"/>
        </w:rPr>
      </w:pPr>
      <w:r w:rsidRPr="000E7A49">
        <w:rPr>
          <w:rFonts w:ascii="Times New Roman" w:hAnsi="Times New Roman" w:cs="Times New Roman"/>
          <w:sz w:val="24"/>
          <w:szCs w:val="24"/>
        </w:rPr>
        <w:t>За 2</w:t>
      </w:r>
      <w:r>
        <w:rPr>
          <w:rFonts w:ascii="Times New Roman" w:hAnsi="Times New Roman" w:cs="Times New Roman"/>
          <w:sz w:val="24"/>
          <w:szCs w:val="24"/>
        </w:rPr>
        <w:t>019 год</w:t>
      </w:r>
      <w:r w:rsidRPr="000E7A49">
        <w:rPr>
          <w:rFonts w:ascii="Times New Roman" w:hAnsi="Times New Roman" w:cs="Times New Roman"/>
          <w:sz w:val="24"/>
          <w:szCs w:val="24"/>
        </w:rPr>
        <w:t xml:space="preserve"> в доход Единого государственного фонда социального страхования Приднестровской Молдавской Республики (ЕГФCC ПМР) поступило средств на сумму </w:t>
      </w:r>
      <w:r>
        <w:rPr>
          <w:rFonts w:ascii="Times New Roman" w:hAnsi="Times New Roman" w:cs="Times New Roman"/>
          <w:sz w:val="24"/>
          <w:szCs w:val="24"/>
        </w:rPr>
        <w:br/>
      </w:r>
      <w:r w:rsidRPr="000E7A49">
        <w:rPr>
          <w:rFonts w:ascii="Times New Roman" w:hAnsi="Times New Roman" w:cs="Times New Roman"/>
          <w:sz w:val="24"/>
          <w:szCs w:val="24"/>
        </w:rPr>
        <w:t>2 319,7 млн руб. (без учёта остатка денежных средств по состоянию на 1 января 2019 года и средств гуманитарной помощи Российской Федерации), что на 1,5% больше, чем в 2018 году. Повышательная динамика главным образом определялась ростом налоговых доходов на 8,9%, до 1 603,0 млн руб. В свою очередь из бюджета ЕГФC</w:t>
      </w:r>
      <w:r>
        <w:rPr>
          <w:rFonts w:ascii="Times New Roman" w:hAnsi="Times New Roman" w:cs="Times New Roman"/>
          <w:sz w:val="24"/>
          <w:szCs w:val="24"/>
        </w:rPr>
        <w:t xml:space="preserve">C ПМР было израсходовано </w:t>
      </w:r>
      <w:r w:rsidR="00FA55AF">
        <w:rPr>
          <w:rFonts w:ascii="Times New Roman" w:hAnsi="Times New Roman" w:cs="Times New Roman"/>
          <w:sz w:val="24"/>
          <w:szCs w:val="24"/>
        </w:rPr>
        <w:br/>
      </w:r>
      <w:r>
        <w:rPr>
          <w:rFonts w:ascii="Times New Roman" w:hAnsi="Times New Roman" w:cs="Times New Roman"/>
          <w:sz w:val="24"/>
          <w:szCs w:val="24"/>
        </w:rPr>
        <w:t>2 50</w:t>
      </w:r>
      <w:r w:rsidRPr="000E7A49">
        <w:rPr>
          <w:rFonts w:ascii="Times New Roman" w:hAnsi="Times New Roman" w:cs="Times New Roman"/>
          <w:sz w:val="24"/>
          <w:szCs w:val="24"/>
        </w:rPr>
        <w:t>6,1 млн руб., что на 1,1% ниже значения базисного периода.</w:t>
      </w:r>
      <w:r w:rsidRPr="008A651D">
        <w:rPr>
          <w:rFonts w:ascii="Times New Roman" w:hAnsi="Times New Roman" w:cs="Times New Roman"/>
          <w:sz w:val="24"/>
          <w:szCs w:val="24"/>
        </w:rPr>
        <w:t xml:space="preserve"> </w:t>
      </w:r>
    </w:p>
    <w:p w14:paraId="4005211B" w14:textId="5ADAA7D1" w:rsidR="00192506" w:rsidRDefault="00192506" w:rsidP="00192506">
      <w:pPr>
        <w:autoSpaceDE w:val="0"/>
        <w:autoSpaceDN w:val="0"/>
        <w:adjustRightInd w:val="0"/>
        <w:spacing w:before="0" w:after="0" w:line="240" w:lineRule="auto"/>
        <w:ind w:firstLine="425"/>
        <w:jc w:val="both"/>
        <w:rPr>
          <w:rFonts w:ascii="Times New Roman" w:hAnsi="Times New Roman" w:cs="Times New Roman"/>
          <w:sz w:val="24"/>
          <w:szCs w:val="24"/>
        </w:rPr>
      </w:pPr>
    </w:p>
    <w:p w14:paraId="1164E980" w14:textId="58AD6F00" w:rsidR="00F84451" w:rsidRDefault="00F84451" w:rsidP="00192506">
      <w:pPr>
        <w:autoSpaceDE w:val="0"/>
        <w:autoSpaceDN w:val="0"/>
        <w:adjustRightInd w:val="0"/>
        <w:spacing w:before="0" w:after="0" w:line="240" w:lineRule="auto"/>
        <w:ind w:firstLine="425"/>
        <w:jc w:val="both"/>
        <w:rPr>
          <w:rFonts w:ascii="Times New Roman" w:hAnsi="Times New Roman" w:cs="Times New Roman"/>
          <w:sz w:val="24"/>
          <w:szCs w:val="24"/>
        </w:rPr>
      </w:pPr>
    </w:p>
    <w:p w14:paraId="10883622" w14:textId="77777777" w:rsidR="00F84451" w:rsidRDefault="00F84451" w:rsidP="00192506">
      <w:pPr>
        <w:autoSpaceDE w:val="0"/>
        <w:autoSpaceDN w:val="0"/>
        <w:adjustRightInd w:val="0"/>
        <w:spacing w:before="0" w:after="0" w:line="240" w:lineRule="auto"/>
        <w:ind w:firstLine="425"/>
        <w:jc w:val="both"/>
        <w:rPr>
          <w:rFonts w:ascii="Times New Roman" w:hAnsi="Times New Roman" w:cs="Times New Roman"/>
          <w:sz w:val="24"/>
          <w:szCs w:val="24"/>
        </w:rPr>
      </w:pPr>
    </w:p>
    <w:p w14:paraId="4FEE1A64" w14:textId="77777777" w:rsidR="00683E52" w:rsidRPr="008A651D" w:rsidRDefault="00683E52" w:rsidP="00192506">
      <w:pPr>
        <w:autoSpaceDE w:val="0"/>
        <w:autoSpaceDN w:val="0"/>
        <w:adjustRightInd w:val="0"/>
        <w:spacing w:before="0" w:after="0" w:line="240" w:lineRule="auto"/>
        <w:ind w:firstLine="425"/>
        <w:jc w:val="both"/>
        <w:rPr>
          <w:rFonts w:ascii="Times New Roman" w:hAnsi="Times New Roman" w:cs="Times New Roman"/>
          <w:sz w:val="24"/>
          <w:szCs w:val="24"/>
        </w:rPr>
      </w:pPr>
    </w:p>
    <w:p w14:paraId="1FD3DEE8" w14:textId="77777777" w:rsidR="003C18BB" w:rsidRPr="004D7D79" w:rsidRDefault="004D7D79" w:rsidP="00192506">
      <w:pPr>
        <w:pStyle w:val="1"/>
        <w:widowControl w:val="0"/>
        <w:numPr>
          <w:ilvl w:val="1"/>
          <w:numId w:val="1"/>
        </w:numPr>
        <w:spacing w:before="0" w:line="240" w:lineRule="auto"/>
        <w:rPr>
          <w:b/>
          <w:bCs/>
          <w:noProof/>
          <w:sz w:val="24"/>
          <w:szCs w:val="24"/>
        </w:rPr>
      </w:pPr>
      <w:r>
        <w:rPr>
          <w:b/>
          <w:bCs/>
          <w:noProof/>
          <w:sz w:val="24"/>
          <w:szCs w:val="24"/>
        </w:rPr>
        <w:lastRenderedPageBreak/>
        <w:t xml:space="preserve"> </w:t>
      </w:r>
      <w:r w:rsidR="003C18BB" w:rsidRPr="004D7D79">
        <w:rPr>
          <w:b/>
          <w:bCs/>
          <w:noProof/>
          <w:sz w:val="24"/>
          <w:szCs w:val="24"/>
        </w:rPr>
        <w:t>ФИНАНСОВЫЙ СЕКТОР</w:t>
      </w:r>
    </w:p>
    <w:p w14:paraId="1E1B1DE9" w14:textId="77777777" w:rsidR="00192506" w:rsidRDefault="00192506" w:rsidP="008A651D">
      <w:pPr>
        <w:widowControl w:val="0"/>
        <w:spacing w:before="0" w:after="0" w:line="240" w:lineRule="auto"/>
        <w:ind w:firstLine="425"/>
        <w:jc w:val="both"/>
        <w:rPr>
          <w:rFonts w:ascii="Times New Roman" w:hAnsi="Times New Roman" w:cs="Times New Roman"/>
          <w:i/>
          <w:iCs/>
          <w:sz w:val="24"/>
          <w:szCs w:val="24"/>
        </w:rPr>
      </w:pPr>
    </w:p>
    <w:p w14:paraId="11572CE5" w14:textId="77777777" w:rsidR="00684192" w:rsidRPr="004D7D79" w:rsidRDefault="00684192" w:rsidP="00192506">
      <w:pPr>
        <w:pStyle w:val="2"/>
        <w:rPr>
          <w:b/>
          <w:noProof/>
        </w:rPr>
      </w:pPr>
      <w:r w:rsidRPr="004D7D79">
        <w:rPr>
          <w:b/>
          <w:noProof/>
        </w:rPr>
        <w:t>Денежный рынок</w:t>
      </w:r>
    </w:p>
    <w:p w14:paraId="5861F7F9" w14:textId="77777777" w:rsidR="00192506" w:rsidRDefault="00192506" w:rsidP="008A651D">
      <w:pPr>
        <w:widowControl w:val="0"/>
        <w:spacing w:before="0" w:after="0" w:line="240" w:lineRule="auto"/>
        <w:ind w:firstLine="425"/>
        <w:jc w:val="both"/>
        <w:rPr>
          <w:rFonts w:ascii="Times New Roman" w:hAnsi="Times New Roman" w:cs="Times New Roman"/>
          <w:sz w:val="24"/>
          <w:szCs w:val="24"/>
        </w:rPr>
      </w:pPr>
    </w:p>
    <w:p w14:paraId="417300CC" w14:textId="77777777" w:rsidR="00684192" w:rsidRPr="00E07CE9" w:rsidRDefault="00192506"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Динамика </w:t>
      </w:r>
      <w:r w:rsidR="00684192" w:rsidRPr="008A651D">
        <w:rPr>
          <w:rFonts w:ascii="Times New Roman" w:hAnsi="Times New Roman" w:cs="Times New Roman"/>
          <w:sz w:val="24"/>
          <w:szCs w:val="24"/>
        </w:rPr>
        <w:t xml:space="preserve">экономической активности в республике обеспечила рост объёма национальной </w:t>
      </w:r>
      <w:r w:rsidR="00684192" w:rsidRPr="009F218F">
        <w:rPr>
          <w:rFonts w:ascii="Times New Roman" w:hAnsi="Times New Roman" w:cs="Times New Roman"/>
          <w:sz w:val="24"/>
          <w:szCs w:val="24"/>
        </w:rPr>
        <w:t>денежной массы до 3 439,6 млн руб. на 1 января 2020 года (табл. 1.6), что выше значения на</w:t>
      </w:r>
      <w:r w:rsidR="00684192" w:rsidRPr="008A651D">
        <w:rPr>
          <w:rFonts w:ascii="Times New Roman" w:hAnsi="Times New Roman" w:cs="Times New Roman"/>
          <w:sz w:val="24"/>
          <w:szCs w:val="24"/>
        </w:rPr>
        <w:t xml:space="preserve"> </w:t>
      </w:r>
      <w:r w:rsidR="00684192" w:rsidRPr="00E07CE9">
        <w:rPr>
          <w:rFonts w:ascii="Times New Roman" w:hAnsi="Times New Roman" w:cs="Times New Roman"/>
          <w:sz w:val="24"/>
          <w:szCs w:val="24"/>
        </w:rPr>
        <w:t>начало года на 24,7%, или на 681,6 млн руб.</w:t>
      </w:r>
    </w:p>
    <w:p w14:paraId="73F256D1" w14:textId="77777777" w:rsidR="00684192" w:rsidRPr="008A651D" w:rsidRDefault="00684192" w:rsidP="00683E52">
      <w:pPr>
        <w:spacing w:before="120" w:after="120" w:line="240" w:lineRule="auto"/>
        <w:ind w:firstLine="425"/>
        <w:jc w:val="right"/>
        <w:rPr>
          <w:rFonts w:ascii="Times New Roman" w:hAnsi="Times New Roman" w:cs="Times New Roman"/>
          <w:b/>
          <w:i/>
          <w:color w:val="000000"/>
          <w:sz w:val="24"/>
          <w:szCs w:val="22"/>
        </w:rPr>
      </w:pPr>
      <w:r w:rsidRPr="008A651D">
        <w:rPr>
          <w:rFonts w:ascii="Times New Roman" w:hAnsi="Times New Roman" w:cs="Times New Roman"/>
          <w:b/>
          <w:i/>
          <w:color w:val="000000"/>
          <w:sz w:val="24"/>
          <w:szCs w:val="22"/>
        </w:rPr>
        <w:t>Таблица 1.6</w:t>
      </w:r>
    </w:p>
    <w:p w14:paraId="32F97F6C" w14:textId="77777777" w:rsidR="00684192" w:rsidRDefault="00684192" w:rsidP="00683E52">
      <w:pPr>
        <w:spacing w:before="0" w:after="120" w:line="240" w:lineRule="auto"/>
        <w:jc w:val="center"/>
        <w:rPr>
          <w:rFonts w:ascii="Times New Roman" w:hAnsi="Times New Roman" w:cs="Times New Roman"/>
          <w:b/>
          <w:i/>
          <w:color w:val="000000"/>
          <w:sz w:val="24"/>
          <w:szCs w:val="22"/>
        </w:rPr>
      </w:pPr>
      <w:r w:rsidRPr="008A651D">
        <w:rPr>
          <w:rFonts w:ascii="Times New Roman" w:hAnsi="Times New Roman" w:cs="Times New Roman"/>
          <w:b/>
          <w:i/>
          <w:color w:val="000000"/>
          <w:sz w:val="24"/>
          <w:szCs w:val="22"/>
        </w:rPr>
        <w:t xml:space="preserve">Структура и динамика денежного предложения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1197"/>
        <w:gridCol w:w="1054"/>
        <w:gridCol w:w="1199"/>
        <w:gridCol w:w="1053"/>
        <w:gridCol w:w="886"/>
      </w:tblGrid>
      <w:tr w:rsidR="00684192" w:rsidRPr="008A651D" w14:paraId="02BB8D44" w14:textId="77777777" w:rsidTr="00596112">
        <w:trPr>
          <w:cantSplit/>
          <w:trHeight w:val="75"/>
        </w:trPr>
        <w:tc>
          <w:tcPr>
            <w:tcW w:w="4250" w:type="dxa"/>
            <w:vMerge w:val="restart"/>
            <w:shd w:val="clear" w:color="auto" w:fill="C0C0C0"/>
          </w:tcPr>
          <w:p w14:paraId="3977D62B" w14:textId="77777777" w:rsidR="00684192" w:rsidRPr="008A651D" w:rsidRDefault="00684192" w:rsidP="008A651D">
            <w:pPr>
              <w:spacing w:before="0" w:after="0" w:line="240" w:lineRule="auto"/>
              <w:ind w:right="-1"/>
              <w:jc w:val="both"/>
              <w:rPr>
                <w:rFonts w:ascii="Times New Roman" w:hAnsi="Times New Roman" w:cs="Times New Roman"/>
                <w:color w:val="000000"/>
                <w:sz w:val="22"/>
                <w:szCs w:val="22"/>
              </w:rPr>
            </w:pPr>
          </w:p>
        </w:tc>
        <w:tc>
          <w:tcPr>
            <w:tcW w:w="2251" w:type="dxa"/>
            <w:gridSpan w:val="2"/>
            <w:shd w:val="clear" w:color="auto" w:fill="C0C0C0"/>
            <w:vAlign w:val="bottom"/>
          </w:tcPr>
          <w:p w14:paraId="455FF707" w14:textId="77777777" w:rsidR="00684192" w:rsidRPr="008A651D" w:rsidRDefault="00684192" w:rsidP="008A651D">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01.01.2019</w:t>
            </w:r>
          </w:p>
        </w:tc>
        <w:tc>
          <w:tcPr>
            <w:tcW w:w="2252" w:type="dxa"/>
            <w:gridSpan w:val="2"/>
            <w:shd w:val="clear" w:color="auto" w:fill="C0C0C0"/>
            <w:vAlign w:val="bottom"/>
          </w:tcPr>
          <w:p w14:paraId="0D94A55B" w14:textId="77777777" w:rsidR="00684192" w:rsidRPr="008A651D" w:rsidRDefault="00684192" w:rsidP="008A651D">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01.01.2020</w:t>
            </w:r>
          </w:p>
        </w:tc>
        <w:tc>
          <w:tcPr>
            <w:tcW w:w="886" w:type="dxa"/>
            <w:vMerge w:val="restart"/>
            <w:shd w:val="clear" w:color="auto" w:fill="C0C0C0"/>
          </w:tcPr>
          <w:p w14:paraId="1A98576C" w14:textId="77777777" w:rsidR="00684192" w:rsidRPr="008A651D" w:rsidRDefault="00684192" w:rsidP="008A651D">
            <w:pPr>
              <w:spacing w:before="0" w:after="0" w:line="240" w:lineRule="auto"/>
              <w:ind w:left="-108" w:right="-10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темп</w:t>
            </w:r>
          </w:p>
          <w:p w14:paraId="615E8906" w14:textId="77777777" w:rsidR="00684192" w:rsidRPr="008A651D" w:rsidRDefault="00684192" w:rsidP="008A651D">
            <w:pPr>
              <w:spacing w:before="0" w:after="0" w:line="240" w:lineRule="auto"/>
              <w:ind w:left="-108" w:right="-10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роста, %</w:t>
            </w:r>
          </w:p>
        </w:tc>
      </w:tr>
      <w:tr w:rsidR="00684192" w:rsidRPr="008A651D" w14:paraId="747D35A3" w14:textId="77777777" w:rsidTr="00596112">
        <w:trPr>
          <w:cantSplit/>
          <w:trHeight w:val="70"/>
        </w:trPr>
        <w:tc>
          <w:tcPr>
            <w:tcW w:w="4250" w:type="dxa"/>
            <w:vMerge/>
          </w:tcPr>
          <w:p w14:paraId="70271443" w14:textId="77777777" w:rsidR="00684192" w:rsidRPr="008A651D" w:rsidRDefault="00684192" w:rsidP="008A651D">
            <w:pPr>
              <w:spacing w:before="0" w:after="0" w:line="240" w:lineRule="auto"/>
              <w:ind w:right="-1"/>
              <w:jc w:val="both"/>
              <w:rPr>
                <w:rFonts w:ascii="Times New Roman" w:hAnsi="Times New Roman" w:cs="Times New Roman"/>
                <w:color w:val="000000"/>
                <w:sz w:val="22"/>
                <w:szCs w:val="22"/>
              </w:rPr>
            </w:pPr>
          </w:p>
        </w:tc>
        <w:tc>
          <w:tcPr>
            <w:tcW w:w="1197" w:type="dxa"/>
            <w:shd w:val="clear" w:color="auto" w:fill="C0C0C0"/>
          </w:tcPr>
          <w:p w14:paraId="26412EC7" w14:textId="77777777" w:rsidR="00684192" w:rsidRPr="008A651D" w:rsidRDefault="00684192"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054" w:type="dxa"/>
            <w:shd w:val="clear" w:color="auto" w:fill="C0C0C0"/>
          </w:tcPr>
          <w:p w14:paraId="2DAC4A02" w14:textId="77777777" w:rsidR="00684192" w:rsidRPr="008A651D" w:rsidRDefault="00684192" w:rsidP="008A651D">
            <w:pPr>
              <w:keepNext/>
              <w:spacing w:before="0" w:after="0" w:line="240" w:lineRule="auto"/>
              <w:ind w:left="-117" w:right="-108"/>
              <w:jc w:val="center"/>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1199" w:type="dxa"/>
            <w:tcBorders>
              <w:bottom w:val="double" w:sz="4" w:space="0" w:color="auto"/>
            </w:tcBorders>
            <w:shd w:val="clear" w:color="auto" w:fill="C0C0C0"/>
          </w:tcPr>
          <w:p w14:paraId="459FEDAB" w14:textId="77777777" w:rsidR="00684192" w:rsidRPr="008A651D" w:rsidRDefault="00684192"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053" w:type="dxa"/>
            <w:shd w:val="clear" w:color="auto" w:fill="C0C0C0"/>
          </w:tcPr>
          <w:p w14:paraId="236D82C7" w14:textId="77777777" w:rsidR="00684192" w:rsidRPr="008A651D" w:rsidRDefault="00684192" w:rsidP="008A651D">
            <w:pPr>
              <w:keepNext/>
              <w:spacing w:before="0" w:after="0" w:line="240" w:lineRule="auto"/>
              <w:ind w:left="-117" w:right="-108"/>
              <w:jc w:val="center"/>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886" w:type="dxa"/>
            <w:vMerge/>
            <w:shd w:val="clear" w:color="auto" w:fill="C0C0C0"/>
          </w:tcPr>
          <w:p w14:paraId="3B3ED4F9" w14:textId="77777777" w:rsidR="00684192" w:rsidRPr="008A651D" w:rsidRDefault="00684192" w:rsidP="008A651D">
            <w:pPr>
              <w:keepNext/>
              <w:spacing w:before="0" w:after="0" w:line="240" w:lineRule="auto"/>
              <w:ind w:left="-91" w:right="-94"/>
              <w:jc w:val="center"/>
              <w:outlineLvl w:val="2"/>
              <w:rPr>
                <w:rFonts w:ascii="Times New Roman" w:hAnsi="Times New Roman" w:cs="Times New Roman"/>
                <w:color w:val="000000"/>
                <w:sz w:val="22"/>
                <w:szCs w:val="22"/>
              </w:rPr>
            </w:pPr>
          </w:p>
        </w:tc>
      </w:tr>
      <w:tr w:rsidR="00684192" w:rsidRPr="008A651D" w14:paraId="0F4F1E8F" w14:textId="77777777" w:rsidTr="00596112">
        <w:trPr>
          <w:cantSplit/>
          <w:trHeight w:val="50"/>
        </w:trPr>
        <w:tc>
          <w:tcPr>
            <w:tcW w:w="4250" w:type="dxa"/>
            <w:tcBorders>
              <w:top w:val="double" w:sz="4" w:space="0" w:color="auto"/>
              <w:bottom w:val="single" w:sz="4" w:space="0" w:color="auto"/>
            </w:tcBorders>
            <w:shd w:val="clear" w:color="auto" w:fill="E6E6E6"/>
          </w:tcPr>
          <w:p w14:paraId="027F9E9D" w14:textId="77777777" w:rsidR="00684192" w:rsidRPr="008A651D" w:rsidRDefault="00684192" w:rsidP="008A651D">
            <w:pPr>
              <w:keepNext/>
              <w:spacing w:before="0" w:after="0" w:line="240" w:lineRule="auto"/>
              <w:ind w:right="-1"/>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Полная денежная масса (М3)</w:t>
            </w:r>
          </w:p>
        </w:tc>
        <w:tc>
          <w:tcPr>
            <w:tcW w:w="1197" w:type="dxa"/>
            <w:tcBorders>
              <w:top w:val="double" w:sz="4" w:space="0" w:color="auto"/>
              <w:bottom w:val="single" w:sz="4" w:space="0" w:color="auto"/>
            </w:tcBorders>
            <w:shd w:val="clear" w:color="auto" w:fill="E6E6E6"/>
            <w:vAlign w:val="bottom"/>
          </w:tcPr>
          <w:p w14:paraId="74F48BD4"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8 130,0</w:t>
            </w:r>
          </w:p>
        </w:tc>
        <w:tc>
          <w:tcPr>
            <w:tcW w:w="1054" w:type="dxa"/>
            <w:tcBorders>
              <w:top w:val="double" w:sz="4" w:space="0" w:color="auto"/>
              <w:bottom w:val="single" w:sz="4" w:space="0" w:color="auto"/>
            </w:tcBorders>
            <w:shd w:val="clear" w:color="auto" w:fill="E6E6E6"/>
            <w:vAlign w:val="bottom"/>
          </w:tcPr>
          <w:p w14:paraId="64A536F5"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100,0</w:t>
            </w:r>
          </w:p>
        </w:tc>
        <w:tc>
          <w:tcPr>
            <w:tcW w:w="1199" w:type="dxa"/>
            <w:tcBorders>
              <w:top w:val="double" w:sz="4" w:space="0" w:color="auto"/>
              <w:bottom w:val="single" w:sz="4" w:space="0" w:color="auto"/>
            </w:tcBorders>
            <w:shd w:val="clear" w:color="auto" w:fill="E6E6E6"/>
            <w:vAlign w:val="bottom"/>
          </w:tcPr>
          <w:p w14:paraId="313A37FC"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9 319,2</w:t>
            </w:r>
          </w:p>
        </w:tc>
        <w:tc>
          <w:tcPr>
            <w:tcW w:w="1053" w:type="dxa"/>
            <w:tcBorders>
              <w:top w:val="double" w:sz="4" w:space="0" w:color="auto"/>
              <w:bottom w:val="single" w:sz="4" w:space="0" w:color="auto"/>
            </w:tcBorders>
            <w:shd w:val="clear" w:color="auto" w:fill="E6E6E6"/>
            <w:vAlign w:val="bottom"/>
          </w:tcPr>
          <w:p w14:paraId="2182965D"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100,0</w:t>
            </w:r>
          </w:p>
        </w:tc>
        <w:tc>
          <w:tcPr>
            <w:tcW w:w="886" w:type="dxa"/>
            <w:tcBorders>
              <w:top w:val="double" w:sz="4" w:space="0" w:color="auto"/>
              <w:bottom w:val="single" w:sz="4" w:space="0" w:color="auto"/>
            </w:tcBorders>
            <w:shd w:val="clear" w:color="auto" w:fill="E6E6E6"/>
            <w:vAlign w:val="bottom"/>
          </w:tcPr>
          <w:p w14:paraId="29CF4321"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114,6</w:t>
            </w:r>
          </w:p>
        </w:tc>
      </w:tr>
      <w:tr w:rsidR="00684192" w:rsidRPr="008A651D" w14:paraId="2EAFF42E" w14:textId="77777777" w:rsidTr="00596112">
        <w:trPr>
          <w:cantSplit/>
          <w:trHeight w:val="50"/>
        </w:trPr>
        <w:tc>
          <w:tcPr>
            <w:tcW w:w="4250" w:type="dxa"/>
            <w:tcBorders>
              <w:top w:val="single" w:sz="4" w:space="0" w:color="auto"/>
              <w:bottom w:val="nil"/>
            </w:tcBorders>
            <w:shd w:val="clear" w:color="auto" w:fill="E6E6E6"/>
          </w:tcPr>
          <w:p w14:paraId="6954180F" w14:textId="77777777" w:rsidR="00684192" w:rsidRPr="008A651D" w:rsidRDefault="00684192" w:rsidP="008A651D">
            <w:pPr>
              <w:keepNext/>
              <w:spacing w:before="0" w:after="0" w:line="240" w:lineRule="auto"/>
              <w:ind w:left="32" w:right="-1" w:firstLine="112"/>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в том числе:</w:t>
            </w:r>
          </w:p>
        </w:tc>
        <w:tc>
          <w:tcPr>
            <w:tcW w:w="1197" w:type="dxa"/>
            <w:tcBorders>
              <w:top w:val="single" w:sz="4" w:space="0" w:color="auto"/>
              <w:bottom w:val="nil"/>
            </w:tcBorders>
            <w:shd w:val="clear" w:color="auto" w:fill="E6E6E6"/>
            <w:vAlign w:val="bottom"/>
          </w:tcPr>
          <w:p w14:paraId="5A2BD58F"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4" w:type="dxa"/>
            <w:tcBorders>
              <w:top w:val="single" w:sz="4" w:space="0" w:color="auto"/>
              <w:bottom w:val="nil"/>
            </w:tcBorders>
            <w:shd w:val="clear" w:color="auto" w:fill="E6E6E6"/>
            <w:vAlign w:val="bottom"/>
          </w:tcPr>
          <w:p w14:paraId="5EACAE2E"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199" w:type="dxa"/>
            <w:tcBorders>
              <w:top w:val="single" w:sz="4" w:space="0" w:color="auto"/>
              <w:bottom w:val="nil"/>
            </w:tcBorders>
            <w:shd w:val="clear" w:color="auto" w:fill="E6E6E6"/>
            <w:vAlign w:val="bottom"/>
          </w:tcPr>
          <w:p w14:paraId="21A315BF"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3" w:type="dxa"/>
            <w:tcBorders>
              <w:top w:val="single" w:sz="4" w:space="0" w:color="auto"/>
              <w:bottom w:val="nil"/>
            </w:tcBorders>
            <w:shd w:val="clear" w:color="auto" w:fill="E6E6E6"/>
            <w:vAlign w:val="bottom"/>
          </w:tcPr>
          <w:p w14:paraId="0885FD9B"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886" w:type="dxa"/>
            <w:tcBorders>
              <w:top w:val="single" w:sz="4" w:space="0" w:color="auto"/>
              <w:bottom w:val="nil"/>
            </w:tcBorders>
            <w:shd w:val="clear" w:color="auto" w:fill="E6E6E6"/>
            <w:vAlign w:val="bottom"/>
          </w:tcPr>
          <w:p w14:paraId="175EE626"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r>
      <w:tr w:rsidR="00684192" w:rsidRPr="008A651D" w14:paraId="2B2E7564" w14:textId="77777777" w:rsidTr="00596112">
        <w:trPr>
          <w:cantSplit/>
          <w:trHeight w:val="77"/>
        </w:trPr>
        <w:tc>
          <w:tcPr>
            <w:tcW w:w="4250" w:type="dxa"/>
            <w:tcBorders>
              <w:top w:val="nil"/>
            </w:tcBorders>
            <w:shd w:val="clear" w:color="auto" w:fill="E6E6E6"/>
          </w:tcPr>
          <w:p w14:paraId="2F376147" w14:textId="77777777" w:rsidR="00684192" w:rsidRPr="008A651D" w:rsidRDefault="00684192" w:rsidP="008A651D">
            <w:pPr>
              <w:keepNext/>
              <w:spacing w:before="0" w:after="0" w:line="240" w:lineRule="auto"/>
              <w:ind w:left="116" w:right="-108" w:firstLine="12"/>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национальная денежная масса (</w:t>
            </w:r>
            <w:bookmarkStart w:id="1" w:name="OLE_LINK5"/>
            <w:bookmarkStart w:id="2" w:name="OLE_LINK6"/>
            <w:r w:rsidRPr="008A651D">
              <w:rPr>
                <w:rFonts w:ascii="Times New Roman" w:hAnsi="Times New Roman" w:cs="Times New Roman"/>
                <w:color w:val="000000"/>
                <w:sz w:val="22"/>
                <w:szCs w:val="22"/>
              </w:rPr>
              <w:t>М2х</w:t>
            </w:r>
            <w:bookmarkEnd w:id="1"/>
            <w:bookmarkEnd w:id="2"/>
            <w:r w:rsidRPr="008A651D">
              <w:rPr>
                <w:rFonts w:ascii="Times New Roman" w:hAnsi="Times New Roman" w:cs="Times New Roman"/>
                <w:color w:val="000000"/>
                <w:sz w:val="22"/>
                <w:szCs w:val="22"/>
              </w:rPr>
              <w:t>)</w:t>
            </w:r>
          </w:p>
        </w:tc>
        <w:tc>
          <w:tcPr>
            <w:tcW w:w="1197" w:type="dxa"/>
            <w:tcBorders>
              <w:top w:val="nil"/>
            </w:tcBorders>
            <w:shd w:val="clear" w:color="auto" w:fill="E6E6E6"/>
            <w:vAlign w:val="bottom"/>
          </w:tcPr>
          <w:p w14:paraId="7A9BAF17"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2 758,0</w:t>
            </w:r>
          </w:p>
        </w:tc>
        <w:tc>
          <w:tcPr>
            <w:tcW w:w="1054" w:type="dxa"/>
            <w:tcBorders>
              <w:top w:val="nil"/>
            </w:tcBorders>
            <w:shd w:val="clear" w:color="auto" w:fill="E6E6E6"/>
            <w:vAlign w:val="bottom"/>
          </w:tcPr>
          <w:p w14:paraId="4198FE71"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33,9</w:t>
            </w:r>
          </w:p>
        </w:tc>
        <w:tc>
          <w:tcPr>
            <w:tcW w:w="1199" w:type="dxa"/>
            <w:tcBorders>
              <w:top w:val="nil"/>
            </w:tcBorders>
            <w:shd w:val="clear" w:color="auto" w:fill="E6E6E6"/>
            <w:vAlign w:val="bottom"/>
          </w:tcPr>
          <w:p w14:paraId="2565FCE9"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3 439,6</w:t>
            </w:r>
          </w:p>
        </w:tc>
        <w:tc>
          <w:tcPr>
            <w:tcW w:w="1053" w:type="dxa"/>
            <w:tcBorders>
              <w:top w:val="nil"/>
            </w:tcBorders>
            <w:shd w:val="clear" w:color="auto" w:fill="E6E6E6"/>
            <w:vAlign w:val="bottom"/>
          </w:tcPr>
          <w:p w14:paraId="54A4318A"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36,9</w:t>
            </w:r>
          </w:p>
        </w:tc>
        <w:tc>
          <w:tcPr>
            <w:tcW w:w="886" w:type="dxa"/>
            <w:tcBorders>
              <w:top w:val="nil"/>
            </w:tcBorders>
            <w:shd w:val="clear" w:color="auto" w:fill="E6E6E6"/>
            <w:vAlign w:val="bottom"/>
          </w:tcPr>
          <w:p w14:paraId="3A0D4C22"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124,7</w:t>
            </w:r>
          </w:p>
        </w:tc>
      </w:tr>
      <w:tr w:rsidR="00684192" w:rsidRPr="008A651D" w14:paraId="26DE6C61" w14:textId="77777777" w:rsidTr="00596112">
        <w:trPr>
          <w:cantSplit/>
          <w:trHeight w:val="218"/>
        </w:trPr>
        <w:tc>
          <w:tcPr>
            <w:tcW w:w="4250" w:type="dxa"/>
            <w:tcBorders>
              <w:bottom w:val="single" w:sz="4" w:space="0" w:color="FFFFFF"/>
            </w:tcBorders>
          </w:tcPr>
          <w:p w14:paraId="305A4A48" w14:textId="77777777" w:rsidR="00684192" w:rsidRPr="008A651D" w:rsidRDefault="00684192" w:rsidP="008A651D">
            <w:pPr>
              <w:keepNext/>
              <w:tabs>
                <w:tab w:val="left" w:pos="612"/>
              </w:tabs>
              <w:spacing w:before="0" w:after="0" w:line="240" w:lineRule="auto"/>
              <w:ind w:left="252" w:right="-108"/>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в том числе</w:t>
            </w:r>
            <w:r w:rsidRPr="008A651D">
              <w:rPr>
                <w:rFonts w:ascii="Times New Roman" w:hAnsi="Times New Roman" w:cs="Times New Roman"/>
                <w:color w:val="000000"/>
                <w:sz w:val="22"/>
                <w:szCs w:val="22"/>
                <w:lang w:val="en-US"/>
              </w:rPr>
              <w:t>:</w:t>
            </w:r>
          </w:p>
        </w:tc>
        <w:tc>
          <w:tcPr>
            <w:tcW w:w="1197" w:type="dxa"/>
            <w:tcBorders>
              <w:bottom w:val="single" w:sz="4" w:space="0" w:color="FFFFFF"/>
            </w:tcBorders>
            <w:vAlign w:val="bottom"/>
          </w:tcPr>
          <w:p w14:paraId="12E0748A"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4" w:type="dxa"/>
            <w:tcBorders>
              <w:bottom w:val="single" w:sz="4" w:space="0" w:color="FFFFFF"/>
            </w:tcBorders>
            <w:vAlign w:val="bottom"/>
          </w:tcPr>
          <w:p w14:paraId="47E39771"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p>
        </w:tc>
        <w:tc>
          <w:tcPr>
            <w:tcW w:w="1199" w:type="dxa"/>
            <w:tcBorders>
              <w:bottom w:val="single" w:sz="4" w:space="0" w:color="FFFFFF"/>
            </w:tcBorders>
            <w:vAlign w:val="bottom"/>
          </w:tcPr>
          <w:p w14:paraId="0135A491"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3" w:type="dxa"/>
            <w:tcBorders>
              <w:bottom w:val="single" w:sz="4" w:space="0" w:color="FFFFFF"/>
            </w:tcBorders>
            <w:vAlign w:val="bottom"/>
          </w:tcPr>
          <w:p w14:paraId="01F71257"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p>
        </w:tc>
        <w:tc>
          <w:tcPr>
            <w:tcW w:w="886" w:type="dxa"/>
            <w:tcBorders>
              <w:bottom w:val="single" w:sz="4" w:space="0" w:color="FFFFFF"/>
            </w:tcBorders>
            <w:vAlign w:val="bottom"/>
          </w:tcPr>
          <w:p w14:paraId="7E8747E7"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r>
      <w:tr w:rsidR="00684192" w:rsidRPr="008A651D" w14:paraId="57F130C3" w14:textId="77777777" w:rsidTr="00596112">
        <w:trPr>
          <w:cantSplit/>
          <w:trHeight w:val="193"/>
        </w:trPr>
        <w:tc>
          <w:tcPr>
            <w:tcW w:w="4250" w:type="dxa"/>
            <w:tcBorders>
              <w:top w:val="single" w:sz="4" w:space="0" w:color="FFFFFF"/>
              <w:bottom w:val="single" w:sz="4" w:space="0" w:color="auto"/>
            </w:tcBorders>
          </w:tcPr>
          <w:p w14:paraId="3DF08F58" w14:textId="77777777" w:rsidR="00684192" w:rsidRPr="008A651D" w:rsidRDefault="00684192" w:rsidP="008A651D">
            <w:pPr>
              <w:keepNext/>
              <w:tabs>
                <w:tab w:val="left" w:pos="176"/>
                <w:tab w:val="left" w:pos="612"/>
              </w:tabs>
              <w:spacing w:before="0" w:after="0" w:line="240" w:lineRule="auto"/>
              <w:ind w:left="252" w:right="-108"/>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 наличные деньги в обращении</w:t>
            </w:r>
          </w:p>
        </w:tc>
        <w:tc>
          <w:tcPr>
            <w:tcW w:w="1197" w:type="dxa"/>
            <w:tcBorders>
              <w:top w:val="single" w:sz="4" w:space="0" w:color="FFFFFF"/>
              <w:bottom w:val="single" w:sz="4" w:space="0" w:color="auto"/>
            </w:tcBorders>
            <w:vAlign w:val="bottom"/>
          </w:tcPr>
          <w:p w14:paraId="50B7EF18"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1 034,5</w:t>
            </w:r>
          </w:p>
        </w:tc>
        <w:tc>
          <w:tcPr>
            <w:tcW w:w="1054" w:type="dxa"/>
            <w:tcBorders>
              <w:top w:val="single" w:sz="4" w:space="0" w:color="FFFFFF"/>
              <w:bottom w:val="single" w:sz="4" w:space="0" w:color="auto"/>
            </w:tcBorders>
            <w:vAlign w:val="bottom"/>
          </w:tcPr>
          <w:p w14:paraId="3B5C5A8A"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37,5</w:t>
            </w:r>
          </w:p>
        </w:tc>
        <w:tc>
          <w:tcPr>
            <w:tcW w:w="1199" w:type="dxa"/>
            <w:tcBorders>
              <w:top w:val="single" w:sz="4" w:space="0" w:color="FFFFFF"/>
              <w:bottom w:val="single" w:sz="4" w:space="0" w:color="auto"/>
            </w:tcBorders>
            <w:vAlign w:val="bottom"/>
          </w:tcPr>
          <w:p w14:paraId="610A2C68"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1 178,1</w:t>
            </w:r>
          </w:p>
        </w:tc>
        <w:tc>
          <w:tcPr>
            <w:tcW w:w="1053" w:type="dxa"/>
            <w:tcBorders>
              <w:top w:val="single" w:sz="4" w:space="0" w:color="FFFFFF"/>
              <w:bottom w:val="single" w:sz="4" w:space="0" w:color="auto"/>
            </w:tcBorders>
            <w:vAlign w:val="bottom"/>
          </w:tcPr>
          <w:p w14:paraId="5E568E89"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34,3</w:t>
            </w:r>
          </w:p>
        </w:tc>
        <w:tc>
          <w:tcPr>
            <w:tcW w:w="886" w:type="dxa"/>
            <w:tcBorders>
              <w:top w:val="single" w:sz="4" w:space="0" w:color="FFFFFF"/>
              <w:bottom w:val="single" w:sz="4" w:space="0" w:color="auto"/>
            </w:tcBorders>
            <w:vAlign w:val="bottom"/>
          </w:tcPr>
          <w:p w14:paraId="39A7082B" w14:textId="77777777" w:rsidR="00684192" w:rsidRPr="008A651D" w:rsidRDefault="00684192" w:rsidP="008A651D">
            <w:pPr>
              <w:spacing w:before="0" w:after="0" w:line="240" w:lineRule="auto"/>
              <w:ind w:right="170"/>
              <w:jc w:val="right"/>
              <w:rPr>
                <w:rFonts w:ascii="Times New Roman" w:hAnsi="Times New Roman" w:cs="Times New Roman"/>
                <w:sz w:val="22"/>
                <w:szCs w:val="22"/>
                <w:lang w:val="en-US"/>
              </w:rPr>
            </w:pPr>
            <w:r w:rsidRPr="008A651D">
              <w:rPr>
                <w:rFonts w:ascii="Times New Roman" w:hAnsi="Times New Roman" w:cs="Times New Roman"/>
                <w:sz w:val="22"/>
                <w:szCs w:val="22"/>
              </w:rPr>
              <w:t>113,9</w:t>
            </w:r>
          </w:p>
        </w:tc>
      </w:tr>
      <w:tr w:rsidR="00684192" w:rsidRPr="008A651D" w14:paraId="00ACE8C0" w14:textId="77777777" w:rsidTr="00596112">
        <w:trPr>
          <w:cantSplit/>
          <w:trHeight w:val="193"/>
        </w:trPr>
        <w:tc>
          <w:tcPr>
            <w:tcW w:w="4250" w:type="dxa"/>
            <w:tcBorders>
              <w:top w:val="single" w:sz="4" w:space="0" w:color="FFFFFF"/>
              <w:bottom w:val="single" w:sz="4" w:space="0" w:color="auto"/>
            </w:tcBorders>
          </w:tcPr>
          <w:p w14:paraId="5AE88C32" w14:textId="77777777" w:rsidR="00684192" w:rsidRPr="008A651D" w:rsidRDefault="00684192" w:rsidP="008A651D">
            <w:pPr>
              <w:keepNext/>
              <w:tabs>
                <w:tab w:val="left" w:pos="176"/>
                <w:tab w:val="left" w:pos="612"/>
              </w:tabs>
              <w:spacing w:before="0" w:after="0" w:line="240" w:lineRule="auto"/>
              <w:ind w:left="252" w:right="-108"/>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lang w:val="en-US"/>
              </w:rPr>
              <w:t>-</w:t>
            </w:r>
            <w:r w:rsidRPr="008A651D">
              <w:rPr>
                <w:rFonts w:ascii="Times New Roman" w:hAnsi="Times New Roman" w:cs="Times New Roman"/>
                <w:color w:val="000000"/>
                <w:sz w:val="22"/>
                <w:szCs w:val="22"/>
              </w:rPr>
              <w:t xml:space="preserve"> безналичные денежные средства</w:t>
            </w:r>
          </w:p>
        </w:tc>
        <w:tc>
          <w:tcPr>
            <w:tcW w:w="1197" w:type="dxa"/>
            <w:tcBorders>
              <w:top w:val="single" w:sz="4" w:space="0" w:color="FFFFFF"/>
              <w:bottom w:val="single" w:sz="4" w:space="0" w:color="auto"/>
            </w:tcBorders>
            <w:vAlign w:val="bottom"/>
          </w:tcPr>
          <w:p w14:paraId="26572E76"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1 723,5</w:t>
            </w:r>
          </w:p>
        </w:tc>
        <w:tc>
          <w:tcPr>
            <w:tcW w:w="1054" w:type="dxa"/>
            <w:tcBorders>
              <w:top w:val="single" w:sz="4" w:space="0" w:color="FFFFFF"/>
              <w:bottom w:val="single" w:sz="4" w:space="0" w:color="auto"/>
            </w:tcBorders>
            <w:vAlign w:val="bottom"/>
          </w:tcPr>
          <w:p w14:paraId="799E259A"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62,5</w:t>
            </w:r>
          </w:p>
        </w:tc>
        <w:tc>
          <w:tcPr>
            <w:tcW w:w="1199" w:type="dxa"/>
            <w:tcBorders>
              <w:top w:val="single" w:sz="4" w:space="0" w:color="FFFFFF"/>
              <w:bottom w:val="single" w:sz="4" w:space="0" w:color="auto"/>
            </w:tcBorders>
            <w:vAlign w:val="bottom"/>
          </w:tcPr>
          <w:p w14:paraId="431582C0"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2 261,5</w:t>
            </w:r>
          </w:p>
        </w:tc>
        <w:tc>
          <w:tcPr>
            <w:tcW w:w="1053" w:type="dxa"/>
            <w:tcBorders>
              <w:top w:val="single" w:sz="4" w:space="0" w:color="FFFFFF"/>
              <w:bottom w:val="single" w:sz="4" w:space="0" w:color="auto"/>
            </w:tcBorders>
            <w:vAlign w:val="bottom"/>
          </w:tcPr>
          <w:p w14:paraId="2B45D8B1"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65,7</w:t>
            </w:r>
          </w:p>
        </w:tc>
        <w:tc>
          <w:tcPr>
            <w:tcW w:w="886" w:type="dxa"/>
            <w:tcBorders>
              <w:top w:val="single" w:sz="4" w:space="0" w:color="FFFFFF"/>
              <w:bottom w:val="single" w:sz="4" w:space="0" w:color="auto"/>
            </w:tcBorders>
            <w:vAlign w:val="bottom"/>
          </w:tcPr>
          <w:p w14:paraId="3196C915"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w:t>
            </w:r>
            <w:r w:rsidRPr="008A651D">
              <w:rPr>
                <w:rFonts w:ascii="Times New Roman" w:hAnsi="Times New Roman" w:cs="Times New Roman"/>
                <w:sz w:val="22"/>
                <w:szCs w:val="22"/>
                <w:lang w:val="en-US"/>
              </w:rPr>
              <w:t>31</w:t>
            </w:r>
            <w:r w:rsidRPr="008A651D">
              <w:rPr>
                <w:rFonts w:ascii="Times New Roman" w:hAnsi="Times New Roman" w:cs="Times New Roman"/>
                <w:sz w:val="22"/>
                <w:szCs w:val="22"/>
              </w:rPr>
              <w:t>,</w:t>
            </w:r>
            <w:r w:rsidRPr="008A651D">
              <w:rPr>
                <w:rFonts w:ascii="Times New Roman" w:hAnsi="Times New Roman" w:cs="Times New Roman"/>
                <w:sz w:val="22"/>
                <w:szCs w:val="22"/>
                <w:lang w:val="en-US"/>
              </w:rPr>
              <w:t>2</w:t>
            </w:r>
          </w:p>
        </w:tc>
      </w:tr>
      <w:tr w:rsidR="00684192" w:rsidRPr="008A651D" w14:paraId="15E99473" w14:textId="77777777" w:rsidTr="00596112">
        <w:trPr>
          <w:trHeight w:val="170"/>
        </w:trPr>
        <w:tc>
          <w:tcPr>
            <w:tcW w:w="4250" w:type="dxa"/>
            <w:shd w:val="clear" w:color="auto" w:fill="E6E6E6"/>
          </w:tcPr>
          <w:p w14:paraId="0469B11F" w14:textId="77777777" w:rsidR="00684192" w:rsidRPr="008A651D" w:rsidRDefault="00684192" w:rsidP="008A651D">
            <w:pPr>
              <w:tabs>
                <w:tab w:val="left" w:pos="0"/>
                <w:tab w:val="left" w:pos="612"/>
              </w:tabs>
              <w:spacing w:before="0" w:after="0" w:line="240" w:lineRule="auto"/>
              <w:ind w:left="144" w:right="-1"/>
              <w:rPr>
                <w:rFonts w:ascii="Times New Roman" w:hAnsi="Times New Roman" w:cs="Times New Roman"/>
                <w:color w:val="000000"/>
                <w:sz w:val="22"/>
                <w:szCs w:val="22"/>
              </w:rPr>
            </w:pPr>
            <w:r w:rsidRPr="008A651D">
              <w:rPr>
                <w:rFonts w:ascii="Times New Roman" w:hAnsi="Times New Roman" w:cs="Times New Roman"/>
                <w:color w:val="000000"/>
                <w:sz w:val="22"/>
                <w:szCs w:val="22"/>
              </w:rPr>
              <w:t>денежная масса в иностранной валюте</w:t>
            </w:r>
          </w:p>
        </w:tc>
        <w:tc>
          <w:tcPr>
            <w:tcW w:w="1197" w:type="dxa"/>
            <w:shd w:val="clear" w:color="auto" w:fill="E6E6E6"/>
            <w:vAlign w:val="bottom"/>
          </w:tcPr>
          <w:p w14:paraId="65BC9B8C"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5 372,0</w:t>
            </w:r>
          </w:p>
        </w:tc>
        <w:tc>
          <w:tcPr>
            <w:tcW w:w="1054" w:type="dxa"/>
            <w:shd w:val="clear" w:color="auto" w:fill="E6E6E6"/>
            <w:vAlign w:val="bottom"/>
          </w:tcPr>
          <w:p w14:paraId="0FA8326C"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66,1</w:t>
            </w:r>
          </w:p>
        </w:tc>
        <w:tc>
          <w:tcPr>
            <w:tcW w:w="1199" w:type="dxa"/>
            <w:shd w:val="clear" w:color="auto" w:fill="E6E6E6"/>
            <w:vAlign w:val="bottom"/>
          </w:tcPr>
          <w:p w14:paraId="42A30451"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5 879,5</w:t>
            </w:r>
          </w:p>
        </w:tc>
        <w:tc>
          <w:tcPr>
            <w:tcW w:w="1053" w:type="dxa"/>
            <w:shd w:val="clear" w:color="auto" w:fill="E6E6E6"/>
            <w:vAlign w:val="bottom"/>
          </w:tcPr>
          <w:p w14:paraId="02E98247"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63,1</w:t>
            </w:r>
          </w:p>
        </w:tc>
        <w:tc>
          <w:tcPr>
            <w:tcW w:w="886" w:type="dxa"/>
            <w:shd w:val="clear" w:color="auto" w:fill="E6E6E6"/>
            <w:vAlign w:val="bottom"/>
          </w:tcPr>
          <w:p w14:paraId="53379204" w14:textId="77777777" w:rsidR="00684192" w:rsidRPr="008A651D" w:rsidRDefault="00684192" w:rsidP="008A651D">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10</w:t>
            </w:r>
            <w:r w:rsidRPr="008A651D">
              <w:rPr>
                <w:rFonts w:ascii="Times New Roman" w:hAnsi="Times New Roman" w:cs="Times New Roman"/>
                <w:sz w:val="22"/>
                <w:szCs w:val="22"/>
                <w:lang w:val="en-US"/>
              </w:rPr>
              <w:t>9</w:t>
            </w:r>
            <w:r w:rsidRPr="008A651D">
              <w:rPr>
                <w:rFonts w:ascii="Times New Roman" w:hAnsi="Times New Roman" w:cs="Times New Roman"/>
                <w:sz w:val="22"/>
                <w:szCs w:val="22"/>
              </w:rPr>
              <w:t>,</w:t>
            </w:r>
            <w:r w:rsidRPr="008A651D">
              <w:rPr>
                <w:rFonts w:ascii="Times New Roman" w:hAnsi="Times New Roman" w:cs="Times New Roman"/>
                <w:sz w:val="22"/>
                <w:szCs w:val="22"/>
                <w:lang w:val="en-US"/>
              </w:rPr>
              <w:t>4</w:t>
            </w:r>
          </w:p>
        </w:tc>
      </w:tr>
    </w:tbl>
    <w:p w14:paraId="7C0D9445" w14:textId="77777777" w:rsidR="00684192" w:rsidRPr="008A651D" w:rsidRDefault="00684192" w:rsidP="00683E52">
      <w:pPr>
        <w:widowControl w:val="0"/>
        <w:spacing w:before="12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Расширению рублёвого денежного предложения способствовало в основном пополнение текущих счетов юридических и физических лиц на 28,6%, до 2 020,8 млн руб., и срочных депозитов на 58,8%, до 239,0 млн руб. Остаток средств, участвующих в операциях с ценными бумагами, увеличился с 1,1 млн руб. до 1,8 млн руб. Всего в безналичном сегменте на 1 января 2020 года сосредоточено 2 261,5 млн руб., или 65,7% национальной денежной массы (62,5% на начало 2019 года). </w:t>
      </w:r>
    </w:p>
    <w:p w14:paraId="2FFE1128" w14:textId="77777777" w:rsidR="00684192" w:rsidRPr="008A651D" w:rsidRDefault="00684192" w:rsidP="008A651D">
      <w:pPr>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Объём наличных денежных средств, находящихся в обращении вне касс кредитных организаций, увеличился на 13,9% (+143,6 млн руб.), до 1 178,1 млн руб. Внутригодовая динамика показателя характеризовалась умеренными колебаниями с повышением в конце года в результате существенного объёма выплат социального характера из средств гуманитарной помощи</w:t>
      </w:r>
      <w:r w:rsidRPr="008A651D">
        <w:rPr>
          <w:rFonts w:ascii="Times New Roman" w:hAnsi="Times New Roman" w:cs="Times New Roman"/>
          <w:noProof/>
          <w:sz w:val="24"/>
          <w:szCs w:val="24"/>
        </w:rPr>
        <w:t xml:space="preserve"> </w:t>
      </w:r>
      <w:r w:rsidRPr="008A651D">
        <w:rPr>
          <w:rFonts w:ascii="Times New Roman" w:hAnsi="Times New Roman" w:cs="Times New Roman"/>
          <w:sz w:val="24"/>
          <w:szCs w:val="24"/>
        </w:rPr>
        <w:t xml:space="preserve">поступивших из Российской Федерации. </w:t>
      </w:r>
      <w:r w:rsidR="009F218F">
        <w:rPr>
          <w:rFonts w:ascii="Times New Roman" w:hAnsi="Times New Roman" w:cs="Times New Roman"/>
          <w:sz w:val="24"/>
          <w:szCs w:val="24"/>
        </w:rPr>
        <w:t xml:space="preserve">При этом уже в январе </w:t>
      </w:r>
      <w:r w:rsidR="00693D34">
        <w:rPr>
          <w:rFonts w:ascii="Times New Roman" w:hAnsi="Times New Roman" w:cs="Times New Roman"/>
          <w:sz w:val="24"/>
          <w:szCs w:val="24"/>
        </w:rPr>
        <w:br/>
      </w:r>
      <w:r w:rsidR="009F218F">
        <w:rPr>
          <w:rFonts w:ascii="Times New Roman" w:hAnsi="Times New Roman" w:cs="Times New Roman"/>
          <w:sz w:val="24"/>
          <w:szCs w:val="24"/>
        </w:rPr>
        <w:t>2020 года невостребованная в обороте денежная наличность вернулась в кассы кредитных организаций и Приднестровского республиканского банка, вследствие чего объём данного денежного агрегата сократился на 102,0 млн руб.</w:t>
      </w:r>
    </w:p>
    <w:p w14:paraId="40E4E933" w14:textId="77777777" w:rsidR="00684192" w:rsidRPr="008A651D" w:rsidRDefault="00684192"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В результате существенного роста величины безналичных средств коэффициент наличности национальной денежной массы на 1 января 2020 года снизился на 3,2 п.п., до 34,3%. </w:t>
      </w:r>
      <w:r w:rsidR="009F218F" w:rsidRPr="008A651D">
        <w:rPr>
          <w:rFonts w:ascii="Times New Roman" w:hAnsi="Times New Roman" w:cs="Times New Roman"/>
          <w:sz w:val="24"/>
          <w:szCs w:val="24"/>
        </w:rPr>
        <w:t xml:space="preserve">На </w:t>
      </w:r>
      <w:r w:rsidRPr="008A651D">
        <w:rPr>
          <w:rFonts w:ascii="Times New Roman" w:hAnsi="Times New Roman" w:cs="Times New Roman"/>
          <w:sz w:val="24"/>
          <w:szCs w:val="24"/>
        </w:rPr>
        <w:t>один рубль, задействованный в наличном обороте, пришлось 1,92 безналичного рубля п</w:t>
      </w:r>
      <w:r w:rsidR="009F218F">
        <w:rPr>
          <w:rFonts w:ascii="Times New Roman" w:hAnsi="Times New Roman" w:cs="Times New Roman"/>
          <w:sz w:val="24"/>
          <w:szCs w:val="24"/>
        </w:rPr>
        <w:t>ротив 1,67 рубля на начало отчётного года</w:t>
      </w:r>
      <w:r w:rsidRPr="008A651D">
        <w:rPr>
          <w:rFonts w:ascii="Times New Roman" w:hAnsi="Times New Roman" w:cs="Times New Roman"/>
          <w:sz w:val="24"/>
          <w:szCs w:val="24"/>
        </w:rPr>
        <w:t>.</w:t>
      </w:r>
    </w:p>
    <w:p w14:paraId="28D30FD0" w14:textId="77777777" w:rsidR="00684192" w:rsidRPr="008A651D" w:rsidRDefault="00684192"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Денежная масса в иностранной валюте, сложившись на уровне 5 879,5 млн руб., возросла на 9,4%, или на 507,5 млн руб. </w:t>
      </w:r>
    </w:p>
    <w:p w14:paraId="44126093" w14:textId="77777777" w:rsidR="00684192" w:rsidRPr="008A651D" w:rsidRDefault="00684192" w:rsidP="008A651D">
      <w:pPr>
        <w:widowControl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Таким образом, объём совокупного денежного предложения на 1 января 2020 года составил 9 319,2 млн руб., превысив уровень начала 2019 года на 14,6% (+1 189,2 млн руб.). Коэффициент валютизации сократился на 3,0 п.п., до 63,1%.</w:t>
      </w:r>
    </w:p>
    <w:p w14:paraId="100FC238" w14:textId="77777777" w:rsidR="00684192" w:rsidRPr="008A651D" w:rsidRDefault="00684192" w:rsidP="008A651D">
      <w:pPr>
        <w:spacing w:before="0" w:after="0" w:line="240" w:lineRule="auto"/>
        <w:ind w:firstLine="425"/>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 xml:space="preserve">По итогам 2019 года размер денежной базы увеличился на </w:t>
      </w:r>
      <w:r w:rsidR="003F3109" w:rsidRPr="008A651D">
        <w:rPr>
          <w:rFonts w:ascii="Times New Roman" w:hAnsi="Times New Roman" w:cs="Times New Roman"/>
          <w:color w:val="000000"/>
          <w:sz w:val="24"/>
          <w:szCs w:val="24"/>
        </w:rPr>
        <w:t>33,1</w:t>
      </w:r>
      <w:r w:rsidRPr="008A651D">
        <w:rPr>
          <w:rFonts w:ascii="Times New Roman" w:hAnsi="Times New Roman" w:cs="Times New Roman"/>
          <w:color w:val="000000"/>
          <w:sz w:val="24"/>
          <w:szCs w:val="24"/>
        </w:rPr>
        <w:t>% (+7</w:t>
      </w:r>
      <w:r w:rsidR="003F3109" w:rsidRPr="008A651D">
        <w:rPr>
          <w:rFonts w:ascii="Times New Roman" w:hAnsi="Times New Roman" w:cs="Times New Roman"/>
          <w:color w:val="000000"/>
          <w:sz w:val="24"/>
          <w:szCs w:val="24"/>
        </w:rPr>
        <w:t>5</w:t>
      </w:r>
      <w:r w:rsidRPr="008A651D">
        <w:rPr>
          <w:rFonts w:ascii="Times New Roman" w:hAnsi="Times New Roman" w:cs="Times New Roman"/>
          <w:color w:val="000000"/>
          <w:sz w:val="24"/>
          <w:szCs w:val="24"/>
        </w:rPr>
        <w:t>8,</w:t>
      </w:r>
      <w:r w:rsidR="003F3109" w:rsidRPr="008A651D">
        <w:rPr>
          <w:rFonts w:ascii="Times New Roman" w:hAnsi="Times New Roman" w:cs="Times New Roman"/>
          <w:color w:val="000000"/>
          <w:sz w:val="24"/>
          <w:szCs w:val="24"/>
        </w:rPr>
        <w:t>0</w:t>
      </w:r>
      <w:r w:rsidRPr="008A651D">
        <w:rPr>
          <w:rFonts w:ascii="Times New Roman" w:hAnsi="Times New Roman" w:cs="Times New Roman"/>
          <w:color w:val="000000"/>
          <w:sz w:val="24"/>
          <w:szCs w:val="24"/>
        </w:rPr>
        <w:t xml:space="preserve"> млн руб.), сложившись на 1 января 2020 года в сумме </w:t>
      </w:r>
      <w:r w:rsidR="003F3109" w:rsidRPr="008A651D">
        <w:rPr>
          <w:rFonts w:ascii="Times New Roman" w:hAnsi="Times New Roman" w:cs="Times New Roman"/>
          <w:color w:val="000000"/>
          <w:sz w:val="24"/>
          <w:szCs w:val="24"/>
        </w:rPr>
        <w:t>3 050,2</w:t>
      </w:r>
      <w:r w:rsidRPr="008A651D">
        <w:rPr>
          <w:rFonts w:ascii="Times New Roman" w:hAnsi="Times New Roman" w:cs="Times New Roman"/>
          <w:color w:val="000000"/>
          <w:sz w:val="24"/>
          <w:szCs w:val="24"/>
        </w:rPr>
        <w:t xml:space="preserve"> млн руб.</w:t>
      </w:r>
      <w:r w:rsidR="0034433A" w:rsidRPr="008A651D">
        <w:rPr>
          <w:rStyle w:val="ae"/>
          <w:rFonts w:ascii="Times New Roman" w:hAnsi="Times New Roman"/>
          <w:color w:val="000000"/>
          <w:sz w:val="24"/>
          <w:szCs w:val="24"/>
        </w:rPr>
        <w:footnoteReference w:id="16"/>
      </w:r>
      <w:r w:rsidRPr="008A651D">
        <w:rPr>
          <w:rFonts w:ascii="Times New Roman" w:hAnsi="Times New Roman" w:cs="Times New Roman"/>
          <w:color w:val="000000"/>
          <w:sz w:val="24"/>
          <w:szCs w:val="24"/>
        </w:rPr>
        <w:t xml:space="preserve"> (табл. 1.7). </w:t>
      </w:r>
    </w:p>
    <w:p w14:paraId="479A9784" w14:textId="77777777" w:rsidR="00684192" w:rsidRPr="008A651D" w:rsidRDefault="00684192" w:rsidP="007301FC">
      <w:pPr>
        <w:spacing w:before="120" w:after="120" w:line="240" w:lineRule="auto"/>
        <w:ind w:firstLine="425"/>
        <w:jc w:val="right"/>
        <w:rPr>
          <w:rFonts w:ascii="Times New Roman" w:hAnsi="Times New Roman" w:cs="Times New Roman"/>
          <w:b/>
          <w:i/>
          <w:sz w:val="24"/>
          <w:szCs w:val="22"/>
        </w:rPr>
      </w:pPr>
      <w:r w:rsidRPr="008A651D">
        <w:rPr>
          <w:rFonts w:ascii="Times New Roman" w:hAnsi="Times New Roman" w:cs="Times New Roman"/>
          <w:b/>
          <w:i/>
          <w:sz w:val="24"/>
          <w:szCs w:val="22"/>
        </w:rPr>
        <w:lastRenderedPageBreak/>
        <w:t>Таблица 1.7</w:t>
      </w:r>
    </w:p>
    <w:p w14:paraId="10B36D23" w14:textId="77777777" w:rsidR="003F3109" w:rsidRDefault="003F3109" w:rsidP="00683E52">
      <w:pPr>
        <w:spacing w:before="0" w:after="120" w:line="240" w:lineRule="auto"/>
        <w:jc w:val="center"/>
        <w:rPr>
          <w:rFonts w:ascii="Times New Roman" w:hAnsi="Times New Roman" w:cs="Times New Roman"/>
          <w:b/>
          <w:i/>
          <w:color w:val="000000"/>
          <w:sz w:val="24"/>
          <w:szCs w:val="22"/>
        </w:rPr>
      </w:pPr>
      <w:r w:rsidRPr="008A651D">
        <w:rPr>
          <w:rFonts w:ascii="Times New Roman" w:hAnsi="Times New Roman" w:cs="Times New Roman"/>
          <w:b/>
          <w:i/>
          <w:color w:val="000000"/>
          <w:sz w:val="24"/>
          <w:szCs w:val="22"/>
        </w:rPr>
        <w:t xml:space="preserve">Структура и динамика денежной базы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1269"/>
        <w:gridCol w:w="1269"/>
        <w:gridCol w:w="1269"/>
        <w:gridCol w:w="1270"/>
        <w:gridCol w:w="1045"/>
      </w:tblGrid>
      <w:tr w:rsidR="003F3109" w:rsidRPr="008A651D" w14:paraId="41FE83F0" w14:textId="77777777" w:rsidTr="003F3109">
        <w:trPr>
          <w:cantSplit/>
          <w:trHeight w:val="151"/>
        </w:trPr>
        <w:tc>
          <w:tcPr>
            <w:tcW w:w="3517" w:type="dxa"/>
            <w:vMerge w:val="restart"/>
            <w:shd w:val="clear" w:color="auto" w:fill="CCCCCC"/>
          </w:tcPr>
          <w:p w14:paraId="00DBF41E" w14:textId="77777777" w:rsidR="003F3109" w:rsidRPr="008A651D" w:rsidRDefault="003F3109" w:rsidP="008A651D">
            <w:pPr>
              <w:spacing w:before="0" w:after="0" w:line="240" w:lineRule="auto"/>
              <w:ind w:left="-108"/>
              <w:jc w:val="both"/>
              <w:rPr>
                <w:rFonts w:ascii="Times New Roman" w:hAnsi="Times New Roman" w:cs="Times New Roman"/>
                <w:color w:val="000000"/>
                <w:sz w:val="22"/>
                <w:szCs w:val="22"/>
              </w:rPr>
            </w:pPr>
          </w:p>
        </w:tc>
        <w:tc>
          <w:tcPr>
            <w:tcW w:w="2538" w:type="dxa"/>
            <w:gridSpan w:val="2"/>
            <w:shd w:val="clear" w:color="auto" w:fill="CCCCCC"/>
            <w:vAlign w:val="bottom"/>
          </w:tcPr>
          <w:p w14:paraId="1130C931" w14:textId="77777777" w:rsidR="003F3109" w:rsidRPr="008A651D" w:rsidRDefault="003F3109" w:rsidP="008A651D">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01.01.2019</w:t>
            </w:r>
          </w:p>
        </w:tc>
        <w:tc>
          <w:tcPr>
            <w:tcW w:w="2539" w:type="dxa"/>
            <w:gridSpan w:val="2"/>
            <w:shd w:val="clear" w:color="auto" w:fill="CCCCCC"/>
            <w:vAlign w:val="bottom"/>
          </w:tcPr>
          <w:p w14:paraId="17A30950" w14:textId="77777777" w:rsidR="003F3109" w:rsidRPr="008A651D" w:rsidRDefault="003F3109" w:rsidP="008A651D">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01.01.2020</w:t>
            </w:r>
          </w:p>
        </w:tc>
        <w:tc>
          <w:tcPr>
            <w:tcW w:w="1045" w:type="dxa"/>
            <w:vMerge w:val="restart"/>
            <w:shd w:val="clear" w:color="auto" w:fill="CCCCCC"/>
            <w:vAlign w:val="center"/>
          </w:tcPr>
          <w:p w14:paraId="64A8FCFE"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темп роста, %</w:t>
            </w:r>
          </w:p>
        </w:tc>
      </w:tr>
      <w:tr w:rsidR="003F3109" w:rsidRPr="008A651D" w14:paraId="19049106" w14:textId="77777777" w:rsidTr="003F3109">
        <w:trPr>
          <w:cantSplit/>
          <w:trHeight w:val="117"/>
        </w:trPr>
        <w:tc>
          <w:tcPr>
            <w:tcW w:w="3517" w:type="dxa"/>
            <w:vMerge/>
            <w:tcBorders>
              <w:bottom w:val="double" w:sz="4" w:space="0" w:color="auto"/>
            </w:tcBorders>
          </w:tcPr>
          <w:p w14:paraId="5C18604F" w14:textId="77777777" w:rsidR="003F3109" w:rsidRPr="008A651D" w:rsidRDefault="003F3109" w:rsidP="008A651D">
            <w:pPr>
              <w:spacing w:before="0" w:after="0" w:line="240" w:lineRule="auto"/>
              <w:ind w:left="-108"/>
              <w:jc w:val="both"/>
              <w:rPr>
                <w:rFonts w:ascii="Times New Roman" w:hAnsi="Times New Roman" w:cs="Times New Roman"/>
                <w:color w:val="000000"/>
                <w:sz w:val="22"/>
                <w:szCs w:val="22"/>
              </w:rPr>
            </w:pPr>
          </w:p>
        </w:tc>
        <w:tc>
          <w:tcPr>
            <w:tcW w:w="1269" w:type="dxa"/>
            <w:tcBorders>
              <w:bottom w:val="double" w:sz="4" w:space="0" w:color="auto"/>
            </w:tcBorders>
            <w:shd w:val="clear" w:color="auto" w:fill="CCCCCC"/>
            <w:vAlign w:val="center"/>
          </w:tcPr>
          <w:p w14:paraId="2E339389"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269" w:type="dxa"/>
            <w:tcBorders>
              <w:bottom w:val="double" w:sz="4" w:space="0" w:color="auto"/>
            </w:tcBorders>
            <w:shd w:val="clear" w:color="auto" w:fill="CCCCCC"/>
            <w:vAlign w:val="center"/>
          </w:tcPr>
          <w:p w14:paraId="0BAFCAA3"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1269" w:type="dxa"/>
            <w:tcBorders>
              <w:bottom w:val="double" w:sz="4" w:space="0" w:color="auto"/>
            </w:tcBorders>
            <w:shd w:val="clear" w:color="auto" w:fill="CCCCCC"/>
            <w:vAlign w:val="center"/>
          </w:tcPr>
          <w:p w14:paraId="71FD76D9"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270" w:type="dxa"/>
            <w:tcBorders>
              <w:bottom w:val="double" w:sz="4" w:space="0" w:color="auto"/>
            </w:tcBorders>
            <w:shd w:val="clear" w:color="auto" w:fill="CCCCCC"/>
            <w:vAlign w:val="center"/>
          </w:tcPr>
          <w:p w14:paraId="23C56668"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1045" w:type="dxa"/>
            <w:vMerge/>
            <w:tcBorders>
              <w:bottom w:val="double" w:sz="4" w:space="0" w:color="auto"/>
            </w:tcBorders>
            <w:vAlign w:val="center"/>
          </w:tcPr>
          <w:p w14:paraId="66F67C1F" w14:textId="77777777" w:rsidR="003F3109" w:rsidRPr="008A651D" w:rsidRDefault="003F3109" w:rsidP="008A651D">
            <w:pPr>
              <w:spacing w:before="0" w:after="0" w:line="240" w:lineRule="auto"/>
              <w:jc w:val="both"/>
              <w:rPr>
                <w:rFonts w:ascii="Times New Roman" w:hAnsi="Times New Roman" w:cs="Times New Roman"/>
                <w:color w:val="000000"/>
                <w:sz w:val="22"/>
                <w:szCs w:val="22"/>
              </w:rPr>
            </w:pPr>
          </w:p>
        </w:tc>
      </w:tr>
      <w:tr w:rsidR="003F3109" w:rsidRPr="008A651D" w14:paraId="2F12F977" w14:textId="77777777" w:rsidTr="003F3109">
        <w:trPr>
          <w:trHeight w:val="221"/>
        </w:trPr>
        <w:tc>
          <w:tcPr>
            <w:tcW w:w="3517" w:type="dxa"/>
            <w:tcBorders>
              <w:top w:val="double" w:sz="4" w:space="0" w:color="auto"/>
              <w:bottom w:val="single" w:sz="4" w:space="0" w:color="auto"/>
            </w:tcBorders>
            <w:shd w:val="clear" w:color="auto" w:fill="E0E0E0"/>
            <w:vAlign w:val="center"/>
          </w:tcPr>
          <w:p w14:paraId="5F3C4BE6" w14:textId="77777777" w:rsidR="003F3109" w:rsidRPr="008A651D" w:rsidRDefault="003F3109" w:rsidP="008A651D">
            <w:pPr>
              <w:spacing w:before="0" w:after="0" w:line="240" w:lineRule="auto"/>
              <w:rPr>
                <w:rFonts w:ascii="Times New Roman" w:hAnsi="Times New Roman" w:cs="Times New Roman"/>
                <w:color w:val="000000"/>
                <w:sz w:val="22"/>
                <w:szCs w:val="22"/>
              </w:rPr>
            </w:pPr>
            <w:r w:rsidRPr="008A651D">
              <w:rPr>
                <w:rFonts w:ascii="Times New Roman" w:hAnsi="Times New Roman" w:cs="Times New Roman"/>
                <w:color w:val="000000"/>
                <w:sz w:val="22"/>
                <w:szCs w:val="22"/>
              </w:rPr>
              <w:t>Денежная база</w:t>
            </w:r>
          </w:p>
        </w:tc>
        <w:tc>
          <w:tcPr>
            <w:tcW w:w="1269" w:type="dxa"/>
            <w:tcBorders>
              <w:top w:val="double" w:sz="4" w:space="0" w:color="auto"/>
              <w:bottom w:val="single" w:sz="4" w:space="0" w:color="auto"/>
            </w:tcBorders>
            <w:shd w:val="clear" w:color="auto" w:fill="E0E0E0"/>
            <w:vAlign w:val="bottom"/>
          </w:tcPr>
          <w:p w14:paraId="2738A3A7"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2 292,2</w:t>
            </w:r>
          </w:p>
        </w:tc>
        <w:tc>
          <w:tcPr>
            <w:tcW w:w="1269" w:type="dxa"/>
            <w:tcBorders>
              <w:top w:val="double" w:sz="4" w:space="0" w:color="auto"/>
              <w:bottom w:val="single" w:sz="4" w:space="0" w:color="auto"/>
            </w:tcBorders>
            <w:shd w:val="clear" w:color="auto" w:fill="E0E0E0"/>
            <w:vAlign w:val="bottom"/>
          </w:tcPr>
          <w:p w14:paraId="42EB0320"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269" w:type="dxa"/>
            <w:tcBorders>
              <w:top w:val="double" w:sz="4" w:space="0" w:color="auto"/>
              <w:bottom w:val="single" w:sz="4" w:space="0" w:color="auto"/>
            </w:tcBorders>
            <w:shd w:val="clear" w:color="auto" w:fill="E0E0E0"/>
            <w:vAlign w:val="bottom"/>
          </w:tcPr>
          <w:p w14:paraId="4CE3CB13"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3 050,2</w:t>
            </w:r>
          </w:p>
        </w:tc>
        <w:tc>
          <w:tcPr>
            <w:tcW w:w="1270" w:type="dxa"/>
            <w:tcBorders>
              <w:top w:val="double" w:sz="4" w:space="0" w:color="auto"/>
              <w:bottom w:val="single" w:sz="4" w:space="0" w:color="auto"/>
            </w:tcBorders>
            <w:shd w:val="clear" w:color="auto" w:fill="E0E0E0"/>
            <w:vAlign w:val="bottom"/>
          </w:tcPr>
          <w:p w14:paraId="59F279AF"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045" w:type="dxa"/>
            <w:tcBorders>
              <w:top w:val="double" w:sz="4" w:space="0" w:color="auto"/>
              <w:bottom w:val="single" w:sz="4" w:space="0" w:color="auto"/>
            </w:tcBorders>
            <w:shd w:val="clear" w:color="auto" w:fill="E0E0E0"/>
            <w:vAlign w:val="bottom"/>
          </w:tcPr>
          <w:p w14:paraId="463309FD"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133,1</w:t>
            </w:r>
          </w:p>
        </w:tc>
      </w:tr>
      <w:tr w:rsidR="003F3109" w:rsidRPr="008A651D" w14:paraId="65B558EA" w14:textId="77777777" w:rsidTr="003F3109">
        <w:trPr>
          <w:trHeight w:val="140"/>
        </w:trPr>
        <w:tc>
          <w:tcPr>
            <w:tcW w:w="3517" w:type="dxa"/>
            <w:tcBorders>
              <w:bottom w:val="nil"/>
            </w:tcBorders>
            <w:vAlign w:val="center"/>
          </w:tcPr>
          <w:p w14:paraId="05F919CF" w14:textId="77777777" w:rsidR="003F3109" w:rsidRPr="008A651D" w:rsidRDefault="003F3109" w:rsidP="008A651D">
            <w:pPr>
              <w:spacing w:before="0" w:after="0" w:line="240" w:lineRule="auto"/>
              <w:ind w:left="74" w:firstLine="102"/>
              <w:rPr>
                <w:rFonts w:ascii="Times New Roman" w:hAnsi="Times New Roman" w:cs="Times New Roman"/>
                <w:color w:val="000000"/>
                <w:sz w:val="22"/>
                <w:szCs w:val="22"/>
              </w:rPr>
            </w:pPr>
            <w:r w:rsidRPr="008A651D">
              <w:rPr>
                <w:rFonts w:ascii="Times New Roman" w:hAnsi="Times New Roman" w:cs="Times New Roman"/>
                <w:color w:val="000000"/>
                <w:sz w:val="22"/>
                <w:szCs w:val="22"/>
              </w:rPr>
              <w:t>в том числе:</w:t>
            </w:r>
          </w:p>
        </w:tc>
        <w:tc>
          <w:tcPr>
            <w:tcW w:w="1269" w:type="dxa"/>
            <w:tcBorders>
              <w:bottom w:val="nil"/>
            </w:tcBorders>
            <w:vAlign w:val="bottom"/>
          </w:tcPr>
          <w:p w14:paraId="405FC9EE" w14:textId="77777777" w:rsidR="003F3109" w:rsidRPr="008A651D" w:rsidRDefault="003F3109" w:rsidP="008A651D">
            <w:pPr>
              <w:spacing w:before="0" w:after="0" w:line="240" w:lineRule="auto"/>
              <w:ind w:right="176"/>
              <w:rPr>
                <w:rFonts w:ascii="Times New Roman" w:hAnsi="Times New Roman" w:cs="Times New Roman"/>
                <w:sz w:val="22"/>
                <w:szCs w:val="22"/>
              </w:rPr>
            </w:pPr>
            <w:r w:rsidRPr="008A651D">
              <w:rPr>
                <w:rFonts w:ascii="Times New Roman" w:hAnsi="Times New Roman" w:cs="Times New Roman"/>
                <w:sz w:val="22"/>
                <w:szCs w:val="22"/>
              </w:rPr>
              <w:t> </w:t>
            </w:r>
          </w:p>
        </w:tc>
        <w:tc>
          <w:tcPr>
            <w:tcW w:w="1269" w:type="dxa"/>
            <w:tcBorders>
              <w:bottom w:val="nil"/>
            </w:tcBorders>
            <w:vAlign w:val="bottom"/>
          </w:tcPr>
          <w:p w14:paraId="35D27DFD"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w:t>
            </w:r>
          </w:p>
        </w:tc>
        <w:tc>
          <w:tcPr>
            <w:tcW w:w="1269" w:type="dxa"/>
            <w:tcBorders>
              <w:bottom w:val="nil"/>
              <w:right w:val="single" w:sz="4" w:space="0" w:color="auto"/>
            </w:tcBorders>
            <w:vAlign w:val="bottom"/>
          </w:tcPr>
          <w:p w14:paraId="6738142C" w14:textId="77777777" w:rsidR="003F3109" w:rsidRPr="008A651D" w:rsidRDefault="003F3109" w:rsidP="008A651D">
            <w:pPr>
              <w:spacing w:before="0" w:after="0" w:line="240" w:lineRule="auto"/>
              <w:ind w:right="176"/>
              <w:rPr>
                <w:rFonts w:ascii="Times New Roman" w:hAnsi="Times New Roman" w:cs="Times New Roman"/>
                <w:sz w:val="22"/>
                <w:szCs w:val="22"/>
              </w:rPr>
            </w:pPr>
            <w:r w:rsidRPr="008A651D">
              <w:rPr>
                <w:rFonts w:ascii="Times New Roman" w:hAnsi="Times New Roman" w:cs="Times New Roman"/>
                <w:sz w:val="22"/>
                <w:szCs w:val="22"/>
              </w:rPr>
              <w:t> </w:t>
            </w:r>
          </w:p>
        </w:tc>
        <w:tc>
          <w:tcPr>
            <w:tcW w:w="1270" w:type="dxa"/>
            <w:tcBorders>
              <w:top w:val="single" w:sz="4" w:space="0" w:color="auto"/>
              <w:left w:val="single" w:sz="4" w:space="0" w:color="auto"/>
              <w:bottom w:val="nil"/>
              <w:right w:val="single" w:sz="4" w:space="0" w:color="auto"/>
            </w:tcBorders>
            <w:vAlign w:val="bottom"/>
          </w:tcPr>
          <w:p w14:paraId="6D6ABDD7"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w:t>
            </w:r>
          </w:p>
        </w:tc>
        <w:tc>
          <w:tcPr>
            <w:tcW w:w="1045" w:type="dxa"/>
            <w:tcBorders>
              <w:left w:val="single" w:sz="4" w:space="0" w:color="auto"/>
              <w:bottom w:val="nil"/>
            </w:tcBorders>
            <w:vAlign w:val="bottom"/>
          </w:tcPr>
          <w:p w14:paraId="3301C37D"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w:t>
            </w:r>
          </w:p>
        </w:tc>
      </w:tr>
      <w:tr w:rsidR="003F3109" w:rsidRPr="008A651D" w14:paraId="1BC5C631" w14:textId="77777777" w:rsidTr="003F3109">
        <w:tc>
          <w:tcPr>
            <w:tcW w:w="3517" w:type="dxa"/>
            <w:tcBorders>
              <w:top w:val="nil"/>
              <w:bottom w:val="nil"/>
            </w:tcBorders>
            <w:vAlign w:val="center"/>
          </w:tcPr>
          <w:p w14:paraId="79210649" w14:textId="77777777" w:rsidR="003F3109" w:rsidRPr="008A651D" w:rsidRDefault="003F3109" w:rsidP="008A651D">
            <w:pPr>
              <w:spacing w:before="0" w:after="0" w:line="240" w:lineRule="auto"/>
              <w:ind w:left="176"/>
              <w:rPr>
                <w:rFonts w:ascii="Times New Roman" w:hAnsi="Times New Roman" w:cs="Times New Roman"/>
                <w:color w:val="000000"/>
                <w:sz w:val="22"/>
                <w:szCs w:val="22"/>
              </w:rPr>
            </w:pPr>
            <w:r w:rsidRPr="008A651D">
              <w:rPr>
                <w:rFonts w:ascii="Times New Roman" w:hAnsi="Times New Roman" w:cs="Times New Roman"/>
                <w:color w:val="000000"/>
                <w:sz w:val="22"/>
                <w:szCs w:val="22"/>
              </w:rPr>
              <w:t>- наличные деньги в обращении</w:t>
            </w:r>
          </w:p>
        </w:tc>
        <w:tc>
          <w:tcPr>
            <w:tcW w:w="1269" w:type="dxa"/>
            <w:tcBorders>
              <w:top w:val="nil"/>
              <w:bottom w:val="nil"/>
            </w:tcBorders>
            <w:vAlign w:val="bottom"/>
          </w:tcPr>
          <w:p w14:paraId="02FB1356"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1 034,5</w:t>
            </w:r>
          </w:p>
        </w:tc>
        <w:tc>
          <w:tcPr>
            <w:tcW w:w="1269" w:type="dxa"/>
            <w:tcBorders>
              <w:top w:val="nil"/>
              <w:bottom w:val="nil"/>
            </w:tcBorders>
            <w:vAlign w:val="bottom"/>
          </w:tcPr>
          <w:p w14:paraId="7521849C"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45,1</w:t>
            </w:r>
          </w:p>
        </w:tc>
        <w:tc>
          <w:tcPr>
            <w:tcW w:w="1269" w:type="dxa"/>
            <w:tcBorders>
              <w:top w:val="nil"/>
              <w:bottom w:val="nil"/>
              <w:right w:val="single" w:sz="4" w:space="0" w:color="auto"/>
            </w:tcBorders>
            <w:vAlign w:val="bottom"/>
          </w:tcPr>
          <w:p w14:paraId="21E9419F"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1 178,1</w:t>
            </w:r>
          </w:p>
        </w:tc>
        <w:tc>
          <w:tcPr>
            <w:tcW w:w="1270" w:type="dxa"/>
            <w:tcBorders>
              <w:top w:val="nil"/>
              <w:left w:val="single" w:sz="4" w:space="0" w:color="auto"/>
              <w:bottom w:val="nil"/>
              <w:right w:val="single" w:sz="4" w:space="0" w:color="auto"/>
            </w:tcBorders>
            <w:vAlign w:val="bottom"/>
          </w:tcPr>
          <w:p w14:paraId="0C873F5D"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38,6</w:t>
            </w:r>
          </w:p>
        </w:tc>
        <w:tc>
          <w:tcPr>
            <w:tcW w:w="1045" w:type="dxa"/>
            <w:tcBorders>
              <w:top w:val="nil"/>
              <w:left w:val="single" w:sz="4" w:space="0" w:color="auto"/>
              <w:bottom w:val="nil"/>
            </w:tcBorders>
            <w:vAlign w:val="bottom"/>
          </w:tcPr>
          <w:p w14:paraId="3B969B04"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113,9</w:t>
            </w:r>
          </w:p>
        </w:tc>
      </w:tr>
      <w:tr w:rsidR="003F3109" w:rsidRPr="008A651D" w14:paraId="0FCD6290" w14:textId="77777777" w:rsidTr="003F3109">
        <w:tc>
          <w:tcPr>
            <w:tcW w:w="3517" w:type="dxa"/>
            <w:tcBorders>
              <w:top w:val="nil"/>
              <w:left w:val="single" w:sz="4" w:space="0" w:color="auto"/>
              <w:bottom w:val="nil"/>
              <w:right w:val="single" w:sz="4" w:space="0" w:color="auto"/>
            </w:tcBorders>
            <w:vAlign w:val="center"/>
          </w:tcPr>
          <w:p w14:paraId="0D510232" w14:textId="77777777" w:rsidR="003F3109" w:rsidRPr="008A651D" w:rsidRDefault="003F3109" w:rsidP="008A651D">
            <w:pPr>
              <w:spacing w:before="0" w:after="0" w:line="240" w:lineRule="auto"/>
              <w:ind w:left="74" w:firstLine="102"/>
              <w:rPr>
                <w:rFonts w:ascii="Times New Roman" w:hAnsi="Times New Roman" w:cs="Times New Roman"/>
                <w:color w:val="000000"/>
                <w:sz w:val="22"/>
                <w:szCs w:val="22"/>
              </w:rPr>
            </w:pPr>
            <w:r w:rsidRPr="008A651D">
              <w:rPr>
                <w:rFonts w:ascii="Times New Roman" w:hAnsi="Times New Roman" w:cs="Times New Roman"/>
                <w:color w:val="000000"/>
                <w:sz w:val="22"/>
                <w:szCs w:val="22"/>
              </w:rPr>
              <w:t>- средства в кассах банков</w:t>
            </w:r>
            <w:r w:rsidRPr="008A651D">
              <w:rPr>
                <w:rFonts w:ascii="Times New Roman" w:hAnsi="Times New Roman" w:cs="Times New Roman"/>
                <w:color w:val="000000"/>
                <w:sz w:val="22"/>
                <w:szCs w:val="22"/>
                <w:vertAlign w:val="superscript"/>
              </w:rPr>
              <w:t>26</w:t>
            </w:r>
          </w:p>
        </w:tc>
        <w:tc>
          <w:tcPr>
            <w:tcW w:w="1269" w:type="dxa"/>
            <w:tcBorders>
              <w:top w:val="nil"/>
              <w:left w:val="single" w:sz="4" w:space="0" w:color="auto"/>
              <w:bottom w:val="nil"/>
              <w:right w:val="single" w:sz="4" w:space="0" w:color="auto"/>
            </w:tcBorders>
            <w:vAlign w:val="bottom"/>
          </w:tcPr>
          <w:p w14:paraId="77CDFB12"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372,9</w:t>
            </w:r>
          </w:p>
        </w:tc>
        <w:tc>
          <w:tcPr>
            <w:tcW w:w="1269" w:type="dxa"/>
            <w:tcBorders>
              <w:top w:val="nil"/>
              <w:left w:val="single" w:sz="4" w:space="0" w:color="auto"/>
              <w:bottom w:val="nil"/>
              <w:right w:val="single" w:sz="4" w:space="0" w:color="auto"/>
            </w:tcBorders>
            <w:vAlign w:val="bottom"/>
          </w:tcPr>
          <w:p w14:paraId="3425E99C"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16,3</w:t>
            </w:r>
          </w:p>
        </w:tc>
        <w:tc>
          <w:tcPr>
            <w:tcW w:w="1269" w:type="dxa"/>
            <w:tcBorders>
              <w:top w:val="nil"/>
              <w:left w:val="single" w:sz="4" w:space="0" w:color="auto"/>
              <w:bottom w:val="nil"/>
              <w:right w:val="single" w:sz="4" w:space="0" w:color="auto"/>
            </w:tcBorders>
            <w:vAlign w:val="bottom"/>
          </w:tcPr>
          <w:p w14:paraId="2D7FDA1E"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445,4</w:t>
            </w:r>
          </w:p>
        </w:tc>
        <w:tc>
          <w:tcPr>
            <w:tcW w:w="1270" w:type="dxa"/>
            <w:tcBorders>
              <w:top w:val="nil"/>
              <w:left w:val="single" w:sz="4" w:space="0" w:color="auto"/>
              <w:bottom w:val="nil"/>
              <w:right w:val="single" w:sz="4" w:space="0" w:color="auto"/>
            </w:tcBorders>
            <w:vAlign w:val="bottom"/>
          </w:tcPr>
          <w:p w14:paraId="1CDF7F93"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14,6</w:t>
            </w:r>
          </w:p>
        </w:tc>
        <w:tc>
          <w:tcPr>
            <w:tcW w:w="1045" w:type="dxa"/>
            <w:tcBorders>
              <w:top w:val="nil"/>
              <w:left w:val="single" w:sz="4" w:space="0" w:color="auto"/>
              <w:bottom w:val="nil"/>
              <w:right w:val="single" w:sz="4" w:space="0" w:color="auto"/>
            </w:tcBorders>
            <w:vAlign w:val="bottom"/>
          </w:tcPr>
          <w:p w14:paraId="452DF99A"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119,4</w:t>
            </w:r>
          </w:p>
        </w:tc>
      </w:tr>
      <w:tr w:rsidR="003F3109" w:rsidRPr="008A651D" w14:paraId="44EDF9FF" w14:textId="77777777" w:rsidTr="003F3109">
        <w:tc>
          <w:tcPr>
            <w:tcW w:w="3517" w:type="dxa"/>
            <w:tcBorders>
              <w:top w:val="nil"/>
              <w:left w:val="single" w:sz="4" w:space="0" w:color="auto"/>
              <w:bottom w:val="single" w:sz="4" w:space="0" w:color="auto"/>
              <w:right w:val="single" w:sz="4" w:space="0" w:color="auto"/>
            </w:tcBorders>
            <w:vAlign w:val="center"/>
          </w:tcPr>
          <w:p w14:paraId="554AEB14" w14:textId="77777777" w:rsidR="003F3109" w:rsidRPr="008A651D" w:rsidRDefault="003F3109" w:rsidP="008A651D">
            <w:pPr>
              <w:spacing w:before="0" w:after="0" w:line="240" w:lineRule="auto"/>
              <w:ind w:left="312" w:hanging="136"/>
              <w:rPr>
                <w:rFonts w:ascii="Times New Roman" w:hAnsi="Times New Roman" w:cs="Times New Roman"/>
                <w:color w:val="000000"/>
                <w:sz w:val="22"/>
                <w:szCs w:val="22"/>
              </w:rPr>
            </w:pPr>
            <w:r w:rsidRPr="008A651D">
              <w:rPr>
                <w:rFonts w:ascii="Times New Roman" w:hAnsi="Times New Roman" w:cs="Times New Roman"/>
                <w:color w:val="000000"/>
                <w:sz w:val="22"/>
                <w:szCs w:val="22"/>
              </w:rPr>
              <w:t>- корреспондентские счета банков</w:t>
            </w:r>
          </w:p>
          <w:p w14:paraId="36294405" w14:textId="77777777" w:rsidR="003F3109" w:rsidRPr="008A651D" w:rsidRDefault="003F3109" w:rsidP="008A651D">
            <w:pPr>
              <w:spacing w:before="0" w:after="0" w:line="240" w:lineRule="auto"/>
              <w:ind w:left="312" w:hanging="136"/>
              <w:rPr>
                <w:rFonts w:ascii="Times New Roman" w:hAnsi="Times New Roman" w:cs="Times New Roman"/>
                <w:color w:val="000000"/>
                <w:sz w:val="22"/>
                <w:szCs w:val="22"/>
              </w:rPr>
            </w:pPr>
            <w:r w:rsidRPr="008A651D">
              <w:rPr>
                <w:rFonts w:ascii="Times New Roman" w:hAnsi="Times New Roman" w:cs="Times New Roman"/>
                <w:color w:val="000000"/>
                <w:sz w:val="22"/>
                <w:szCs w:val="22"/>
              </w:rPr>
              <w:t>- депозиты банков</w:t>
            </w:r>
          </w:p>
        </w:tc>
        <w:tc>
          <w:tcPr>
            <w:tcW w:w="1269" w:type="dxa"/>
            <w:tcBorders>
              <w:top w:val="nil"/>
              <w:left w:val="single" w:sz="4" w:space="0" w:color="auto"/>
              <w:bottom w:val="single" w:sz="4" w:space="0" w:color="auto"/>
              <w:right w:val="single" w:sz="4" w:space="0" w:color="auto"/>
            </w:tcBorders>
            <w:vAlign w:val="bottom"/>
          </w:tcPr>
          <w:p w14:paraId="682340EA"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884,8</w:t>
            </w:r>
          </w:p>
          <w:p w14:paraId="2B7E4DB1"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c>
          <w:tcPr>
            <w:tcW w:w="1269" w:type="dxa"/>
            <w:tcBorders>
              <w:top w:val="nil"/>
              <w:left w:val="single" w:sz="4" w:space="0" w:color="auto"/>
              <w:bottom w:val="single" w:sz="4" w:space="0" w:color="auto"/>
              <w:right w:val="single" w:sz="4" w:space="0" w:color="auto"/>
            </w:tcBorders>
            <w:vAlign w:val="bottom"/>
          </w:tcPr>
          <w:p w14:paraId="27773C5F"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38,6</w:t>
            </w:r>
          </w:p>
          <w:p w14:paraId="2453BD6A"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c>
          <w:tcPr>
            <w:tcW w:w="1269" w:type="dxa"/>
            <w:tcBorders>
              <w:top w:val="nil"/>
              <w:left w:val="single" w:sz="4" w:space="0" w:color="auto"/>
              <w:bottom w:val="single" w:sz="4" w:space="0" w:color="auto"/>
              <w:right w:val="single" w:sz="4" w:space="0" w:color="auto"/>
            </w:tcBorders>
            <w:vAlign w:val="bottom"/>
          </w:tcPr>
          <w:p w14:paraId="3B964820"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1 414,2</w:t>
            </w:r>
          </w:p>
          <w:p w14:paraId="0F59CB72"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12,5</w:t>
            </w:r>
          </w:p>
        </w:tc>
        <w:tc>
          <w:tcPr>
            <w:tcW w:w="1270" w:type="dxa"/>
            <w:tcBorders>
              <w:top w:val="nil"/>
              <w:left w:val="single" w:sz="4" w:space="0" w:color="auto"/>
              <w:bottom w:val="single" w:sz="4" w:space="0" w:color="auto"/>
              <w:right w:val="single" w:sz="4" w:space="0" w:color="auto"/>
            </w:tcBorders>
            <w:vAlign w:val="bottom"/>
          </w:tcPr>
          <w:p w14:paraId="02DE8366"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46,4</w:t>
            </w:r>
          </w:p>
          <w:p w14:paraId="2D638F43"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0,4</w:t>
            </w:r>
          </w:p>
        </w:tc>
        <w:tc>
          <w:tcPr>
            <w:tcW w:w="1045" w:type="dxa"/>
            <w:tcBorders>
              <w:top w:val="nil"/>
              <w:left w:val="single" w:sz="4" w:space="0" w:color="auto"/>
              <w:bottom w:val="single" w:sz="4" w:space="0" w:color="auto"/>
              <w:right w:val="single" w:sz="4" w:space="0" w:color="auto"/>
            </w:tcBorders>
            <w:vAlign w:val="bottom"/>
          </w:tcPr>
          <w:p w14:paraId="5F7BC173"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159,8</w:t>
            </w:r>
          </w:p>
          <w:p w14:paraId="29B94DE4" w14:textId="77777777" w:rsidR="003F3109" w:rsidRPr="008A651D" w:rsidRDefault="003F3109" w:rsidP="008A651D">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r>
    </w:tbl>
    <w:p w14:paraId="2712B27F" w14:textId="77777777" w:rsidR="00684192" w:rsidRPr="00E07CE9" w:rsidRDefault="00684192" w:rsidP="0083024B">
      <w:pPr>
        <w:spacing w:before="120" w:after="0" w:line="240" w:lineRule="auto"/>
        <w:ind w:firstLine="425"/>
        <w:jc w:val="both"/>
        <w:rPr>
          <w:rFonts w:ascii="Times New Roman" w:hAnsi="Times New Roman" w:cs="Times New Roman"/>
          <w:sz w:val="24"/>
          <w:szCs w:val="24"/>
        </w:rPr>
      </w:pPr>
      <w:r w:rsidRPr="00E07CE9">
        <w:rPr>
          <w:rFonts w:ascii="Times New Roman" w:hAnsi="Times New Roman" w:cs="Times New Roman"/>
          <w:sz w:val="24"/>
          <w:szCs w:val="24"/>
        </w:rPr>
        <w:t xml:space="preserve">Основное влияние на прирост обязательств центрального банка в отчётном году оказало повышение остатков средств, размещённых на корреспондентских счетах коммерческих банков в ПРБ, на 59,8% (+529,4 млн руб.), до 1 414,2 млн руб. В их числе фонды обязательного резервирования и страхования возросли на 9,3% и составили 728,9 млн руб., что обусловлено ростом объёма привлечённых средств кредитных организаций. </w:t>
      </w:r>
    </w:p>
    <w:p w14:paraId="13566E02" w14:textId="77777777" w:rsidR="00684192" w:rsidRPr="008A651D" w:rsidRDefault="009F218F" w:rsidP="008A651D">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Увеличение денежной базы также было связано с </w:t>
      </w:r>
      <w:r w:rsidR="00684192" w:rsidRPr="008A651D">
        <w:rPr>
          <w:rFonts w:ascii="Times New Roman" w:hAnsi="Times New Roman" w:cs="Times New Roman"/>
          <w:sz w:val="24"/>
          <w:szCs w:val="24"/>
        </w:rPr>
        <w:t>размещ</w:t>
      </w:r>
      <w:r>
        <w:rPr>
          <w:rFonts w:ascii="Times New Roman" w:hAnsi="Times New Roman" w:cs="Times New Roman"/>
          <w:sz w:val="24"/>
          <w:szCs w:val="24"/>
        </w:rPr>
        <w:t>ением</w:t>
      </w:r>
      <w:r w:rsidR="00684192" w:rsidRPr="008A651D">
        <w:rPr>
          <w:rFonts w:ascii="Times New Roman" w:hAnsi="Times New Roman" w:cs="Times New Roman"/>
          <w:sz w:val="24"/>
          <w:szCs w:val="24"/>
        </w:rPr>
        <w:t xml:space="preserve"> депозитов коммерческих банков, объём которых на 1 января 2020 года составил 12,5 млн руб., что соответствует 0,4% денежной базы. </w:t>
      </w:r>
    </w:p>
    <w:p w14:paraId="75C6FB38" w14:textId="77777777" w:rsidR="00684192" w:rsidRDefault="00684192" w:rsidP="009F218F">
      <w:pPr>
        <w:spacing w:before="0" w:after="0" w:line="240" w:lineRule="auto"/>
        <w:ind w:firstLine="425"/>
        <w:jc w:val="both"/>
        <w:rPr>
          <w:rFonts w:ascii="Times New Roman" w:hAnsi="Times New Roman" w:cs="Times New Roman"/>
          <w:sz w:val="24"/>
          <w:szCs w:val="24"/>
        </w:rPr>
      </w:pPr>
      <w:r w:rsidRPr="009F218F">
        <w:rPr>
          <w:rFonts w:ascii="Times New Roman" w:hAnsi="Times New Roman" w:cs="Times New Roman"/>
          <w:sz w:val="24"/>
          <w:szCs w:val="24"/>
        </w:rPr>
        <w:t>Величина</w:t>
      </w:r>
      <w:r w:rsidRPr="008A651D">
        <w:t xml:space="preserve"> </w:t>
      </w:r>
      <w:r w:rsidRPr="009F218F">
        <w:rPr>
          <w:rFonts w:ascii="Times New Roman" w:hAnsi="Times New Roman" w:cs="Times New Roman"/>
          <w:sz w:val="24"/>
          <w:szCs w:val="24"/>
        </w:rPr>
        <w:t xml:space="preserve">обязательств центрального банка по выпущенным наличным денежным средствам </w:t>
      </w:r>
      <w:r w:rsidR="009F218F">
        <w:rPr>
          <w:rFonts w:ascii="Times New Roman" w:hAnsi="Times New Roman" w:cs="Times New Roman"/>
          <w:sz w:val="24"/>
          <w:szCs w:val="24"/>
        </w:rPr>
        <w:t>возросла</w:t>
      </w:r>
      <w:r w:rsidRPr="009F218F">
        <w:rPr>
          <w:rFonts w:ascii="Times New Roman" w:hAnsi="Times New Roman" w:cs="Times New Roman"/>
          <w:sz w:val="24"/>
          <w:szCs w:val="24"/>
        </w:rPr>
        <w:t xml:space="preserve"> на 1</w:t>
      </w:r>
      <w:r w:rsidR="0034433A" w:rsidRPr="009F218F">
        <w:rPr>
          <w:rFonts w:ascii="Times New Roman" w:hAnsi="Times New Roman" w:cs="Times New Roman"/>
          <w:sz w:val="24"/>
          <w:szCs w:val="24"/>
        </w:rPr>
        <w:t>5,4</w:t>
      </w:r>
      <w:r w:rsidRPr="009F218F">
        <w:rPr>
          <w:rFonts w:ascii="Times New Roman" w:hAnsi="Times New Roman" w:cs="Times New Roman"/>
          <w:sz w:val="24"/>
          <w:szCs w:val="24"/>
        </w:rPr>
        <w:t>% (+</w:t>
      </w:r>
      <w:r w:rsidR="0034433A" w:rsidRPr="009F218F">
        <w:rPr>
          <w:rFonts w:ascii="Times New Roman" w:hAnsi="Times New Roman" w:cs="Times New Roman"/>
          <w:sz w:val="24"/>
          <w:szCs w:val="24"/>
        </w:rPr>
        <w:t>216,1</w:t>
      </w:r>
      <w:r w:rsidRPr="009F218F">
        <w:rPr>
          <w:rFonts w:ascii="Times New Roman" w:hAnsi="Times New Roman" w:cs="Times New Roman"/>
          <w:sz w:val="24"/>
          <w:szCs w:val="24"/>
        </w:rPr>
        <w:t xml:space="preserve"> млн руб.), до 1</w:t>
      </w:r>
      <w:r w:rsidR="0034433A" w:rsidRPr="009F218F">
        <w:rPr>
          <w:rFonts w:ascii="Times New Roman" w:hAnsi="Times New Roman" w:cs="Times New Roman"/>
          <w:sz w:val="24"/>
          <w:szCs w:val="24"/>
        </w:rPr>
        <w:t> 623,5</w:t>
      </w:r>
      <w:r w:rsidRPr="009F218F">
        <w:rPr>
          <w:rFonts w:ascii="Times New Roman" w:hAnsi="Times New Roman" w:cs="Times New Roman"/>
          <w:sz w:val="24"/>
          <w:szCs w:val="24"/>
        </w:rPr>
        <w:t xml:space="preserve"> млн руб., из которых остатки наличности в кассах кредитн</w:t>
      </w:r>
      <w:r w:rsidR="0034433A" w:rsidRPr="009F218F">
        <w:rPr>
          <w:rFonts w:ascii="Times New Roman" w:hAnsi="Times New Roman" w:cs="Times New Roman"/>
          <w:sz w:val="24"/>
          <w:szCs w:val="24"/>
        </w:rPr>
        <w:t xml:space="preserve">ых организаций </w:t>
      </w:r>
      <w:r w:rsidR="00056F4E">
        <w:rPr>
          <w:rFonts w:ascii="Times New Roman" w:hAnsi="Times New Roman" w:cs="Times New Roman"/>
          <w:sz w:val="24"/>
          <w:szCs w:val="24"/>
        </w:rPr>
        <w:t>повысились</w:t>
      </w:r>
      <w:r w:rsidR="0034433A" w:rsidRPr="009F218F">
        <w:rPr>
          <w:rFonts w:ascii="Times New Roman" w:hAnsi="Times New Roman" w:cs="Times New Roman"/>
          <w:sz w:val="24"/>
          <w:szCs w:val="24"/>
        </w:rPr>
        <w:t xml:space="preserve"> на 19,4</w:t>
      </w:r>
      <w:r w:rsidRPr="009F218F">
        <w:rPr>
          <w:rFonts w:ascii="Times New Roman" w:hAnsi="Times New Roman" w:cs="Times New Roman"/>
          <w:sz w:val="24"/>
          <w:szCs w:val="24"/>
        </w:rPr>
        <w:t>% (+</w:t>
      </w:r>
      <w:r w:rsidR="0034433A" w:rsidRPr="009F218F">
        <w:rPr>
          <w:rFonts w:ascii="Times New Roman" w:hAnsi="Times New Roman" w:cs="Times New Roman"/>
          <w:sz w:val="24"/>
          <w:szCs w:val="24"/>
        </w:rPr>
        <w:t>7</w:t>
      </w:r>
      <w:r w:rsidRPr="009F218F">
        <w:rPr>
          <w:rFonts w:ascii="Times New Roman" w:hAnsi="Times New Roman" w:cs="Times New Roman"/>
          <w:sz w:val="24"/>
          <w:szCs w:val="24"/>
        </w:rPr>
        <w:t>2,</w:t>
      </w:r>
      <w:r w:rsidR="00D238CC">
        <w:rPr>
          <w:rFonts w:ascii="Times New Roman" w:hAnsi="Times New Roman" w:cs="Times New Roman"/>
          <w:sz w:val="24"/>
          <w:szCs w:val="24"/>
        </w:rPr>
        <w:t>5</w:t>
      </w:r>
      <w:r w:rsidRPr="009F218F">
        <w:rPr>
          <w:rFonts w:ascii="Times New Roman" w:hAnsi="Times New Roman" w:cs="Times New Roman"/>
          <w:sz w:val="24"/>
          <w:szCs w:val="24"/>
        </w:rPr>
        <w:t xml:space="preserve"> млн руб.), до </w:t>
      </w:r>
      <w:r w:rsidR="00056F4E">
        <w:rPr>
          <w:rFonts w:ascii="Times New Roman" w:hAnsi="Times New Roman" w:cs="Times New Roman"/>
          <w:sz w:val="24"/>
          <w:szCs w:val="24"/>
        </w:rPr>
        <w:br/>
      </w:r>
      <w:r w:rsidR="0034433A" w:rsidRPr="009F218F">
        <w:rPr>
          <w:rFonts w:ascii="Times New Roman" w:hAnsi="Times New Roman" w:cs="Times New Roman"/>
          <w:sz w:val="24"/>
          <w:szCs w:val="24"/>
        </w:rPr>
        <w:t>445,4</w:t>
      </w:r>
      <w:r w:rsidRPr="009F218F">
        <w:rPr>
          <w:rFonts w:ascii="Times New Roman" w:hAnsi="Times New Roman" w:cs="Times New Roman"/>
          <w:sz w:val="24"/>
          <w:szCs w:val="24"/>
        </w:rPr>
        <w:t xml:space="preserve"> млн руб.</w:t>
      </w:r>
    </w:p>
    <w:p w14:paraId="6DA091E5" w14:textId="77777777" w:rsidR="00056F4E" w:rsidRPr="009F218F" w:rsidRDefault="00056F4E" w:rsidP="009F218F">
      <w:pPr>
        <w:spacing w:before="0" w:after="0" w:line="240" w:lineRule="auto"/>
        <w:ind w:firstLine="425"/>
        <w:jc w:val="both"/>
        <w:rPr>
          <w:rFonts w:ascii="Times New Roman" w:hAnsi="Times New Roman" w:cs="Times New Roman"/>
          <w:sz w:val="24"/>
          <w:szCs w:val="24"/>
        </w:rPr>
      </w:pPr>
    </w:p>
    <w:p w14:paraId="4409F674" w14:textId="77777777" w:rsidR="00E053D8" w:rsidRPr="00071AA5" w:rsidRDefault="00E053D8" w:rsidP="009F218F">
      <w:pPr>
        <w:pStyle w:val="2"/>
        <w:rPr>
          <w:rFonts w:ascii="Times New Roman" w:hAnsi="Times New Roman" w:cs="Times New Roman"/>
          <w:b/>
          <w:noProof/>
        </w:rPr>
      </w:pPr>
      <w:r w:rsidRPr="004D7D79">
        <w:rPr>
          <w:b/>
          <w:noProof/>
        </w:rPr>
        <w:t>Валютный рынок</w:t>
      </w:r>
    </w:p>
    <w:p w14:paraId="4D408825" w14:textId="77777777" w:rsidR="00056F4E" w:rsidRDefault="00056F4E" w:rsidP="008A651D">
      <w:pPr>
        <w:widowControl w:val="0"/>
        <w:shd w:val="clear" w:color="auto" w:fill="FFFFFF"/>
        <w:spacing w:before="0" w:after="0" w:line="240" w:lineRule="auto"/>
        <w:ind w:firstLine="425"/>
        <w:jc w:val="both"/>
        <w:rPr>
          <w:rFonts w:ascii="Times New Roman" w:hAnsi="Times New Roman" w:cs="Times New Roman"/>
          <w:sz w:val="24"/>
          <w:szCs w:val="24"/>
        </w:rPr>
      </w:pPr>
    </w:p>
    <w:p w14:paraId="3FB3E2A3" w14:textId="77777777" w:rsidR="00F91F7D" w:rsidRPr="008A651D" w:rsidRDefault="00F91F7D" w:rsidP="008A651D">
      <w:pPr>
        <w:widowControl w:val="0"/>
        <w:shd w:val="clear" w:color="auto" w:fill="FFFFFF"/>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В отчётном году динамика показателей внутреннего валютного рынка формировалась под влиянием изменений, происходящих как в экономике республики, так на региональных и мировых рынках. </w:t>
      </w:r>
    </w:p>
    <w:p w14:paraId="730A4FF8" w14:textId="77777777" w:rsidR="00F91F7D" w:rsidRPr="008A651D" w:rsidRDefault="00F91F7D" w:rsidP="008A651D">
      <w:pPr>
        <w:widowControl w:val="0"/>
        <w:shd w:val="clear" w:color="auto" w:fill="FFFFFF"/>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На внутреннем валютном рынке республики официальный курс доллара США находился на нижнем уровне таргетируемого целевого диапазона 16,1-16,5 руб. ПМР/долл. США. По итогам года его средневзвешенное значение (16,1000 руб. ПМР) превысило всего на 0,3% показатель 2018 года. На наличном сегменте валютного рынка курс продажи доллара США составил 16,3524 руб. ПМР, что на 1,6% выше официальной котировки Банка Приднестровья, но на 0,4% ниже базисного показателя. Курс покупки также снизился на 0,4% и сложился на отметке 16,3016 руб. ПМР.</w:t>
      </w:r>
    </w:p>
    <w:p w14:paraId="6DAAC53E" w14:textId="77777777" w:rsidR="00F91F7D" w:rsidRPr="008A651D" w:rsidRDefault="00F91F7D" w:rsidP="008A651D">
      <w:pPr>
        <w:widowControl w:val="0"/>
        <w:shd w:val="clear" w:color="auto" w:fill="FFFFFF"/>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Относительно умеренная динамика инфляционных процессов в Приднестровье и в большинстве стран </w:t>
      </w:r>
      <w:r w:rsidR="00056F4E">
        <w:rPr>
          <w:rFonts w:ascii="Times New Roman" w:hAnsi="Times New Roman" w:cs="Times New Roman"/>
          <w:sz w:val="24"/>
          <w:szCs w:val="24"/>
        </w:rPr>
        <w:t>–</w:t>
      </w:r>
      <w:r w:rsidRPr="008A651D">
        <w:rPr>
          <w:rFonts w:ascii="Times New Roman" w:hAnsi="Times New Roman" w:cs="Times New Roman"/>
          <w:sz w:val="24"/>
          <w:szCs w:val="24"/>
        </w:rPr>
        <w:t xml:space="preserve"> основных торговых партнёров в условиях укрепления ряда их национальных валют (в частности рубля РФ и гривны) определила </w:t>
      </w:r>
      <w:r w:rsidR="00056F4E">
        <w:rPr>
          <w:rFonts w:ascii="Times New Roman" w:hAnsi="Times New Roman" w:cs="Times New Roman"/>
          <w:sz w:val="24"/>
          <w:szCs w:val="24"/>
        </w:rPr>
        <w:t xml:space="preserve">снижение </w:t>
      </w:r>
      <w:r w:rsidRPr="008A651D">
        <w:rPr>
          <w:rFonts w:ascii="Times New Roman" w:hAnsi="Times New Roman" w:cs="Times New Roman"/>
          <w:sz w:val="24"/>
          <w:szCs w:val="24"/>
        </w:rPr>
        <w:t xml:space="preserve">реального эффективного курса приднестровского рубля за 2019 год на </w:t>
      </w:r>
      <w:r w:rsidR="00056F4E">
        <w:rPr>
          <w:rFonts w:ascii="Times New Roman" w:hAnsi="Times New Roman" w:cs="Times New Roman"/>
          <w:sz w:val="24"/>
          <w:szCs w:val="24"/>
        </w:rPr>
        <w:t>3,5%.</w:t>
      </w:r>
      <w:r w:rsidRPr="008A651D">
        <w:rPr>
          <w:rFonts w:ascii="Times New Roman" w:hAnsi="Times New Roman" w:cs="Times New Roman"/>
          <w:sz w:val="24"/>
          <w:szCs w:val="24"/>
        </w:rPr>
        <w:t xml:space="preserve"> В разрезе иностранных валют, главным образом формирующих индекс, рост реального курса приднестровского рубля к евро (+5,8%), лею Румынии (+5,7%) и польскому злотому (+3,8%) был компенсирован его уменьшением к гривне (-14,5%), рублю РФ (-5,2%) и молдавскому лею (-1,5%).</w:t>
      </w:r>
    </w:p>
    <w:p w14:paraId="4B5DC7F2" w14:textId="77777777" w:rsidR="00F91F7D" w:rsidRPr="008A651D" w:rsidRDefault="00056F4E" w:rsidP="008A651D">
      <w:pPr>
        <w:widowControl w:val="0"/>
        <w:shd w:val="clear" w:color="auto" w:fill="FFFFFF"/>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Спрос и предложение на иностранную валюту характеризовались ростом по сравнению с показателями 2019 года. </w:t>
      </w:r>
      <w:r w:rsidR="00F91F7D" w:rsidRPr="008A651D">
        <w:rPr>
          <w:rFonts w:ascii="Times New Roman" w:hAnsi="Times New Roman" w:cs="Times New Roman"/>
          <w:sz w:val="24"/>
          <w:szCs w:val="24"/>
        </w:rPr>
        <w:t xml:space="preserve">Объём проданной </w:t>
      </w:r>
      <w:r>
        <w:rPr>
          <w:rFonts w:ascii="Times New Roman" w:hAnsi="Times New Roman" w:cs="Times New Roman"/>
          <w:sz w:val="24"/>
          <w:szCs w:val="24"/>
        </w:rPr>
        <w:t xml:space="preserve">кредитным организациям </w:t>
      </w:r>
      <w:r w:rsidR="00F91F7D" w:rsidRPr="008A651D">
        <w:rPr>
          <w:rFonts w:ascii="Times New Roman" w:hAnsi="Times New Roman" w:cs="Times New Roman"/>
          <w:sz w:val="24"/>
          <w:szCs w:val="24"/>
        </w:rPr>
        <w:t xml:space="preserve">наличной иностранной валюты увеличился на 13,9% и составил 282,2 млн долл. </w:t>
      </w:r>
      <w:r>
        <w:rPr>
          <w:rFonts w:ascii="Times New Roman" w:hAnsi="Times New Roman" w:cs="Times New Roman"/>
          <w:sz w:val="24"/>
          <w:szCs w:val="24"/>
        </w:rPr>
        <w:t>Спрос</w:t>
      </w:r>
      <w:r w:rsidR="00F91F7D" w:rsidRPr="008A651D">
        <w:rPr>
          <w:rFonts w:ascii="Times New Roman" w:hAnsi="Times New Roman" w:cs="Times New Roman"/>
          <w:sz w:val="24"/>
          <w:szCs w:val="24"/>
        </w:rPr>
        <w:t xml:space="preserve"> зафиксирован в сумме </w:t>
      </w:r>
      <w:r w:rsidR="00693D34">
        <w:rPr>
          <w:rFonts w:ascii="Times New Roman" w:hAnsi="Times New Roman" w:cs="Times New Roman"/>
          <w:sz w:val="24"/>
          <w:szCs w:val="24"/>
        </w:rPr>
        <w:br/>
      </w:r>
      <w:r w:rsidR="00F91F7D" w:rsidRPr="008A651D">
        <w:rPr>
          <w:rFonts w:ascii="Times New Roman" w:hAnsi="Times New Roman" w:cs="Times New Roman"/>
          <w:sz w:val="24"/>
          <w:szCs w:val="24"/>
        </w:rPr>
        <w:t xml:space="preserve">200,0 млн долл., превысив на 10,7% отметку 2018 года. В результате совокупная ёмкость </w:t>
      </w:r>
      <w:r w:rsidR="00F91F7D" w:rsidRPr="008A651D">
        <w:rPr>
          <w:rFonts w:ascii="Times New Roman" w:hAnsi="Times New Roman" w:cs="Times New Roman"/>
          <w:sz w:val="24"/>
          <w:szCs w:val="24"/>
        </w:rPr>
        <w:lastRenderedPageBreak/>
        <w:t xml:space="preserve">наличного валютного рынка Приднестровья расширилась на 12,5% и сложилась в сумме </w:t>
      </w:r>
      <w:r w:rsidR="00693D34">
        <w:rPr>
          <w:rFonts w:ascii="Times New Roman" w:hAnsi="Times New Roman" w:cs="Times New Roman"/>
          <w:sz w:val="24"/>
          <w:szCs w:val="24"/>
        </w:rPr>
        <w:br/>
      </w:r>
      <w:r w:rsidR="00F91F7D" w:rsidRPr="008A651D">
        <w:rPr>
          <w:rFonts w:ascii="Times New Roman" w:hAnsi="Times New Roman" w:cs="Times New Roman"/>
          <w:sz w:val="24"/>
          <w:szCs w:val="24"/>
        </w:rPr>
        <w:t>482,2 млн долл.</w:t>
      </w:r>
      <w:r>
        <w:rPr>
          <w:rFonts w:ascii="Times New Roman" w:hAnsi="Times New Roman" w:cs="Times New Roman"/>
          <w:sz w:val="24"/>
          <w:szCs w:val="24"/>
        </w:rPr>
        <w:t>, а п</w:t>
      </w:r>
      <w:r w:rsidR="00F91F7D" w:rsidRPr="008A651D">
        <w:rPr>
          <w:rFonts w:ascii="Times New Roman" w:hAnsi="Times New Roman" w:cs="Times New Roman"/>
          <w:sz w:val="24"/>
          <w:szCs w:val="24"/>
        </w:rPr>
        <w:t>оложительно</w:t>
      </w:r>
      <w:r>
        <w:rPr>
          <w:rFonts w:ascii="Times New Roman" w:hAnsi="Times New Roman" w:cs="Times New Roman"/>
          <w:sz w:val="24"/>
          <w:szCs w:val="24"/>
        </w:rPr>
        <w:t>е</w:t>
      </w:r>
      <w:r w:rsidR="00F91F7D" w:rsidRPr="008A651D">
        <w:rPr>
          <w:rFonts w:ascii="Times New Roman" w:hAnsi="Times New Roman" w:cs="Times New Roman"/>
          <w:sz w:val="24"/>
          <w:szCs w:val="24"/>
        </w:rPr>
        <w:t xml:space="preserve"> сальдо (превышение предложения над спросом) было сформировано на уровне 82,2 млн долл., что на 22,6% больше показателя за 2018 год.</w:t>
      </w:r>
    </w:p>
    <w:p w14:paraId="67CC6275" w14:textId="77777777" w:rsidR="00F91F7D" w:rsidRPr="008A651D" w:rsidRDefault="00F91F7D" w:rsidP="008A651D">
      <w:pPr>
        <w:widowControl w:val="0"/>
        <w:shd w:val="clear" w:color="auto" w:fill="FFFFFF"/>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Оборот безналичного рынка</w:t>
      </w:r>
      <w:r w:rsidRPr="008A651D">
        <w:rPr>
          <w:rFonts w:ascii="Times New Roman" w:hAnsi="Times New Roman" w:cs="Times New Roman"/>
          <w:sz w:val="24"/>
          <w:szCs w:val="24"/>
          <w:vertAlign w:val="superscript"/>
        </w:rPr>
        <w:footnoteReference w:id="17"/>
      </w:r>
      <w:r w:rsidRPr="008A651D">
        <w:rPr>
          <w:rFonts w:ascii="Times New Roman" w:hAnsi="Times New Roman" w:cs="Times New Roman"/>
          <w:sz w:val="24"/>
          <w:szCs w:val="24"/>
        </w:rPr>
        <w:t xml:space="preserve"> иностранной валюты за отчётный год расширился на 7,1%, до 1 28</w:t>
      </w:r>
      <w:r w:rsidR="002E2FA9">
        <w:rPr>
          <w:rFonts w:ascii="Times New Roman" w:hAnsi="Times New Roman" w:cs="Times New Roman"/>
          <w:sz w:val="24"/>
          <w:szCs w:val="24"/>
        </w:rPr>
        <w:t>2</w:t>
      </w:r>
      <w:r w:rsidRPr="008A651D">
        <w:rPr>
          <w:rFonts w:ascii="Times New Roman" w:hAnsi="Times New Roman" w:cs="Times New Roman"/>
          <w:sz w:val="24"/>
          <w:szCs w:val="24"/>
        </w:rPr>
        <w:t xml:space="preserve">,2 млн долл. </w:t>
      </w:r>
      <w:r w:rsidR="00056F4E">
        <w:rPr>
          <w:rFonts w:ascii="Times New Roman" w:hAnsi="Times New Roman" w:cs="Times New Roman"/>
          <w:sz w:val="24"/>
          <w:szCs w:val="24"/>
        </w:rPr>
        <w:t xml:space="preserve">Предложение составило </w:t>
      </w:r>
      <w:r w:rsidRPr="008A651D">
        <w:rPr>
          <w:rFonts w:ascii="Times New Roman" w:hAnsi="Times New Roman" w:cs="Times New Roman"/>
          <w:sz w:val="24"/>
          <w:szCs w:val="24"/>
        </w:rPr>
        <w:t xml:space="preserve">617,3 млн долл., превысив на 5,4% значение </w:t>
      </w:r>
      <w:r w:rsidR="00693D34">
        <w:rPr>
          <w:rFonts w:ascii="Times New Roman" w:hAnsi="Times New Roman" w:cs="Times New Roman"/>
          <w:sz w:val="24"/>
          <w:szCs w:val="24"/>
        </w:rPr>
        <w:br/>
      </w:r>
      <w:r w:rsidRPr="008A651D">
        <w:rPr>
          <w:rFonts w:ascii="Times New Roman" w:hAnsi="Times New Roman" w:cs="Times New Roman"/>
          <w:sz w:val="24"/>
          <w:szCs w:val="24"/>
        </w:rPr>
        <w:t xml:space="preserve">2018 года. Спрос на безналичную валюту возрос на 8,2%, до 664,9 млн долл. Из общей суммы заявок на покупку валюты 218,3 млн долл. было удовлетворено за счёт валютных интервенций центрального банка (247,7 млн долл. в 2018 году). Итогом безналичных валютообменных сделок за 2019 год стала нетто-покупка клиентами иностранной валюты в эквиваленте </w:t>
      </w:r>
      <w:r w:rsidR="00056F4E">
        <w:rPr>
          <w:rFonts w:ascii="Times New Roman" w:hAnsi="Times New Roman" w:cs="Times New Roman"/>
          <w:sz w:val="24"/>
          <w:szCs w:val="24"/>
        </w:rPr>
        <w:br/>
      </w:r>
      <w:r w:rsidRPr="008A651D">
        <w:rPr>
          <w:rFonts w:ascii="Times New Roman" w:hAnsi="Times New Roman" w:cs="Times New Roman"/>
          <w:sz w:val="24"/>
          <w:szCs w:val="24"/>
        </w:rPr>
        <w:t>47,5 млн долл., что на 64,6% превысило базисное значение.</w:t>
      </w:r>
    </w:p>
    <w:p w14:paraId="26EA10A6" w14:textId="77777777" w:rsidR="00F91F7D" w:rsidRDefault="00F91F7D" w:rsidP="008A651D">
      <w:pPr>
        <w:widowControl w:val="0"/>
        <w:shd w:val="clear" w:color="auto" w:fill="FFFFFF"/>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Общее сальдо операций на наличном и безналичном рынке сформировалось как нетто-предложение валюты в сумме 34,7 млн долл., что позволило сократить отрицательное значение валютных резервов центрального банка.</w:t>
      </w:r>
    </w:p>
    <w:p w14:paraId="7C8D8A97" w14:textId="77777777" w:rsidR="00056F4E" w:rsidRPr="008A651D" w:rsidRDefault="00056F4E" w:rsidP="008A651D">
      <w:pPr>
        <w:widowControl w:val="0"/>
        <w:shd w:val="clear" w:color="auto" w:fill="FFFFFF"/>
        <w:spacing w:before="0" w:after="0" w:line="240" w:lineRule="auto"/>
        <w:ind w:firstLine="425"/>
        <w:jc w:val="both"/>
        <w:rPr>
          <w:rFonts w:ascii="Times New Roman" w:hAnsi="Times New Roman" w:cs="Times New Roman"/>
          <w:sz w:val="24"/>
          <w:szCs w:val="24"/>
        </w:rPr>
      </w:pPr>
    </w:p>
    <w:p w14:paraId="5D0ABE56" w14:textId="77777777" w:rsidR="00D668EE" w:rsidRPr="00071AA5" w:rsidRDefault="00D668EE" w:rsidP="009F218F">
      <w:pPr>
        <w:pStyle w:val="2"/>
        <w:rPr>
          <w:rFonts w:ascii="Times New Roman" w:hAnsi="Times New Roman" w:cs="Times New Roman"/>
          <w:b/>
          <w:noProof/>
        </w:rPr>
      </w:pPr>
      <w:r w:rsidRPr="004D7D79">
        <w:rPr>
          <w:b/>
          <w:noProof/>
        </w:rPr>
        <w:t>Банковская система</w:t>
      </w:r>
    </w:p>
    <w:p w14:paraId="0034D046" w14:textId="77777777" w:rsidR="00056F4E" w:rsidRDefault="00056F4E" w:rsidP="008A651D">
      <w:pPr>
        <w:widowControl w:val="0"/>
        <w:spacing w:before="0" w:after="0" w:line="240" w:lineRule="auto"/>
        <w:ind w:firstLine="425"/>
        <w:jc w:val="both"/>
        <w:rPr>
          <w:rFonts w:ascii="Times New Roman" w:hAnsi="Times New Roman" w:cs="Times New Roman"/>
          <w:color w:val="000000"/>
          <w:sz w:val="24"/>
          <w:szCs w:val="24"/>
        </w:rPr>
      </w:pPr>
    </w:p>
    <w:p w14:paraId="0526B78B" w14:textId="77777777" w:rsidR="00D668EE" w:rsidRPr="008A651D" w:rsidRDefault="00D668EE" w:rsidP="008A651D">
      <w:pPr>
        <w:widowControl w:val="0"/>
        <w:spacing w:before="0" w:after="0" w:line="240" w:lineRule="auto"/>
        <w:ind w:firstLine="425"/>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Функционирование банковского сектора республики в 2019 году характеризовалось положительной динамикой. Совокупная валюта баланса действующих коммерческих банков расширилась на 14,3%, или на 1</w:t>
      </w:r>
      <w:r w:rsidR="00056F4E">
        <w:rPr>
          <w:rFonts w:ascii="Times New Roman" w:hAnsi="Times New Roman" w:cs="Times New Roman"/>
          <w:color w:val="000000"/>
          <w:sz w:val="24"/>
          <w:szCs w:val="24"/>
        </w:rPr>
        <w:t> </w:t>
      </w:r>
      <w:r w:rsidRPr="008A651D">
        <w:rPr>
          <w:rFonts w:ascii="Times New Roman" w:hAnsi="Times New Roman" w:cs="Times New Roman"/>
          <w:color w:val="000000"/>
          <w:sz w:val="24"/>
          <w:szCs w:val="24"/>
        </w:rPr>
        <w:t>218</w:t>
      </w:r>
      <w:r w:rsidR="00056F4E">
        <w:rPr>
          <w:rFonts w:ascii="Times New Roman" w:hAnsi="Times New Roman" w:cs="Times New Roman"/>
          <w:color w:val="000000"/>
          <w:sz w:val="24"/>
          <w:szCs w:val="24"/>
        </w:rPr>
        <w:t>,</w:t>
      </w:r>
      <w:r w:rsidRPr="008A651D">
        <w:rPr>
          <w:rFonts w:ascii="Times New Roman" w:hAnsi="Times New Roman" w:cs="Times New Roman"/>
          <w:color w:val="000000"/>
          <w:sz w:val="24"/>
          <w:szCs w:val="24"/>
        </w:rPr>
        <w:t>3 млн руб., и по состоянию на 1 января 2020 года сложилась на отметке 9 740,0 млн руб.</w:t>
      </w:r>
    </w:p>
    <w:p w14:paraId="395C061F" w14:textId="77777777" w:rsidR="00D668EE" w:rsidRPr="00056F4E" w:rsidRDefault="00D668EE" w:rsidP="008A651D">
      <w:pPr>
        <w:widowControl w:val="0"/>
        <w:spacing w:before="0" w:after="0" w:line="240" w:lineRule="auto"/>
        <w:ind w:firstLine="425"/>
        <w:jc w:val="both"/>
        <w:rPr>
          <w:rFonts w:ascii="Times New Roman" w:hAnsi="Times New Roman" w:cs="Times New Roman"/>
          <w:color w:val="FF0000"/>
          <w:sz w:val="24"/>
          <w:szCs w:val="24"/>
        </w:rPr>
      </w:pPr>
      <w:r w:rsidRPr="008A651D">
        <w:rPr>
          <w:rFonts w:ascii="Times New Roman" w:hAnsi="Times New Roman" w:cs="Times New Roman"/>
          <w:color w:val="000000"/>
          <w:sz w:val="24"/>
          <w:szCs w:val="24"/>
        </w:rPr>
        <w:t>Суммарная величина зарегистрированного уставного капитала действующих банков составила 1 664,8 млн руб., что на 226,7 млн руб. больше показателя на начало 2019 года.</w:t>
      </w:r>
    </w:p>
    <w:p w14:paraId="1A63A512" w14:textId="77777777" w:rsidR="00D668EE" w:rsidRPr="008A651D" w:rsidRDefault="00D668EE" w:rsidP="008A651D">
      <w:pPr>
        <w:widowControl w:val="0"/>
        <w:autoSpaceDE w:val="0"/>
        <w:autoSpaceDN w:val="0"/>
        <w:adjustRightInd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Размер совокупных обязательств,</w:t>
      </w:r>
      <w:r w:rsidRPr="008A651D">
        <w:rPr>
          <w:rFonts w:ascii="Times New Roman" w:hAnsi="Times New Roman" w:cs="Times New Roman"/>
          <w:color w:val="000000"/>
          <w:sz w:val="24"/>
          <w:szCs w:val="24"/>
        </w:rPr>
        <w:t xml:space="preserve"> определяющий кредитный потенциал банковской системы,</w:t>
      </w:r>
      <w:r w:rsidRPr="008A651D">
        <w:rPr>
          <w:rFonts w:ascii="Times New Roman" w:hAnsi="Times New Roman" w:cs="Times New Roman"/>
          <w:sz w:val="24"/>
          <w:szCs w:val="24"/>
        </w:rPr>
        <w:t xml:space="preserve"> увеличился на 15,3%</w:t>
      </w:r>
      <w:r w:rsidR="00056F4E">
        <w:rPr>
          <w:rFonts w:ascii="Times New Roman" w:hAnsi="Times New Roman" w:cs="Times New Roman"/>
          <w:sz w:val="24"/>
          <w:szCs w:val="24"/>
        </w:rPr>
        <w:t xml:space="preserve">, или на </w:t>
      </w:r>
      <w:r w:rsidRPr="008A651D">
        <w:rPr>
          <w:rFonts w:ascii="Times New Roman" w:hAnsi="Times New Roman" w:cs="Times New Roman"/>
          <w:sz w:val="24"/>
          <w:szCs w:val="24"/>
        </w:rPr>
        <w:t xml:space="preserve">1 063,2 млн руб. По состоянию на 1 января 2020 года банками было привлечено средств на сумму 8 015,6 млн руб. (табл. 1.8), или 82,3% валюты баланса-нетто. </w:t>
      </w:r>
      <w:r w:rsidR="00056F4E">
        <w:rPr>
          <w:rFonts w:ascii="Times New Roman" w:hAnsi="Times New Roman" w:cs="Times New Roman"/>
          <w:sz w:val="24"/>
          <w:szCs w:val="24"/>
        </w:rPr>
        <w:t xml:space="preserve">При этом ростом </w:t>
      </w:r>
      <w:r w:rsidR="00A576F4">
        <w:rPr>
          <w:rFonts w:ascii="Times New Roman" w:hAnsi="Times New Roman" w:cs="Times New Roman"/>
          <w:sz w:val="24"/>
          <w:szCs w:val="24"/>
        </w:rPr>
        <w:t xml:space="preserve">характеризовались как рублёвые, так и валютные обязательства – на 32,8% и 10,0% соответственно. В абсолютном выражении средства в приднестровских рублях возросли на </w:t>
      </w:r>
      <w:r w:rsidRPr="008A651D">
        <w:rPr>
          <w:rFonts w:ascii="Times New Roman" w:hAnsi="Times New Roman" w:cs="Times New Roman"/>
          <w:sz w:val="24"/>
          <w:szCs w:val="24"/>
        </w:rPr>
        <w:t>529,5 млн руб., до 2 142,1 млн руб.</w:t>
      </w:r>
      <w:r w:rsidR="00A576F4">
        <w:rPr>
          <w:rFonts w:ascii="Times New Roman" w:hAnsi="Times New Roman" w:cs="Times New Roman"/>
          <w:sz w:val="24"/>
          <w:szCs w:val="24"/>
        </w:rPr>
        <w:t xml:space="preserve">, </w:t>
      </w:r>
      <w:r w:rsidRPr="008A651D">
        <w:rPr>
          <w:rFonts w:ascii="Times New Roman" w:hAnsi="Times New Roman" w:cs="Times New Roman"/>
          <w:sz w:val="24"/>
          <w:szCs w:val="24"/>
        </w:rPr>
        <w:t xml:space="preserve">в иностранной валюте </w:t>
      </w:r>
      <w:r w:rsidR="00A576F4">
        <w:rPr>
          <w:rFonts w:ascii="Times New Roman" w:hAnsi="Times New Roman" w:cs="Times New Roman"/>
          <w:sz w:val="24"/>
          <w:szCs w:val="24"/>
        </w:rPr>
        <w:t xml:space="preserve">– на </w:t>
      </w:r>
      <w:r w:rsidRPr="008A651D">
        <w:rPr>
          <w:rFonts w:ascii="Times New Roman" w:hAnsi="Times New Roman" w:cs="Times New Roman"/>
          <w:sz w:val="24"/>
          <w:szCs w:val="24"/>
        </w:rPr>
        <w:t xml:space="preserve">533,8 млн руб., до 5 873,6 млн руб. </w:t>
      </w:r>
      <w:r w:rsidR="00A576F4" w:rsidRPr="008A651D">
        <w:rPr>
          <w:rFonts w:ascii="Times New Roman" w:hAnsi="Times New Roman" w:cs="Times New Roman"/>
          <w:sz w:val="24"/>
          <w:szCs w:val="24"/>
        </w:rPr>
        <w:t xml:space="preserve">Степень </w:t>
      </w:r>
      <w:r w:rsidRPr="008A651D">
        <w:rPr>
          <w:rFonts w:ascii="Times New Roman" w:hAnsi="Times New Roman" w:cs="Times New Roman"/>
          <w:sz w:val="24"/>
          <w:szCs w:val="24"/>
        </w:rPr>
        <w:t xml:space="preserve">валютизации ресурсной базы </w:t>
      </w:r>
      <w:r w:rsidR="00A576F4">
        <w:rPr>
          <w:rFonts w:ascii="Times New Roman" w:hAnsi="Times New Roman" w:cs="Times New Roman"/>
          <w:sz w:val="24"/>
          <w:szCs w:val="24"/>
        </w:rPr>
        <w:t xml:space="preserve">банков </w:t>
      </w:r>
      <w:r w:rsidRPr="008A651D">
        <w:rPr>
          <w:rFonts w:ascii="Times New Roman" w:hAnsi="Times New Roman" w:cs="Times New Roman"/>
          <w:sz w:val="24"/>
          <w:szCs w:val="24"/>
        </w:rPr>
        <w:t>сократилась на 3,5 п.п., до 73,3%.</w:t>
      </w:r>
    </w:p>
    <w:p w14:paraId="7BC07402" w14:textId="0420C06B" w:rsidR="00D668EE" w:rsidRPr="00A576F4" w:rsidRDefault="00D668EE" w:rsidP="007301FC">
      <w:pPr>
        <w:spacing w:before="120" w:after="120" w:line="240" w:lineRule="auto"/>
        <w:jc w:val="right"/>
        <w:rPr>
          <w:rFonts w:ascii="Times New Roman" w:hAnsi="Times New Roman" w:cs="Times New Roman"/>
          <w:b/>
          <w:i/>
          <w:sz w:val="24"/>
          <w:szCs w:val="24"/>
        </w:rPr>
      </w:pPr>
      <w:r w:rsidRPr="00A576F4">
        <w:rPr>
          <w:rFonts w:ascii="Times New Roman" w:hAnsi="Times New Roman" w:cs="Times New Roman"/>
          <w:b/>
          <w:i/>
          <w:sz w:val="24"/>
          <w:szCs w:val="24"/>
        </w:rPr>
        <w:t>Таблица 1.8</w:t>
      </w:r>
    </w:p>
    <w:p w14:paraId="212F7414" w14:textId="77777777" w:rsidR="00D668EE" w:rsidRPr="00A576F4" w:rsidRDefault="00D668EE" w:rsidP="0083024B">
      <w:pPr>
        <w:spacing w:after="120" w:line="240" w:lineRule="auto"/>
        <w:jc w:val="center"/>
        <w:rPr>
          <w:rFonts w:ascii="Times New Roman" w:hAnsi="Times New Roman" w:cs="Times New Roman"/>
          <w:b/>
          <w:i/>
          <w:color w:val="000000"/>
          <w:sz w:val="24"/>
          <w:szCs w:val="24"/>
        </w:rPr>
      </w:pPr>
      <w:r w:rsidRPr="00A576F4">
        <w:rPr>
          <w:rFonts w:ascii="Times New Roman" w:hAnsi="Times New Roman" w:cs="Times New Roman"/>
          <w:b/>
          <w:i/>
          <w:color w:val="000000"/>
          <w:sz w:val="24"/>
          <w:szCs w:val="24"/>
        </w:rPr>
        <w:t xml:space="preserve">Структура и </w:t>
      </w:r>
      <w:r w:rsidRPr="00A576F4">
        <w:rPr>
          <w:rFonts w:ascii="Times New Roman" w:hAnsi="Times New Roman" w:cs="Times New Roman"/>
          <w:b/>
          <w:i/>
          <w:sz w:val="24"/>
          <w:szCs w:val="24"/>
        </w:rPr>
        <w:t>динамика совокупных обязательств коммерческих</w:t>
      </w:r>
      <w:r w:rsidRPr="00A576F4">
        <w:rPr>
          <w:rFonts w:ascii="Times New Roman" w:hAnsi="Times New Roman" w:cs="Times New Roman"/>
          <w:b/>
          <w:i/>
          <w:color w:val="000000"/>
          <w:sz w:val="24"/>
          <w:szCs w:val="24"/>
        </w:rPr>
        <w:t xml:space="preserve"> банков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1134"/>
        <w:gridCol w:w="1134"/>
        <w:gridCol w:w="1134"/>
        <w:gridCol w:w="1134"/>
        <w:gridCol w:w="1021"/>
      </w:tblGrid>
      <w:tr w:rsidR="00D668EE" w:rsidRPr="008A651D" w14:paraId="04621AC9" w14:textId="77777777" w:rsidTr="00596112">
        <w:trPr>
          <w:trHeight w:val="145"/>
        </w:trPr>
        <w:tc>
          <w:tcPr>
            <w:tcW w:w="4082" w:type="dxa"/>
            <w:vMerge w:val="restart"/>
            <w:shd w:val="clear" w:color="auto" w:fill="CCCCCC"/>
            <w:vAlign w:val="center"/>
          </w:tcPr>
          <w:p w14:paraId="3484E6C7" w14:textId="77777777" w:rsidR="00D668EE" w:rsidRPr="008A651D" w:rsidRDefault="00D668EE" w:rsidP="008A651D">
            <w:pPr>
              <w:widowControl w:val="0"/>
              <w:spacing w:before="0" w:after="0" w:line="240" w:lineRule="auto"/>
              <w:ind w:left="34"/>
              <w:jc w:val="center"/>
              <w:rPr>
                <w:rFonts w:ascii="Times New Roman" w:hAnsi="Times New Roman" w:cs="Times New Roman"/>
                <w:color w:val="000000"/>
                <w:sz w:val="22"/>
                <w:szCs w:val="22"/>
              </w:rPr>
            </w:pPr>
          </w:p>
        </w:tc>
        <w:tc>
          <w:tcPr>
            <w:tcW w:w="2268" w:type="dxa"/>
            <w:gridSpan w:val="2"/>
            <w:shd w:val="clear" w:color="auto" w:fill="CCCCCC"/>
            <w:vAlign w:val="center"/>
          </w:tcPr>
          <w:p w14:paraId="69962D04"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на 01.01.2019</w:t>
            </w:r>
          </w:p>
        </w:tc>
        <w:tc>
          <w:tcPr>
            <w:tcW w:w="2268" w:type="dxa"/>
            <w:gridSpan w:val="2"/>
            <w:shd w:val="clear" w:color="auto" w:fill="CCCCCC"/>
            <w:vAlign w:val="center"/>
          </w:tcPr>
          <w:p w14:paraId="4149F2A8"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на 01.01.2020</w:t>
            </w:r>
          </w:p>
        </w:tc>
        <w:tc>
          <w:tcPr>
            <w:tcW w:w="1021" w:type="dxa"/>
            <w:vMerge w:val="restart"/>
            <w:shd w:val="clear" w:color="auto" w:fill="CCCCCC"/>
            <w:vAlign w:val="center"/>
          </w:tcPr>
          <w:p w14:paraId="4CEEE8B4"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темп роста, %</w:t>
            </w:r>
          </w:p>
        </w:tc>
      </w:tr>
      <w:tr w:rsidR="00D668EE" w:rsidRPr="008A651D" w14:paraId="75D2DDA1" w14:textId="77777777" w:rsidTr="00596112">
        <w:trPr>
          <w:trHeight w:val="388"/>
        </w:trPr>
        <w:tc>
          <w:tcPr>
            <w:tcW w:w="4082" w:type="dxa"/>
            <w:vMerge/>
            <w:tcBorders>
              <w:bottom w:val="double" w:sz="4" w:space="0" w:color="auto"/>
            </w:tcBorders>
            <w:vAlign w:val="center"/>
          </w:tcPr>
          <w:p w14:paraId="42AA38E2" w14:textId="77777777" w:rsidR="00D668EE" w:rsidRPr="008A651D" w:rsidRDefault="00D668EE" w:rsidP="008A651D">
            <w:pPr>
              <w:widowControl w:val="0"/>
              <w:spacing w:before="0" w:after="0" w:line="240" w:lineRule="auto"/>
              <w:rPr>
                <w:rFonts w:ascii="Times New Roman" w:hAnsi="Times New Roman" w:cs="Times New Roman"/>
                <w:color w:val="000000"/>
                <w:sz w:val="22"/>
                <w:szCs w:val="22"/>
              </w:rPr>
            </w:pPr>
          </w:p>
        </w:tc>
        <w:tc>
          <w:tcPr>
            <w:tcW w:w="1134" w:type="dxa"/>
            <w:tcBorders>
              <w:bottom w:val="double" w:sz="4" w:space="0" w:color="auto"/>
            </w:tcBorders>
            <w:shd w:val="clear" w:color="auto" w:fill="CCCCCC"/>
            <w:vAlign w:val="center"/>
          </w:tcPr>
          <w:p w14:paraId="175501DB"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134" w:type="dxa"/>
            <w:tcBorders>
              <w:bottom w:val="double" w:sz="4" w:space="0" w:color="auto"/>
            </w:tcBorders>
            <w:shd w:val="clear" w:color="auto" w:fill="CCCCCC"/>
            <w:vAlign w:val="center"/>
          </w:tcPr>
          <w:p w14:paraId="3334FA89"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уд. вес, </w:t>
            </w:r>
          </w:p>
          <w:p w14:paraId="127C3AA8"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c>
          <w:tcPr>
            <w:tcW w:w="1134" w:type="dxa"/>
            <w:tcBorders>
              <w:bottom w:val="double" w:sz="4" w:space="0" w:color="auto"/>
            </w:tcBorders>
            <w:shd w:val="clear" w:color="auto" w:fill="CCCCCC"/>
            <w:vAlign w:val="center"/>
          </w:tcPr>
          <w:p w14:paraId="42E2ED30"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134" w:type="dxa"/>
            <w:tcBorders>
              <w:bottom w:val="double" w:sz="4" w:space="0" w:color="auto"/>
            </w:tcBorders>
            <w:shd w:val="clear" w:color="auto" w:fill="CCCCCC"/>
            <w:vAlign w:val="center"/>
          </w:tcPr>
          <w:p w14:paraId="16B22015"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уд. вес, </w:t>
            </w:r>
          </w:p>
          <w:p w14:paraId="4A8590B5"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c>
          <w:tcPr>
            <w:tcW w:w="1021" w:type="dxa"/>
            <w:vMerge/>
            <w:tcBorders>
              <w:bottom w:val="double" w:sz="4" w:space="0" w:color="auto"/>
            </w:tcBorders>
            <w:vAlign w:val="center"/>
          </w:tcPr>
          <w:p w14:paraId="010D49BF" w14:textId="77777777" w:rsidR="00D668EE" w:rsidRPr="008A651D" w:rsidRDefault="00D668EE" w:rsidP="008A651D">
            <w:pPr>
              <w:widowControl w:val="0"/>
              <w:spacing w:before="0" w:after="0" w:line="240" w:lineRule="auto"/>
              <w:rPr>
                <w:rFonts w:ascii="Times New Roman" w:hAnsi="Times New Roman" w:cs="Times New Roman"/>
                <w:color w:val="000000"/>
                <w:sz w:val="22"/>
                <w:szCs w:val="22"/>
              </w:rPr>
            </w:pPr>
          </w:p>
        </w:tc>
      </w:tr>
      <w:tr w:rsidR="00D668EE" w:rsidRPr="008A651D" w14:paraId="51FA9B1C" w14:textId="77777777" w:rsidTr="00596112">
        <w:trPr>
          <w:trHeight w:val="204"/>
        </w:trPr>
        <w:tc>
          <w:tcPr>
            <w:tcW w:w="4082" w:type="dxa"/>
            <w:tcBorders>
              <w:top w:val="double" w:sz="4" w:space="0" w:color="auto"/>
            </w:tcBorders>
            <w:shd w:val="clear" w:color="auto" w:fill="D9D9D9" w:themeFill="background1" w:themeFillShade="D9"/>
            <w:vAlign w:val="center"/>
          </w:tcPr>
          <w:p w14:paraId="358D6100" w14:textId="77777777" w:rsidR="00D668EE" w:rsidRPr="008A651D" w:rsidRDefault="00D668EE" w:rsidP="008A651D">
            <w:pPr>
              <w:widowControl w:val="0"/>
              <w:spacing w:before="0" w:after="0" w:line="240" w:lineRule="auto"/>
              <w:ind w:left="-24"/>
              <w:rPr>
                <w:rFonts w:ascii="Times New Roman" w:hAnsi="Times New Roman" w:cs="Times New Roman"/>
                <w:color w:val="000000"/>
                <w:sz w:val="22"/>
                <w:szCs w:val="22"/>
              </w:rPr>
            </w:pPr>
            <w:r w:rsidRPr="008A651D">
              <w:rPr>
                <w:rFonts w:ascii="Times New Roman" w:hAnsi="Times New Roman" w:cs="Times New Roman"/>
                <w:color w:val="000000"/>
                <w:sz w:val="22"/>
                <w:szCs w:val="22"/>
              </w:rPr>
              <w:t>Обязательства, всего</w:t>
            </w:r>
          </w:p>
        </w:tc>
        <w:tc>
          <w:tcPr>
            <w:tcW w:w="1134" w:type="dxa"/>
            <w:tcBorders>
              <w:top w:val="double" w:sz="4" w:space="0" w:color="auto"/>
            </w:tcBorders>
            <w:shd w:val="clear" w:color="auto" w:fill="D9D9D9" w:themeFill="background1" w:themeFillShade="D9"/>
            <w:vAlign w:val="bottom"/>
          </w:tcPr>
          <w:p w14:paraId="0BCF1798"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6 952,4</w:t>
            </w:r>
          </w:p>
        </w:tc>
        <w:tc>
          <w:tcPr>
            <w:tcW w:w="1134" w:type="dxa"/>
            <w:tcBorders>
              <w:top w:val="double" w:sz="4" w:space="0" w:color="auto"/>
            </w:tcBorders>
            <w:shd w:val="clear" w:color="auto" w:fill="D9D9D9" w:themeFill="background1" w:themeFillShade="D9"/>
            <w:vAlign w:val="bottom"/>
          </w:tcPr>
          <w:p w14:paraId="22C8C67C"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134" w:type="dxa"/>
            <w:tcBorders>
              <w:top w:val="double" w:sz="4" w:space="0" w:color="auto"/>
            </w:tcBorders>
            <w:shd w:val="clear" w:color="auto" w:fill="D9D9D9" w:themeFill="background1" w:themeFillShade="D9"/>
            <w:vAlign w:val="bottom"/>
          </w:tcPr>
          <w:p w14:paraId="0B735998"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8 015,6</w:t>
            </w:r>
          </w:p>
        </w:tc>
        <w:tc>
          <w:tcPr>
            <w:tcW w:w="1134" w:type="dxa"/>
            <w:tcBorders>
              <w:top w:val="double" w:sz="4" w:space="0" w:color="auto"/>
            </w:tcBorders>
            <w:shd w:val="clear" w:color="auto" w:fill="D9D9D9" w:themeFill="background1" w:themeFillShade="D9"/>
            <w:vAlign w:val="bottom"/>
          </w:tcPr>
          <w:p w14:paraId="6340C7D3"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021" w:type="dxa"/>
            <w:tcBorders>
              <w:top w:val="double" w:sz="4" w:space="0" w:color="auto"/>
            </w:tcBorders>
            <w:shd w:val="clear" w:color="auto" w:fill="D9D9D9" w:themeFill="background1" w:themeFillShade="D9"/>
            <w:vAlign w:val="bottom"/>
          </w:tcPr>
          <w:p w14:paraId="473EDEEA"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115,3</w:t>
            </w:r>
          </w:p>
        </w:tc>
      </w:tr>
      <w:tr w:rsidR="00D668EE" w:rsidRPr="008A651D" w14:paraId="6FBBABEA" w14:textId="77777777" w:rsidTr="00596112">
        <w:trPr>
          <w:trHeight w:val="234"/>
        </w:trPr>
        <w:tc>
          <w:tcPr>
            <w:tcW w:w="4082" w:type="dxa"/>
          </w:tcPr>
          <w:p w14:paraId="161D74CA" w14:textId="77777777" w:rsidR="00D668EE" w:rsidRPr="008A651D" w:rsidRDefault="00D668EE" w:rsidP="008A651D">
            <w:pPr>
              <w:spacing w:before="0" w:after="0" w:line="240" w:lineRule="auto"/>
              <w:ind w:leftChars="73" w:left="333" w:hangingChars="85" w:hanging="187"/>
              <w:rPr>
                <w:rFonts w:ascii="Times New Roman" w:hAnsi="Times New Roman" w:cs="Times New Roman"/>
                <w:color w:val="000000"/>
                <w:sz w:val="22"/>
                <w:szCs w:val="22"/>
              </w:rPr>
            </w:pPr>
            <w:r w:rsidRPr="008A651D">
              <w:rPr>
                <w:rFonts w:ascii="Times New Roman" w:hAnsi="Times New Roman" w:cs="Times New Roman"/>
                <w:color w:val="000000"/>
                <w:sz w:val="22"/>
                <w:szCs w:val="22"/>
              </w:rPr>
              <w:t>из них:</w:t>
            </w:r>
          </w:p>
        </w:tc>
        <w:tc>
          <w:tcPr>
            <w:tcW w:w="1134" w:type="dxa"/>
            <w:shd w:val="clear" w:color="000000" w:fill="FFFFFF"/>
            <w:vAlign w:val="bottom"/>
          </w:tcPr>
          <w:p w14:paraId="03162747" w14:textId="77777777" w:rsidR="00D668EE" w:rsidRPr="008A651D" w:rsidRDefault="00D668EE" w:rsidP="008A651D">
            <w:pPr>
              <w:spacing w:before="0" w:after="0" w:line="240" w:lineRule="auto"/>
              <w:ind w:right="94"/>
              <w:jc w:val="right"/>
              <w:rPr>
                <w:rFonts w:ascii="Times New Roman" w:hAnsi="Times New Roman" w:cs="Times New Roman"/>
                <w:i/>
                <w:iCs/>
                <w:color w:val="000000"/>
                <w:sz w:val="22"/>
                <w:szCs w:val="22"/>
              </w:rPr>
            </w:pPr>
          </w:p>
        </w:tc>
        <w:tc>
          <w:tcPr>
            <w:tcW w:w="1134" w:type="dxa"/>
            <w:shd w:val="clear" w:color="auto" w:fill="auto"/>
            <w:vAlign w:val="bottom"/>
          </w:tcPr>
          <w:p w14:paraId="03ED839F" w14:textId="77777777" w:rsidR="00D668EE" w:rsidRPr="008A651D" w:rsidRDefault="00D668EE" w:rsidP="008A651D">
            <w:pPr>
              <w:spacing w:before="0" w:after="0" w:line="240" w:lineRule="auto"/>
              <w:ind w:right="94"/>
              <w:jc w:val="right"/>
              <w:rPr>
                <w:rFonts w:ascii="Times New Roman" w:hAnsi="Times New Roman" w:cs="Times New Roman"/>
                <w:i/>
                <w:iCs/>
                <w:color w:val="000000"/>
                <w:sz w:val="22"/>
                <w:szCs w:val="22"/>
              </w:rPr>
            </w:pPr>
          </w:p>
        </w:tc>
        <w:tc>
          <w:tcPr>
            <w:tcW w:w="1134" w:type="dxa"/>
            <w:shd w:val="clear" w:color="000000" w:fill="FFFFFF"/>
            <w:vAlign w:val="bottom"/>
          </w:tcPr>
          <w:p w14:paraId="49DF206A" w14:textId="77777777" w:rsidR="00D668EE" w:rsidRPr="008A651D" w:rsidRDefault="00D668EE" w:rsidP="008A651D">
            <w:pPr>
              <w:spacing w:before="0" w:after="0" w:line="240" w:lineRule="auto"/>
              <w:ind w:right="94"/>
              <w:jc w:val="right"/>
              <w:rPr>
                <w:rFonts w:ascii="Times New Roman" w:hAnsi="Times New Roman" w:cs="Times New Roman"/>
                <w:i/>
                <w:iCs/>
                <w:color w:val="000000"/>
                <w:sz w:val="22"/>
                <w:szCs w:val="22"/>
              </w:rPr>
            </w:pPr>
          </w:p>
        </w:tc>
        <w:tc>
          <w:tcPr>
            <w:tcW w:w="1134" w:type="dxa"/>
            <w:shd w:val="clear" w:color="auto" w:fill="auto"/>
            <w:vAlign w:val="bottom"/>
          </w:tcPr>
          <w:p w14:paraId="0FEB4F14" w14:textId="77777777" w:rsidR="00D668EE" w:rsidRPr="008A651D" w:rsidRDefault="00D668EE" w:rsidP="008A651D">
            <w:pPr>
              <w:spacing w:before="0" w:after="0" w:line="240" w:lineRule="auto"/>
              <w:ind w:right="94"/>
              <w:jc w:val="right"/>
              <w:rPr>
                <w:rFonts w:ascii="Times New Roman" w:hAnsi="Times New Roman" w:cs="Times New Roman"/>
                <w:i/>
                <w:iCs/>
                <w:color w:val="000000"/>
                <w:sz w:val="22"/>
                <w:szCs w:val="22"/>
              </w:rPr>
            </w:pPr>
          </w:p>
        </w:tc>
        <w:tc>
          <w:tcPr>
            <w:tcW w:w="1021" w:type="dxa"/>
            <w:shd w:val="clear" w:color="000000" w:fill="FFFFFF"/>
            <w:vAlign w:val="bottom"/>
          </w:tcPr>
          <w:p w14:paraId="51456EE2" w14:textId="77777777" w:rsidR="00D668EE" w:rsidRPr="008A651D" w:rsidRDefault="00D668EE" w:rsidP="008A651D">
            <w:pPr>
              <w:spacing w:before="0" w:after="0" w:line="240" w:lineRule="auto"/>
              <w:ind w:right="94"/>
              <w:jc w:val="right"/>
              <w:rPr>
                <w:rFonts w:ascii="Times New Roman" w:hAnsi="Times New Roman" w:cs="Times New Roman"/>
                <w:i/>
                <w:iCs/>
                <w:color w:val="000000"/>
                <w:sz w:val="22"/>
                <w:szCs w:val="22"/>
              </w:rPr>
            </w:pPr>
          </w:p>
        </w:tc>
      </w:tr>
      <w:tr w:rsidR="00D668EE" w:rsidRPr="008A651D" w14:paraId="5320E19A" w14:textId="77777777" w:rsidTr="00596112">
        <w:trPr>
          <w:trHeight w:val="510"/>
        </w:trPr>
        <w:tc>
          <w:tcPr>
            <w:tcW w:w="4082" w:type="dxa"/>
          </w:tcPr>
          <w:p w14:paraId="0DBF2BB8" w14:textId="77777777" w:rsidR="00D668EE" w:rsidRPr="008A651D" w:rsidRDefault="00D668EE" w:rsidP="008A651D">
            <w:pPr>
              <w:spacing w:before="0" w:after="0" w:line="240" w:lineRule="auto"/>
              <w:ind w:leftChars="72" w:left="263" w:hangingChars="54" w:hanging="119"/>
              <w:rPr>
                <w:rFonts w:ascii="Times New Roman" w:hAnsi="Times New Roman" w:cs="Times New Roman"/>
                <w:color w:val="000000"/>
                <w:sz w:val="22"/>
                <w:szCs w:val="22"/>
              </w:rPr>
            </w:pPr>
            <w:r w:rsidRPr="008A651D">
              <w:rPr>
                <w:rFonts w:ascii="Times New Roman" w:hAnsi="Times New Roman" w:cs="Times New Roman"/>
                <w:color w:val="000000"/>
                <w:sz w:val="22"/>
                <w:szCs w:val="22"/>
              </w:rPr>
              <w:t>- кредиты, депозиты и прочие средства от ПРБ</w:t>
            </w:r>
          </w:p>
        </w:tc>
        <w:tc>
          <w:tcPr>
            <w:tcW w:w="1134" w:type="dxa"/>
            <w:shd w:val="clear" w:color="000000" w:fill="FFFFFF"/>
            <w:vAlign w:val="bottom"/>
          </w:tcPr>
          <w:p w14:paraId="79FCE11F"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c>
          <w:tcPr>
            <w:tcW w:w="1134" w:type="dxa"/>
            <w:shd w:val="clear" w:color="auto" w:fill="auto"/>
            <w:vAlign w:val="bottom"/>
          </w:tcPr>
          <w:p w14:paraId="755553B3"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c>
          <w:tcPr>
            <w:tcW w:w="1134" w:type="dxa"/>
            <w:shd w:val="clear" w:color="000000" w:fill="FFFFFF"/>
            <w:vAlign w:val="bottom"/>
          </w:tcPr>
          <w:p w14:paraId="6578FA87"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40,0</w:t>
            </w:r>
          </w:p>
        </w:tc>
        <w:tc>
          <w:tcPr>
            <w:tcW w:w="1134" w:type="dxa"/>
            <w:shd w:val="clear" w:color="auto" w:fill="auto"/>
            <w:vAlign w:val="bottom"/>
          </w:tcPr>
          <w:p w14:paraId="6D2FFAA9"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0,5</w:t>
            </w:r>
          </w:p>
        </w:tc>
        <w:tc>
          <w:tcPr>
            <w:tcW w:w="1021" w:type="dxa"/>
            <w:shd w:val="clear" w:color="000000" w:fill="FFFFFF"/>
            <w:vAlign w:val="bottom"/>
          </w:tcPr>
          <w:p w14:paraId="64B01BA1"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lang w:val="en-US"/>
              </w:rPr>
            </w:pPr>
            <w:r w:rsidRPr="008A651D">
              <w:rPr>
                <w:rFonts w:ascii="Times New Roman" w:hAnsi="Times New Roman" w:cs="Times New Roman"/>
                <w:color w:val="000000"/>
                <w:sz w:val="22"/>
                <w:szCs w:val="22"/>
                <w:lang w:val="en-US"/>
              </w:rPr>
              <w:t>–</w:t>
            </w:r>
          </w:p>
        </w:tc>
      </w:tr>
      <w:tr w:rsidR="00D668EE" w:rsidRPr="008A651D" w14:paraId="67987861" w14:textId="77777777" w:rsidTr="00596112">
        <w:trPr>
          <w:trHeight w:val="61"/>
        </w:trPr>
        <w:tc>
          <w:tcPr>
            <w:tcW w:w="4082" w:type="dxa"/>
          </w:tcPr>
          <w:p w14:paraId="2F7BC34A" w14:textId="77777777" w:rsidR="00D668EE" w:rsidRPr="008A651D" w:rsidRDefault="00D668EE" w:rsidP="008A651D">
            <w:pPr>
              <w:spacing w:before="0" w:after="0" w:line="240" w:lineRule="auto"/>
              <w:ind w:leftChars="73" w:left="333" w:hangingChars="85" w:hanging="187"/>
              <w:rPr>
                <w:rFonts w:ascii="Times New Roman" w:hAnsi="Times New Roman" w:cs="Times New Roman"/>
                <w:color w:val="000000"/>
                <w:sz w:val="22"/>
                <w:szCs w:val="22"/>
              </w:rPr>
            </w:pPr>
            <w:r w:rsidRPr="008A651D">
              <w:rPr>
                <w:rFonts w:ascii="Times New Roman" w:hAnsi="Times New Roman" w:cs="Times New Roman"/>
                <w:color w:val="000000"/>
                <w:sz w:val="22"/>
                <w:szCs w:val="22"/>
              </w:rPr>
              <w:t>- средства кредитных организаций</w:t>
            </w:r>
          </w:p>
        </w:tc>
        <w:tc>
          <w:tcPr>
            <w:tcW w:w="1134" w:type="dxa"/>
            <w:shd w:val="clear" w:color="000000" w:fill="FFFFFF"/>
            <w:vAlign w:val="bottom"/>
          </w:tcPr>
          <w:p w14:paraId="39FFA867"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54,4</w:t>
            </w:r>
          </w:p>
        </w:tc>
        <w:tc>
          <w:tcPr>
            <w:tcW w:w="1134" w:type="dxa"/>
            <w:shd w:val="clear" w:color="auto" w:fill="auto"/>
            <w:vAlign w:val="bottom"/>
          </w:tcPr>
          <w:p w14:paraId="1FEC4BF0"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0,8</w:t>
            </w:r>
          </w:p>
        </w:tc>
        <w:tc>
          <w:tcPr>
            <w:tcW w:w="1134" w:type="dxa"/>
            <w:shd w:val="clear" w:color="000000" w:fill="FFFFFF"/>
            <w:vAlign w:val="bottom"/>
          </w:tcPr>
          <w:p w14:paraId="472A0BD5"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0,4</w:t>
            </w:r>
          </w:p>
        </w:tc>
        <w:tc>
          <w:tcPr>
            <w:tcW w:w="1134" w:type="dxa"/>
            <w:shd w:val="clear" w:color="auto" w:fill="auto"/>
            <w:vAlign w:val="bottom"/>
          </w:tcPr>
          <w:p w14:paraId="3314B575"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0,0</w:t>
            </w:r>
          </w:p>
        </w:tc>
        <w:tc>
          <w:tcPr>
            <w:tcW w:w="1021" w:type="dxa"/>
            <w:shd w:val="clear" w:color="000000" w:fill="FFFFFF"/>
            <w:vAlign w:val="bottom"/>
          </w:tcPr>
          <w:p w14:paraId="3C82237E"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0,8</w:t>
            </w:r>
          </w:p>
        </w:tc>
      </w:tr>
      <w:tr w:rsidR="00D668EE" w:rsidRPr="008A651D" w14:paraId="6F535A90" w14:textId="77777777" w:rsidTr="00596112">
        <w:trPr>
          <w:trHeight w:val="61"/>
        </w:trPr>
        <w:tc>
          <w:tcPr>
            <w:tcW w:w="4082" w:type="dxa"/>
          </w:tcPr>
          <w:p w14:paraId="5F4F18BF" w14:textId="77777777" w:rsidR="00D668EE" w:rsidRPr="008A651D" w:rsidRDefault="00D668EE" w:rsidP="008A651D">
            <w:pPr>
              <w:spacing w:before="0" w:after="0" w:line="240" w:lineRule="auto"/>
              <w:ind w:leftChars="73" w:left="333" w:hangingChars="85" w:hanging="187"/>
              <w:rPr>
                <w:rFonts w:ascii="Times New Roman" w:hAnsi="Times New Roman" w:cs="Times New Roman"/>
                <w:color w:val="000000"/>
                <w:sz w:val="22"/>
                <w:szCs w:val="22"/>
              </w:rPr>
            </w:pPr>
            <w:r w:rsidRPr="008A651D">
              <w:rPr>
                <w:rFonts w:ascii="Times New Roman" w:hAnsi="Times New Roman" w:cs="Times New Roman"/>
                <w:color w:val="000000"/>
                <w:sz w:val="22"/>
                <w:szCs w:val="22"/>
              </w:rPr>
              <w:t>- средства юридических лиц</w:t>
            </w:r>
          </w:p>
        </w:tc>
        <w:tc>
          <w:tcPr>
            <w:tcW w:w="1134" w:type="dxa"/>
            <w:shd w:val="clear" w:color="auto" w:fill="auto"/>
            <w:vAlign w:val="bottom"/>
          </w:tcPr>
          <w:p w14:paraId="78754CB9"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3 697,4</w:t>
            </w:r>
          </w:p>
        </w:tc>
        <w:tc>
          <w:tcPr>
            <w:tcW w:w="1134" w:type="dxa"/>
            <w:shd w:val="clear" w:color="auto" w:fill="auto"/>
            <w:vAlign w:val="bottom"/>
          </w:tcPr>
          <w:p w14:paraId="470D4048"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53,2</w:t>
            </w:r>
          </w:p>
        </w:tc>
        <w:tc>
          <w:tcPr>
            <w:tcW w:w="1134" w:type="dxa"/>
            <w:shd w:val="clear" w:color="auto" w:fill="auto"/>
            <w:vAlign w:val="bottom"/>
          </w:tcPr>
          <w:p w14:paraId="6267D35C"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4 345,2</w:t>
            </w:r>
          </w:p>
        </w:tc>
        <w:tc>
          <w:tcPr>
            <w:tcW w:w="1134" w:type="dxa"/>
            <w:shd w:val="clear" w:color="auto" w:fill="auto"/>
            <w:vAlign w:val="bottom"/>
          </w:tcPr>
          <w:p w14:paraId="44245C05"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54,2</w:t>
            </w:r>
          </w:p>
        </w:tc>
        <w:tc>
          <w:tcPr>
            <w:tcW w:w="1021" w:type="dxa"/>
            <w:shd w:val="clear" w:color="000000" w:fill="FFFFFF"/>
            <w:vAlign w:val="bottom"/>
          </w:tcPr>
          <w:p w14:paraId="41EAFF5D"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117,5</w:t>
            </w:r>
          </w:p>
        </w:tc>
      </w:tr>
      <w:tr w:rsidR="00D668EE" w:rsidRPr="008A651D" w14:paraId="4F92C67D" w14:textId="77777777" w:rsidTr="00596112">
        <w:trPr>
          <w:trHeight w:val="61"/>
        </w:trPr>
        <w:tc>
          <w:tcPr>
            <w:tcW w:w="4082" w:type="dxa"/>
          </w:tcPr>
          <w:p w14:paraId="6BC646F6" w14:textId="77777777" w:rsidR="00D668EE" w:rsidRPr="008A651D" w:rsidRDefault="00D668EE" w:rsidP="008A651D">
            <w:pPr>
              <w:spacing w:before="0" w:after="0" w:line="240" w:lineRule="auto"/>
              <w:ind w:leftChars="73" w:left="333" w:hangingChars="85" w:hanging="187"/>
              <w:rPr>
                <w:rFonts w:ascii="Times New Roman" w:hAnsi="Times New Roman" w:cs="Times New Roman"/>
                <w:color w:val="000000"/>
                <w:sz w:val="22"/>
                <w:szCs w:val="22"/>
              </w:rPr>
            </w:pPr>
            <w:r w:rsidRPr="008A651D">
              <w:rPr>
                <w:rFonts w:ascii="Times New Roman" w:hAnsi="Times New Roman" w:cs="Times New Roman"/>
                <w:color w:val="000000"/>
                <w:sz w:val="22"/>
                <w:szCs w:val="22"/>
              </w:rPr>
              <w:t>- средства физических лиц</w:t>
            </w:r>
          </w:p>
        </w:tc>
        <w:tc>
          <w:tcPr>
            <w:tcW w:w="1134" w:type="dxa"/>
            <w:shd w:val="clear" w:color="auto" w:fill="auto"/>
            <w:vAlign w:val="bottom"/>
          </w:tcPr>
          <w:p w14:paraId="309D46ED"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2 547,9</w:t>
            </w:r>
          </w:p>
        </w:tc>
        <w:tc>
          <w:tcPr>
            <w:tcW w:w="1134" w:type="dxa"/>
            <w:shd w:val="clear" w:color="auto" w:fill="auto"/>
            <w:vAlign w:val="bottom"/>
          </w:tcPr>
          <w:p w14:paraId="1CB6B9CE"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36,6</w:t>
            </w:r>
          </w:p>
        </w:tc>
        <w:tc>
          <w:tcPr>
            <w:tcW w:w="1134" w:type="dxa"/>
            <w:shd w:val="clear" w:color="auto" w:fill="auto"/>
            <w:vAlign w:val="bottom"/>
          </w:tcPr>
          <w:p w14:paraId="2902E728"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3 068,3</w:t>
            </w:r>
          </w:p>
        </w:tc>
        <w:tc>
          <w:tcPr>
            <w:tcW w:w="1134" w:type="dxa"/>
            <w:shd w:val="clear" w:color="auto" w:fill="auto"/>
            <w:vAlign w:val="bottom"/>
          </w:tcPr>
          <w:p w14:paraId="6F6AC2C5"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38,3</w:t>
            </w:r>
          </w:p>
        </w:tc>
        <w:tc>
          <w:tcPr>
            <w:tcW w:w="1021" w:type="dxa"/>
            <w:shd w:val="clear" w:color="000000" w:fill="FFFFFF"/>
            <w:vAlign w:val="bottom"/>
          </w:tcPr>
          <w:p w14:paraId="6DBEE637"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120,4</w:t>
            </w:r>
          </w:p>
        </w:tc>
      </w:tr>
      <w:tr w:rsidR="00D668EE" w:rsidRPr="008A651D" w14:paraId="7EEAD842" w14:textId="77777777" w:rsidTr="00596112">
        <w:trPr>
          <w:trHeight w:val="61"/>
        </w:trPr>
        <w:tc>
          <w:tcPr>
            <w:tcW w:w="4082" w:type="dxa"/>
          </w:tcPr>
          <w:p w14:paraId="4CD582A6" w14:textId="77777777" w:rsidR="00D668EE" w:rsidRPr="008A651D" w:rsidRDefault="00D668EE" w:rsidP="008A651D">
            <w:pPr>
              <w:spacing w:before="0" w:after="0" w:line="240" w:lineRule="auto"/>
              <w:ind w:leftChars="72" w:left="283" w:right="-108" w:hangingChars="63" w:hanging="139"/>
              <w:rPr>
                <w:rFonts w:ascii="Times New Roman" w:hAnsi="Times New Roman" w:cs="Times New Roman"/>
                <w:color w:val="000000"/>
                <w:sz w:val="22"/>
                <w:szCs w:val="22"/>
              </w:rPr>
            </w:pPr>
            <w:r w:rsidRPr="008A651D">
              <w:rPr>
                <w:rFonts w:ascii="Times New Roman" w:hAnsi="Times New Roman" w:cs="Times New Roman"/>
                <w:color w:val="000000"/>
                <w:sz w:val="22"/>
                <w:szCs w:val="22"/>
              </w:rPr>
              <w:t>- выпущенные долговые обязательства</w:t>
            </w:r>
          </w:p>
        </w:tc>
        <w:tc>
          <w:tcPr>
            <w:tcW w:w="1134" w:type="dxa"/>
            <w:shd w:val="clear" w:color="auto" w:fill="auto"/>
            <w:vAlign w:val="bottom"/>
          </w:tcPr>
          <w:p w14:paraId="360200F5"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39,6</w:t>
            </w:r>
          </w:p>
        </w:tc>
        <w:tc>
          <w:tcPr>
            <w:tcW w:w="1134" w:type="dxa"/>
            <w:shd w:val="clear" w:color="auto" w:fill="auto"/>
            <w:vAlign w:val="bottom"/>
          </w:tcPr>
          <w:p w14:paraId="05EB8B01"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0,6</w:t>
            </w:r>
          </w:p>
        </w:tc>
        <w:tc>
          <w:tcPr>
            <w:tcW w:w="1134" w:type="dxa"/>
            <w:shd w:val="clear" w:color="auto" w:fill="auto"/>
            <w:vAlign w:val="bottom"/>
          </w:tcPr>
          <w:p w14:paraId="38404A3B"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43,5</w:t>
            </w:r>
          </w:p>
        </w:tc>
        <w:tc>
          <w:tcPr>
            <w:tcW w:w="1134" w:type="dxa"/>
            <w:shd w:val="clear" w:color="auto" w:fill="auto"/>
            <w:vAlign w:val="bottom"/>
          </w:tcPr>
          <w:p w14:paraId="156C7B00"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0,5</w:t>
            </w:r>
          </w:p>
        </w:tc>
        <w:tc>
          <w:tcPr>
            <w:tcW w:w="1021" w:type="dxa"/>
            <w:shd w:val="clear" w:color="000000" w:fill="FFFFFF"/>
            <w:vAlign w:val="bottom"/>
          </w:tcPr>
          <w:p w14:paraId="7DB76000" w14:textId="77777777" w:rsidR="00D668EE" w:rsidRPr="008A651D" w:rsidRDefault="00D668EE" w:rsidP="008A651D">
            <w:pPr>
              <w:spacing w:before="0" w:after="0" w:line="240" w:lineRule="auto"/>
              <w:ind w:right="94"/>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109,9</w:t>
            </w:r>
          </w:p>
        </w:tc>
      </w:tr>
    </w:tbl>
    <w:p w14:paraId="4D8E9891" w14:textId="77777777" w:rsidR="00105F0B" w:rsidRPr="00E824CF" w:rsidRDefault="00105F0B" w:rsidP="00105F0B">
      <w:pPr>
        <w:widowControl w:val="0"/>
        <w:spacing w:before="120" w:after="0" w:line="240" w:lineRule="auto"/>
        <w:ind w:firstLine="425"/>
        <w:jc w:val="both"/>
        <w:rPr>
          <w:rFonts w:ascii="Times New Roman" w:hAnsi="Times New Roman" w:cs="Times New Roman"/>
          <w:color w:val="000000"/>
          <w:sz w:val="24"/>
          <w:szCs w:val="24"/>
        </w:rPr>
      </w:pPr>
      <w:r w:rsidRPr="00E824CF">
        <w:rPr>
          <w:rFonts w:ascii="Times New Roman" w:hAnsi="Times New Roman" w:cs="Times New Roman"/>
          <w:color w:val="000000"/>
          <w:sz w:val="24"/>
          <w:szCs w:val="24"/>
        </w:rPr>
        <w:t xml:space="preserve">В общем объёме ресурсной базы банков на средства клиентов пришлось 92,5% </w:t>
      </w:r>
      <w:r w:rsidRPr="00E824CF">
        <w:rPr>
          <w:rFonts w:ascii="Times New Roman" w:hAnsi="Times New Roman" w:cs="Times New Roman"/>
          <w:color w:val="000000"/>
          <w:sz w:val="24"/>
          <w:szCs w:val="24"/>
        </w:rPr>
        <w:br/>
      </w:r>
      <w:r w:rsidRPr="00E824CF">
        <w:rPr>
          <w:rFonts w:ascii="Times New Roman" w:hAnsi="Times New Roman" w:cs="Times New Roman"/>
          <w:color w:val="000000"/>
          <w:sz w:val="24"/>
          <w:szCs w:val="24"/>
        </w:rPr>
        <w:lastRenderedPageBreak/>
        <w:t>(+2,7 п.п.). Остатки на их счетах за 2019 год увеличились на 18,7%, или на 1 168,2 млн руб., до 7 413,5 млн руб. Из них на валютные средства пришлось 72,4%.</w:t>
      </w:r>
    </w:p>
    <w:p w14:paraId="056C013E" w14:textId="77777777" w:rsidR="00D668EE" w:rsidRPr="008A651D" w:rsidRDefault="00D668EE" w:rsidP="00105F0B">
      <w:pPr>
        <w:widowControl w:val="0"/>
        <w:spacing w:before="0" w:after="0" w:line="240" w:lineRule="auto"/>
        <w:ind w:firstLine="425"/>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Доля ресурсов корпоративного сектора в банковских обязательствах возросла на 1,0 п.п., до 54,</w:t>
      </w:r>
      <w:r w:rsidR="00D238CC">
        <w:rPr>
          <w:rFonts w:ascii="Times New Roman" w:hAnsi="Times New Roman" w:cs="Times New Roman"/>
          <w:color w:val="000000"/>
          <w:sz w:val="24"/>
          <w:szCs w:val="24"/>
        </w:rPr>
        <w:t>2</w:t>
      </w:r>
      <w:r w:rsidRPr="008A651D">
        <w:rPr>
          <w:rFonts w:ascii="Times New Roman" w:hAnsi="Times New Roman" w:cs="Times New Roman"/>
          <w:color w:val="000000"/>
          <w:sz w:val="24"/>
          <w:szCs w:val="24"/>
        </w:rPr>
        <w:t>%. В абсолютном выражении остатки на текущих счетах и срочных депозитах юридических лиц за 2019 год расширились на 17,5%, или на 647,8 млн руб.</w:t>
      </w:r>
      <w:r w:rsidR="00A576F4">
        <w:rPr>
          <w:rFonts w:ascii="Times New Roman" w:hAnsi="Times New Roman" w:cs="Times New Roman"/>
          <w:color w:val="000000"/>
          <w:sz w:val="24"/>
          <w:szCs w:val="24"/>
        </w:rPr>
        <w:t>,</w:t>
      </w:r>
      <w:r w:rsidRPr="008A651D">
        <w:rPr>
          <w:rFonts w:ascii="Times New Roman" w:hAnsi="Times New Roman" w:cs="Times New Roman"/>
          <w:color w:val="000000"/>
          <w:sz w:val="24"/>
          <w:szCs w:val="24"/>
        </w:rPr>
        <w:t xml:space="preserve"> составив </w:t>
      </w:r>
      <w:r w:rsidRPr="008A651D">
        <w:rPr>
          <w:rFonts w:ascii="Times New Roman" w:hAnsi="Times New Roman" w:cs="Times New Roman"/>
          <w:color w:val="000000"/>
          <w:sz w:val="24"/>
          <w:szCs w:val="24"/>
        </w:rPr>
        <w:br/>
        <w:t xml:space="preserve">4 345,2 млн руб. </w:t>
      </w:r>
    </w:p>
    <w:p w14:paraId="1B7850E3" w14:textId="77777777" w:rsidR="00D668EE" w:rsidRPr="00212162" w:rsidRDefault="00D668EE" w:rsidP="00E824CF">
      <w:pPr>
        <w:widowControl w:val="0"/>
        <w:spacing w:before="0" w:after="0" w:line="240" w:lineRule="auto"/>
        <w:ind w:firstLine="425"/>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 xml:space="preserve">Более активная динамика наблюдалась в части привлечений </w:t>
      </w:r>
      <w:r w:rsidR="00A576F4">
        <w:rPr>
          <w:rFonts w:ascii="Times New Roman" w:hAnsi="Times New Roman" w:cs="Times New Roman"/>
          <w:color w:val="000000"/>
          <w:sz w:val="24"/>
          <w:szCs w:val="24"/>
        </w:rPr>
        <w:t>средств</w:t>
      </w:r>
      <w:r w:rsidRPr="008A651D">
        <w:rPr>
          <w:rFonts w:ascii="Times New Roman" w:hAnsi="Times New Roman" w:cs="Times New Roman"/>
          <w:color w:val="000000"/>
          <w:sz w:val="24"/>
          <w:szCs w:val="24"/>
        </w:rPr>
        <w:t xml:space="preserve"> физических лиц – +20,4%. Счета граждан пополнились на 520,4 млн руб., до 3 068,3 млн руб., сформировав 38,3% совокупных обязательств (+1,7 п.п</w:t>
      </w:r>
      <w:r w:rsidRPr="00212162">
        <w:rPr>
          <w:rFonts w:ascii="Times New Roman" w:hAnsi="Times New Roman" w:cs="Times New Roman"/>
          <w:color w:val="000000"/>
          <w:sz w:val="24"/>
          <w:szCs w:val="24"/>
        </w:rPr>
        <w:t>.).</w:t>
      </w:r>
      <w:r w:rsidR="00A576F4" w:rsidRPr="00212162">
        <w:rPr>
          <w:rFonts w:ascii="Times New Roman" w:hAnsi="Times New Roman" w:cs="Times New Roman"/>
          <w:color w:val="000000"/>
          <w:sz w:val="24"/>
          <w:szCs w:val="24"/>
        </w:rPr>
        <w:t xml:space="preserve"> Наибольшая их часть номинирована в иностранной валюте – </w:t>
      </w:r>
      <w:r w:rsidR="00212162" w:rsidRPr="00212162">
        <w:rPr>
          <w:rFonts w:ascii="Times New Roman" w:hAnsi="Times New Roman" w:cs="Times New Roman"/>
          <w:color w:val="000000"/>
          <w:sz w:val="24"/>
          <w:szCs w:val="24"/>
        </w:rPr>
        <w:t>84,0</w:t>
      </w:r>
      <w:r w:rsidR="00A576F4" w:rsidRPr="00212162">
        <w:rPr>
          <w:rFonts w:ascii="Times New Roman" w:hAnsi="Times New Roman" w:cs="Times New Roman"/>
          <w:color w:val="000000"/>
          <w:sz w:val="24"/>
          <w:szCs w:val="24"/>
        </w:rPr>
        <w:t>%.</w:t>
      </w:r>
    </w:p>
    <w:p w14:paraId="71C3D221" w14:textId="77777777" w:rsidR="00212162" w:rsidRPr="00E824CF" w:rsidRDefault="00D668EE" w:rsidP="00E824CF">
      <w:pPr>
        <w:widowControl w:val="0"/>
        <w:spacing w:before="0" w:after="0" w:line="240" w:lineRule="auto"/>
        <w:ind w:firstLine="425"/>
        <w:jc w:val="both"/>
        <w:rPr>
          <w:rFonts w:ascii="Times New Roman" w:hAnsi="Times New Roman" w:cs="Times New Roman"/>
          <w:color w:val="000000"/>
          <w:sz w:val="24"/>
          <w:szCs w:val="24"/>
        </w:rPr>
      </w:pPr>
      <w:r w:rsidRPr="00E824CF">
        <w:rPr>
          <w:rFonts w:ascii="Times New Roman" w:hAnsi="Times New Roman" w:cs="Times New Roman"/>
          <w:color w:val="000000"/>
          <w:sz w:val="24"/>
          <w:szCs w:val="24"/>
        </w:rPr>
        <w:t>В то же время сумма межбанковских привлечений и заимствований</w:t>
      </w:r>
      <w:r w:rsidRPr="008A651D">
        <w:rPr>
          <w:rFonts w:ascii="Times New Roman" w:hAnsi="Times New Roman" w:cs="Times New Roman"/>
          <w:color w:val="000000"/>
          <w:sz w:val="24"/>
          <w:szCs w:val="24"/>
        </w:rPr>
        <w:t xml:space="preserve"> </w:t>
      </w:r>
      <w:r w:rsidRPr="00E824CF">
        <w:rPr>
          <w:rFonts w:ascii="Times New Roman" w:hAnsi="Times New Roman" w:cs="Times New Roman"/>
          <w:color w:val="000000"/>
          <w:sz w:val="24"/>
          <w:szCs w:val="24"/>
        </w:rPr>
        <w:t xml:space="preserve">сократилась на </w:t>
      </w:r>
      <w:r w:rsidRPr="00E824CF">
        <w:rPr>
          <w:rFonts w:ascii="Times New Roman" w:hAnsi="Times New Roman" w:cs="Times New Roman"/>
          <w:color w:val="000000"/>
          <w:sz w:val="24"/>
          <w:szCs w:val="24"/>
        </w:rPr>
        <w:br/>
        <w:t xml:space="preserve">14,0 млн руб. (-25,7%), до 40,4 млн руб., сформировав 0,5% ресурсов банковской системы </w:t>
      </w:r>
      <w:r w:rsidRPr="00E824CF">
        <w:rPr>
          <w:rFonts w:ascii="Times New Roman" w:hAnsi="Times New Roman" w:cs="Times New Roman"/>
          <w:color w:val="000000"/>
          <w:sz w:val="24"/>
          <w:szCs w:val="24"/>
        </w:rPr>
        <w:br/>
        <w:t xml:space="preserve">(-0,3 п.п.). </w:t>
      </w:r>
    </w:p>
    <w:p w14:paraId="006128A3" w14:textId="77777777" w:rsidR="009C1950" w:rsidRPr="00E824CF" w:rsidRDefault="00615EB0" w:rsidP="00E824CF">
      <w:pPr>
        <w:widowControl w:val="0"/>
        <w:spacing w:before="0" w:after="0" w:line="240" w:lineRule="auto"/>
        <w:ind w:firstLine="425"/>
        <w:jc w:val="both"/>
        <w:rPr>
          <w:rFonts w:ascii="Times New Roman" w:hAnsi="Times New Roman" w:cs="Times New Roman"/>
          <w:color w:val="000000"/>
          <w:sz w:val="24"/>
          <w:szCs w:val="24"/>
        </w:rPr>
      </w:pPr>
      <w:r w:rsidRPr="00E824CF">
        <w:rPr>
          <w:rFonts w:ascii="Times New Roman" w:hAnsi="Times New Roman" w:cs="Times New Roman"/>
          <w:color w:val="000000"/>
          <w:sz w:val="24"/>
          <w:szCs w:val="24"/>
        </w:rPr>
        <w:t xml:space="preserve">В структуре суммарных активов-нетто коммерческих банков </w:t>
      </w:r>
      <w:r w:rsidR="009C1950" w:rsidRPr="00E824CF">
        <w:rPr>
          <w:rFonts w:ascii="Times New Roman" w:hAnsi="Times New Roman" w:cs="Times New Roman"/>
          <w:color w:val="000000"/>
          <w:sz w:val="24"/>
          <w:szCs w:val="24"/>
        </w:rPr>
        <w:t>вследствие более высоких темпов рост</w:t>
      </w:r>
      <w:r w:rsidR="00E824CF">
        <w:rPr>
          <w:rFonts w:ascii="Times New Roman" w:hAnsi="Times New Roman" w:cs="Times New Roman"/>
          <w:color w:val="000000"/>
          <w:sz w:val="24"/>
          <w:szCs w:val="24"/>
        </w:rPr>
        <w:t>а</w:t>
      </w:r>
      <w:r w:rsidR="009C1950" w:rsidRPr="00E824CF">
        <w:rPr>
          <w:rFonts w:ascii="Times New Roman" w:hAnsi="Times New Roman" w:cs="Times New Roman"/>
          <w:color w:val="000000"/>
          <w:sz w:val="24"/>
          <w:szCs w:val="24"/>
        </w:rPr>
        <w:t xml:space="preserve"> рублёвой части баланса </w:t>
      </w:r>
      <w:r w:rsidR="001C6E7E" w:rsidRPr="00E824CF">
        <w:rPr>
          <w:rFonts w:ascii="Times New Roman" w:hAnsi="Times New Roman" w:cs="Times New Roman"/>
          <w:color w:val="000000"/>
          <w:sz w:val="24"/>
          <w:szCs w:val="24"/>
        </w:rPr>
        <w:t>(+</w:t>
      </w:r>
      <w:r w:rsidR="009C1950" w:rsidRPr="00E824CF">
        <w:rPr>
          <w:rFonts w:ascii="Times New Roman" w:hAnsi="Times New Roman" w:cs="Times New Roman"/>
          <w:color w:val="000000"/>
          <w:sz w:val="24"/>
          <w:szCs w:val="24"/>
        </w:rPr>
        <w:t>17,8%</w:t>
      </w:r>
      <w:r w:rsidR="001C6E7E" w:rsidRPr="00E824CF">
        <w:rPr>
          <w:rFonts w:ascii="Times New Roman" w:hAnsi="Times New Roman" w:cs="Times New Roman"/>
          <w:color w:val="000000"/>
          <w:sz w:val="24"/>
          <w:szCs w:val="24"/>
        </w:rPr>
        <w:t>,</w:t>
      </w:r>
      <w:r w:rsidR="009C1950" w:rsidRPr="00E824CF">
        <w:rPr>
          <w:rFonts w:ascii="Times New Roman" w:hAnsi="Times New Roman" w:cs="Times New Roman"/>
          <w:color w:val="000000"/>
          <w:sz w:val="24"/>
          <w:szCs w:val="24"/>
        </w:rPr>
        <w:t xml:space="preserve"> до 3 386,8 млн руб.</w:t>
      </w:r>
      <w:r w:rsidR="001C6E7E" w:rsidRPr="00E824CF">
        <w:rPr>
          <w:rFonts w:ascii="Times New Roman" w:hAnsi="Times New Roman" w:cs="Times New Roman"/>
          <w:color w:val="000000"/>
          <w:sz w:val="24"/>
          <w:szCs w:val="24"/>
        </w:rPr>
        <w:t>)</w:t>
      </w:r>
      <w:r w:rsidR="009C1950" w:rsidRPr="00E824CF">
        <w:rPr>
          <w:rFonts w:ascii="Times New Roman" w:hAnsi="Times New Roman" w:cs="Times New Roman"/>
          <w:color w:val="000000"/>
          <w:sz w:val="24"/>
          <w:szCs w:val="24"/>
        </w:rPr>
        <w:t xml:space="preserve"> по сравнению со скоростью расширения валютной компоненты</w:t>
      </w:r>
      <w:r w:rsidR="001C6E7E" w:rsidRPr="00E824CF">
        <w:rPr>
          <w:rFonts w:ascii="Times New Roman" w:hAnsi="Times New Roman" w:cs="Times New Roman"/>
          <w:color w:val="000000"/>
          <w:sz w:val="24"/>
          <w:szCs w:val="24"/>
        </w:rPr>
        <w:t xml:space="preserve"> (+12,5%, до 6 353,2 млн руб.), степень валютизации банковских активов сократилась за год на 1,1 п.п., составив 65,2%.</w:t>
      </w:r>
    </w:p>
    <w:p w14:paraId="2A60B761" w14:textId="77777777" w:rsidR="00D668EE" w:rsidRDefault="00D668EE" w:rsidP="00E824CF">
      <w:pPr>
        <w:widowControl w:val="0"/>
        <w:spacing w:before="0" w:after="0" w:line="240" w:lineRule="auto"/>
        <w:ind w:firstLine="425"/>
        <w:jc w:val="both"/>
        <w:rPr>
          <w:rFonts w:ascii="Times New Roman" w:hAnsi="Times New Roman" w:cs="Times New Roman"/>
          <w:sz w:val="24"/>
          <w:szCs w:val="24"/>
        </w:rPr>
      </w:pPr>
      <w:r w:rsidRPr="00E824CF">
        <w:rPr>
          <w:rFonts w:ascii="Times New Roman" w:hAnsi="Times New Roman" w:cs="Times New Roman"/>
          <w:color w:val="000000"/>
          <w:sz w:val="24"/>
          <w:szCs w:val="24"/>
        </w:rPr>
        <w:t xml:space="preserve">По итогам 2019 года сумма задолженности по кредитам и приравненным к ним средствам превысила значение на начало года на 1 302,4 млн руб. (+28,4%), сложившись на </w:t>
      </w:r>
      <w:r w:rsidRPr="00E824CF">
        <w:rPr>
          <w:rFonts w:ascii="Times New Roman" w:hAnsi="Times New Roman" w:cs="Times New Roman"/>
          <w:color w:val="000000"/>
          <w:sz w:val="24"/>
          <w:szCs w:val="24"/>
        </w:rPr>
        <w:br/>
        <w:t>1 января 2020 года на отметке 5 893,7 млн руб. (табл. 1.9). Из них 67,2% были направлены на кредитование хозяйствующих субъектов и населения (79,5% годом ранее). В абсолютном выражении на 1 января 2020 года сумма задолженности по кредитам реального сектора и</w:t>
      </w:r>
      <w:r w:rsidRPr="008A651D">
        <w:rPr>
          <w:rFonts w:ascii="Times New Roman" w:hAnsi="Times New Roman" w:cs="Times New Roman"/>
          <w:sz w:val="24"/>
          <w:szCs w:val="24"/>
        </w:rPr>
        <w:t xml:space="preserve"> домашних хозяйств составила 3 962,5 млн руб., превысив значение на начало отчётного года на 8,5%. Данная динамика определялась расширением кредитования физических лиц, наблюдаемым в течение практически всего рассматриваемого периода. По отношению к началу 2019 года их задолженность увеличилась на 20,6%, или на 190,9 млн руб., до </w:t>
      </w:r>
      <w:r w:rsidRPr="008A651D">
        <w:rPr>
          <w:rFonts w:ascii="Times New Roman" w:hAnsi="Times New Roman" w:cs="Times New Roman"/>
          <w:sz w:val="24"/>
          <w:szCs w:val="24"/>
        </w:rPr>
        <w:br/>
        <w:t xml:space="preserve">1 116,9 млн руб. </w:t>
      </w:r>
      <w:r w:rsidR="00050F2F">
        <w:rPr>
          <w:rFonts w:ascii="Times New Roman" w:hAnsi="Times New Roman" w:cs="Times New Roman"/>
          <w:sz w:val="24"/>
          <w:szCs w:val="24"/>
        </w:rPr>
        <w:t>Наибольший спрос</w:t>
      </w:r>
      <w:r w:rsidRPr="008A651D">
        <w:rPr>
          <w:rFonts w:ascii="Times New Roman" w:hAnsi="Times New Roman" w:cs="Times New Roman"/>
          <w:sz w:val="24"/>
          <w:szCs w:val="24"/>
        </w:rPr>
        <w:t xml:space="preserve"> в отчётном году </w:t>
      </w:r>
      <w:r w:rsidR="00050F2F">
        <w:rPr>
          <w:rFonts w:ascii="Times New Roman" w:hAnsi="Times New Roman" w:cs="Times New Roman"/>
          <w:sz w:val="24"/>
          <w:szCs w:val="24"/>
        </w:rPr>
        <w:t>отмечался на</w:t>
      </w:r>
      <w:r w:rsidRPr="008A651D">
        <w:rPr>
          <w:rFonts w:ascii="Times New Roman" w:hAnsi="Times New Roman" w:cs="Times New Roman"/>
          <w:sz w:val="24"/>
          <w:szCs w:val="24"/>
        </w:rPr>
        <w:t xml:space="preserve"> рублёвы</w:t>
      </w:r>
      <w:r w:rsidR="00050F2F">
        <w:rPr>
          <w:rFonts w:ascii="Times New Roman" w:hAnsi="Times New Roman" w:cs="Times New Roman"/>
          <w:sz w:val="24"/>
          <w:szCs w:val="24"/>
        </w:rPr>
        <w:t>е</w:t>
      </w:r>
      <w:r w:rsidRPr="008A651D">
        <w:rPr>
          <w:rFonts w:ascii="Times New Roman" w:hAnsi="Times New Roman" w:cs="Times New Roman"/>
          <w:sz w:val="24"/>
          <w:szCs w:val="24"/>
        </w:rPr>
        <w:t xml:space="preserve"> заимствования</w:t>
      </w:r>
      <w:r w:rsidR="00050F2F">
        <w:rPr>
          <w:rFonts w:ascii="Times New Roman" w:hAnsi="Times New Roman" w:cs="Times New Roman"/>
          <w:sz w:val="24"/>
          <w:szCs w:val="24"/>
        </w:rPr>
        <w:t xml:space="preserve">, задолженность по которым возросла на </w:t>
      </w:r>
      <w:r w:rsidRPr="008A651D">
        <w:rPr>
          <w:rFonts w:ascii="Times New Roman" w:hAnsi="Times New Roman" w:cs="Times New Roman"/>
          <w:sz w:val="24"/>
          <w:szCs w:val="24"/>
        </w:rPr>
        <w:t xml:space="preserve">29,9%, или </w:t>
      </w:r>
      <w:r w:rsidR="00050F2F">
        <w:rPr>
          <w:rFonts w:ascii="Times New Roman" w:hAnsi="Times New Roman" w:cs="Times New Roman"/>
          <w:sz w:val="24"/>
          <w:szCs w:val="24"/>
        </w:rPr>
        <w:t xml:space="preserve">на </w:t>
      </w:r>
      <w:r w:rsidRPr="008A651D">
        <w:rPr>
          <w:rFonts w:ascii="Times New Roman" w:hAnsi="Times New Roman" w:cs="Times New Roman"/>
          <w:sz w:val="24"/>
          <w:szCs w:val="24"/>
        </w:rPr>
        <w:t xml:space="preserve">200,3 млн руб., </w:t>
      </w:r>
      <w:r w:rsidR="00050F2F">
        <w:rPr>
          <w:rFonts w:ascii="Times New Roman" w:hAnsi="Times New Roman" w:cs="Times New Roman"/>
          <w:sz w:val="24"/>
          <w:szCs w:val="24"/>
        </w:rPr>
        <w:t>составив</w:t>
      </w:r>
      <w:r w:rsidRPr="008A651D">
        <w:rPr>
          <w:rFonts w:ascii="Times New Roman" w:hAnsi="Times New Roman" w:cs="Times New Roman"/>
          <w:sz w:val="24"/>
          <w:szCs w:val="24"/>
        </w:rPr>
        <w:t xml:space="preserve"> 869,9 млн руб. </w:t>
      </w:r>
      <w:r w:rsidR="00050F2F" w:rsidRPr="008A651D">
        <w:rPr>
          <w:rFonts w:ascii="Times New Roman" w:hAnsi="Times New Roman" w:cs="Times New Roman"/>
          <w:sz w:val="24"/>
          <w:szCs w:val="24"/>
        </w:rPr>
        <w:t xml:space="preserve">Задолженность </w:t>
      </w:r>
      <w:r w:rsidRPr="008A651D">
        <w:rPr>
          <w:rFonts w:ascii="Times New Roman" w:hAnsi="Times New Roman" w:cs="Times New Roman"/>
          <w:sz w:val="24"/>
          <w:szCs w:val="24"/>
        </w:rPr>
        <w:t xml:space="preserve">по валютным кредитам сократилась на 3,7%, или на 9,4 млн руб., до </w:t>
      </w:r>
      <w:r w:rsidR="00693D34">
        <w:rPr>
          <w:rFonts w:ascii="Times New Roman" w:hAnsi="Times New Roman" w:cs="Times New Roman"/>
          <w:sz w:val="24"/>
          <w:szCs w:val="24"/>
        </w:rPr>
        <w:br/>
      </w:r>
      <w:r w:rsidRPr="008A651D">
        <w:rPr>
          <w:rFonts w:ascii="Times New Roman" w:hAnsi="Times New Roman" w:cs="Times New Roman"/>
          <w:sz w:val="24"/>
          <w:szCs w:val="24"/>
        </w:rPr>
        <w:t xml:space="preserve">247,0 млн руб., в результате чего степень валютизации потребительских ссуд снизилась на </w:t>
      </w:r>
      <w:r w:rsidR="00693D34">
        <w:rPr>
          <w:rFonts w:ascii="Times New Roman" w:hAnsi="Times New Roman" w:cs="Times New Roman"/>
          <w:sz w:val="24"/>
          <w:szCs w:val="24"/>
        </w:rPr>
        <w:br/>
      </w:r>
      <w:r w:rsidRPr="008A651D">
        <w:rPr>
          <w:rFonts w:ascii="Times New Roman" w:hAnsi="Times New Roman" w:cs="Times New Roman"/>
          <w:sz w:val="24"/>
          <w:szCs w:val="24"/>
        </w:rPr>
        <w:t>5,6 п.п., до 22,1%.</w:t>
      </w:r>
    </w:p>
    <w:p w14:paraId="0C531DF9" w14:textId="77777777" w:rsidR="00D668EE" w:rsidRPr="008A651D" w:rsidRDefault="00D668EE" w:rsidP="0083024B">
      <w:pPr>
        <w:widowControl w:val="0"/>
        <w:spacing w:before="120" w:after="120" w:line="240" w:lineRule="auto"/>
        <w:ind w:firstLine="425"/>
        <w:jc w:val="right"/>
        <w:rPr>
          <w:rFonts w:ascii="Times New Roman" w:hAnsi="Times New Roman" w:cs="Times New Roman"/>
          <w:b/>
          <w:bCs/>
          <w:i/>
          <w:iCs/>
          <w:color w:val="000000"/>
          <w:sz w:val="24"/>
          <w:szCs w:val="24"/>
        </w:rPr>
      </w:pPr>
      <w:r w:rsidRPr="008A651D">
        <w:rPr>
          <w:rFonts w:ascii="Times New Roman" w:hAnsi="Times New Roman" w:cs="Times New Roman"/>
          <w:b/>
          <w:bCs/>
          <w:i/>
          <w:iCs/>
          <w:color w:val="000000"/>
          <w:sz w:val="24"/>
          <w:szCs w:val="24"/>
        </w:rPr>
        <w:t>Таблица 1.9</w:t>
      </w:r>
    </w:p>
    <w:p w14:paraId="6BB18D88" w14:textId="77777777" w:rsidR="00D668EE" w:rsidRPr="00050F2F" w:rsidRDefault="00D668EE" w:rsidP="0083024B">
      <w:pPr>
        <w:spacing w:before="0" w:after="120"/>
        <w:jc w:val="center"/>
        <w:rPr>
          <w:rFonts w:ascii="Times New Roman" w:hAnsi="Times New Roman" w:cs="Times New Roman"/>
          <w:b/>
          <w:i/>
          <w:sz w:val="24"/>
          <w:szCs w:val="24"/>
        </w:rPr>
      </w:pPr>
      <w:r w:rsidRPr="00050F2F">
        <w:rPr>
          <w:rFonts w:ascii="Times New Roman" w:hAnsi="Times New Roman" w:cs="Times New Roman"/>
          <w:b/>
          <w:i/>
          <w:sz w:val="24"/>
          <w:szCs w:val="24"/>
        </w:rPr>
        <w:t>Структура и динамика активов коммерческих банков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97"/>
        <w:gridCol w:w="1198"/>
        <w:gridCol w:w="1197"/>
        <w:gridCol w:w="1198"/>
        <w:gridCol w:w="1021"/>
      </w:tblGrid>
      <w:tr w:rsidR="00D668EE" w:rsidRPr="008A651D" w14:paraId="04BEAB90" w14:textId="77777777" w:rsidTr="00D668EE">
        <w:trPr>
          <w:cantSplit/>
          <w:trHeight w:val="72"/>
        </w:trPr>
        <w:tc>
          <w:tcPr>
            <w:tcW w:w="3828" w:type="dxa"/>
            <w:vMerge w:val="restart"/>
            <w:tcBorders>
              <w:top w:val="single" w:sz="4" w:space="0" w:color="auto"/>
              <w:left w:val="single" w:sz="4" w:space="0" w:color="auto"/>
              <w:bottom w:val="nil"/>
              <w:right w:val="single" w:sz="4" w:space="0" w:color="auto"/>
            </w:tcBorders>
            <w:shd w:val="clear" w:color="auto" w:fill="CCCCCC"/>
            <w:vAlign w:val="center"/>
          </w:tcPr>
          <w:p w14:paraId="158F7D77" w14:textId="77777777" w:rsidR="00D668EE" w:rsidRPr="008A651D" w:rsidRDefault="00D668EE" w:rsidP="00050F2F"/>
        </w:tc>
        <w:tc>
          <w:tcPr>
            <w:tcW w:w="23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CCCF6CD"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на 01.01.2019</w:t>
            </w:r>
          </w:p>
        </w:tc>
        <w:tc>
          <w:tcPr>
            <w:tcW w:w="23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E24F5A2" w14:textId="77777777" w:rsidR="00D668EE" w:rsidRPr="008A651D" w:rsidRDefault="00D668EE" w:rsidP="008A651D">
            <w:pPr>
              <w:widowControl w:val="0"/>
              <w:spacing w:before="0" w:after="0" w:line="240" w:lineRule="auto"/>
              <w:ind w:left="-94" w:right="-101"/>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на 01.01.2020</w:t>
            </w:r>
          </w:p>
        </w:tc>
        <w:tc>
          <w:tcPr>
            <w:tcW w:w="1021" w:type="dxa"/>
            <w:vMerge w:val="restart"/>
            <w:tcBorders>
              <w:top w:val="single" w:sz="4" w:space="0" w:color="auto"/>
              <w:left w:val="single" w:sz="4" w:space="0" w:color="auto"/>
              <w:bottom w:val="nil"/>
              <w:right w:val="single" w:sz="4" w:space="0" w:color="auto"/>
            </w:tcBorders>
            <w:shd w:val="clear" w:color="auto" w:fill="CCCCCC"/>
            <w:vAlign w:val="center"/>
          </w:tcPr>
          <w:p w14:paraId="0AF0158E" w14:textId="77777777" w:rsidR="00D668EE" w:rsidRPr="008A651D" w:rsidRDefault="00D668EE" w:rsidP="008A651D">
            <w:pPr>
              <w:widowControl w:val="0"/>
              <w:spacing w:before="0" w:after="0" w:line="240" w:lineRule="auto"/>
              <w:ind w:left="-108" w:right="-10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темп </w:t>
            </w:r>
          </w:p>
          <w:p w14:paraId="3777A9ED" w14:textId="77777777" w:rsidR="00D668EE" w:rsidRPr="008A651D" w:rsidRDefault="00D668EE" w:rsidP="008A651D">
            <w:pPr>
              <w:widowControl w:val="0"/>
              <w:spacing w:before="0" w:after="0" w:line="240" w:lineRule="auto"/>
              <w:ind w:left="-108" w:right="-10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роста, %</w:t>
            </w:r>
          </w:p>
        </w:tc>
      </w:tr>
      <w:tr w:rsidR="00D668EE" w:rsidRPr="008A651D" w14:paraId="44195AB7" w14:textId="77777777" w:rsidTr="00D668EE">
        <w:trPr>
          <w:cantSplit/>
          <w:trHeight w:val="386"/>
        </w:trPr>
        <w:tc>
          <w:tcPr>
            <w:tcW w:w="3828" w:type="dxa"/>
            <w:vMerge/>
            <w:tcBorders>
              <w:top w:val="single" w:sz="4" w:space="0" w:color="auto"/>
              <w:left w:val="single" w:sz="4" w:space="0" w:color="auto"/>
              <w:bottom w:val="double" w:sz="4" w:space="0" w:color="auto"/>
              <w:right w:val="single" w:sz="4" w:space="0" w:color="auto"/>
            </w:tcBorders>
            <w:shd w:val="clear" w:color="auto" w:fill="CCCCCC"/>
            <w:vAlign w:val="center"/>
          </w:tcPr>
          <w:p w14:paraId="21C86B36" w14:textId="77777777" w:rsidR="00D668EE" w:rsidRPr="008A651D" w:rsidRDefault="00D668EE" w:rsidP="008A651D">
            <w:pPr>
              <w:pStyle w:val="2"/>
              <w:widowControl w:val="0"/>
              <w:spacing w:before="0" w:line="240" w:lineRule="auto"/>
              <w:ind w:left="34"/>
              <w:rPr>
                <w:rFonts w:ascii="Times New Roman" w:hAnsi="Times New Roman" w:cs="Times New Roman"/>
                <w:i/>
                <w:iCs/>
                <w:color w:val="000000"/>
                <w:sz w:val="22"/>
                <w:szCs w:val="22"/>
              </w:rPr>
            </w:pPr>
          </w:p>
        </w:tc>
        <w:tc>
          <w:tcPr>
            <w:tcW w:w="1197" w:type="dxa"/>
            <w:tcBorders>
              <w:top w:val="single" w:sz="4" w:space="0" w:color="auto"/>
              <w:left w:val="single" w:sz="4" w:space="0" w:color="auto"/>
              <w:bottom w:val="double" w:sz="4" w:space="0" w:color="auto"/>
              <w:right w:val="single" w:sz="4" w:space="0" w:color="auto"/>
            </w:tcBorders>
            <w:shd w:val="clear" w:color="auto" w:fill="CCCCCC"/>
            <w:vAlign w:val="center"/>
          </w:tcPr>
          <w:p w14:paraId="20C5BD6D" w14:textId="77777777" w:rsidR="00D668EE" w:rsidRPr="008A651D" w:rsidRDefault="00D668EE" w:rsidP="008A651D">
            <w:pPr>
              <w:widowControl w:val="0"/>
              <w:spacing w:before="0" w:after="0" w:line="240" w:lineRule="auto"/>
              <w:ind w:left="-129" w:right="-13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198" w:type="dxa"/>
            <w:tcBorders>
              <w:top w:val="single" w:sz="4" w:space="0" w:color="auto"/>
              <w:left w:val="single" w:sz="4" w:space="0" w:color="auto"/>
              <w:bottom w:val="double" w:sz="4" w:space="0" w:color="auto"/>
              <w:right w:val="single" w:sz="4" w:space="0" w:color="auto"/>
            </w:tcBorders>
            <w:shd w:val="clear" w:color="auto" w:fill="CCCCCC"/>
            <w:vAlign w:val="center"/>
          </w:tcPr>
          <w:p w14:paraId="5D00CB06" w14:textId="77777777" w:rsidR="00D668EE" w:rsidRPr="008A651D" w:rsidRDefault="00D668EE" w:rsidP="008A651D">
            <w:pPr>
              <w:widowControl w:val="0"/>
              <w:spacing w:before="0" w:after="0" w:line="240" w:lineRule="auto"/>
              <w:ind w:left="-129" w:right="-13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уд. вес, </w:t>
            </w:r>
          </w:p>
          <w:p w14:paraId="02798983" w14:textId="77777777" w:rsidR="00D668EE" w:rsidRPr="008A651D" w:rsidRDefault="00D668EE" w:rsidP="008A651D">
            <w:pPr>
              <w:widowControl w:val="0"/>
              <w:spacing w:before="0" w:after="0" w:line="240" w:lineRule="auto"/>
              <w:ind w:left="-129" w:right="-13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c>
          <w:tcPr>
            <w:tcW w:w="1197" w:type="dxa"/>
            <w:tcBorders>
              <w:top w:val="single" w:sz="4" w:space="0" w:color="auto"/>
              <w:left w:val="single" w:sz="4" w:space="0" w:color="auto"/>
              <w:bottom w:val="double" w:sz="4" w:space="0" w:color="auto"/>
              <w:right w:val="single" w:sz="4" w:space="0" w:color="auto"/>
            </w:tcBorders>
            <w:shd w:val="clear" w:color="auto" w:fill="CCCCCC"/>
            <w:vAlign w:val="center"/>
          </w:tcPr>
          <w:p w14:paraId="0B9D2263" w14:textId="77777777" w:rsidR="00D668EE" w:rsidRPr="008A651D" w:rsidRDefault="00D668EE" w:rsidP="008A651D">
            <w:pPr>
              <w:widowControl w:val="0"/>
              <w:spacing w:before="0" w:after="0" w:line="240" w:lineRule="auto"/>
              <w:ind w:left="-129" w:right="-13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198" w:type="dxa"/>
            <w:tcBorders>
              <w:top w:val="single" w:sz="4" w:space="0" w:color="auto"/>
              <w:left w:val="single" w:sz="4" w:space="0" w:color="auto"/>
              <w:bottom w:val="double" w:sz="4" w:space="0" w:color="auto"/>
              <w:right w:val="single" w:sz="4" w:space="0" w:color="auto"/>
            </w:tcBorders>
            <w:shd w:val="clear" w:color="auto" w:fill="CCCCCC"/>
            <w:vAlign w:val="center"/>
          </w:tcPr>
          <w:p w14:paraId="263CE17F" w14:textId="77777777" w:rsidR="00D668EE" w:rsidRPr="008A651D" w:rsidRDefault="00D668EE" w:rsidP="008A651D">
            <w:pPr>
              <w:widowControl w:val="0"/>
              <w:spacing w:before="0" w:after="0" w:line="240" w:lineRule="auto"/>
              <w:ind w:left="-129" w:right="-13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уд. вес, </w:t>
            </w:r>
          </w:p>
          <w:p w14:paraId="08A39215" w14:textId="77777777" w:rsidR="00D668EE" w:rsidRPr="008A651D" w:rsidRDefault="00D668EE" w:rsidP="008A651D">
            <w:pPr>
              <w:widowControl w:val="0"/>
              <w:spacing w:before="0" w:after="0" w:line="240" w:lineRule="auto"/>
              <w:ind w:left="-129" w:right="-13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w:t>
            </w:r>
          </w:p>
        </w:tc>
        <w:tc>
          <w:tcPr>
            <w:tcW w:w="1021" w:type="dxa"/>
            <w:vMerge/>
            <w:tcBorders>
              <w:top w:val="single" w:sz="4" w:space="0" w:color="auto"/>
              <w:left w:val="single" w:sz="4" w:space="0" w:color="auto"/>
              <w:bottom w:val="double" w:sz="4" w:space="0" w:color="auto"/>
              <w:right w:val="single" w:sz="4" w:space="0" w:color="auto"/>
            </w:tcBorders>
            <w:vAlign w:val="center"/>
          </w:tcPr>
          <w:p w14:paraId="0627E8C4" w14:textId="77777777" w:rsidR="00D668EE" w:rsidRPr="008A651D" w:rsidRDefault="00D668EE" w:rsidP="008A651D">
            <w:pPr>
              <w:pStyle w:val="2"/>
              <w:widowControl w:val="0"/>
              <w:spacing w:before="0" w:line="240" w:lineRule="auto"/>
              <w:ind w:left="34"/>
              <w:rPr>
                <w:rFonts w:ascii="Times New Roman" w:hAnsi="Times New Roman" w:cs="Times New Roman"/>
                <w:i/>
                <w:iCs/>
                <w:color w:val="000000"/>
                <w:sz w:val="22"/>
                <w:szCs w:val="22"/>
              </w:rPr>
            </w:pPr>
          </w:p>
        </w:tc>
      </w:tr>
      <w:tr w:rsidR="00D668EE" w:rsidRPr="008A651D" w14:paraId="01BB4799" w14:textId="77777777" w:rsidTr="00D668EE">
        <w:tc>
          <w:tcPr>
            <w:tcW w:w="3828" w:type="dxa"/>
            <w:tcBorders>
              <w:top w:val="double" w:sz="4" w:space="0" w:color="auto"/>
              <w:left w:val="single" w:sz="4" w:space="0" w:color="auto"/>
              <w:bottom w:val="single" w:sz="2" w:space="0" w:color="auto"/>
              <w:right w:val="single" w:sz="4" w:space="0" w:color="auto"/>
            </w:tcBorders>
            <w:shd w:val="clear" w:color="auto" w:fill="E0E0E0"/>
          </w:tcPr>
          <w:p w14:paraId="1BBA06D2" w14:textId="77777777" w:rsidR="00D668EE" w:rsidRPr="008A651D" w:rsidRDefault="00D668EE" w:rsidP="008A651D">
            <w:pPr>
              <w:widowControl w:val="0"/>
              <w:spacing w:before="0" w:after="0" w:line="240" w:lineRule="auto"/>
              <w:rPr>
                <w:rFonts w:ascii="Times New Roman" w:hAnsi="Times New Roman" w:cs="Times New Roman"/>
                <w:color w:val="000000"/>
                <w:sz w:val="22"/>
                <w:szCs w:val="22"/>
              </w:rPr>
            </w:pPr>
            <w:r w:rsidRPr="008A651D">
              <w:rPr>
                <w:rFonts w:ascii="Times New Roman" w:hAnsi="Times New Roman" w:cs="Times New Roman"/>
                <w:color w:val="000000"/>
                <w:sz w:val="22"/>
                <w:szCs w:val="22"/>
              </w:rPr>
              <w:t>Активы-нетто, всего</w:t>
            </w:r>
          </w:p>
        </w:tc>
        <w:tc>
          <w:tcPr>
            <w:tcW w:w="1197" w:type="dxa"/>
            <w:tcBorders>
              <w:top w:val="double" w:sz="4" w:space="0" w:color="000000" w:themeColor="text1"/>
              <w:left w:val="nil"/>
              <w:bottom w:val="single" w:sz="2" w:space="0" w:color="000000" w:themeColor="text1"/>
              <w:right w:val="single" w:sz="2" w:space="0" w:color="000000" w:themeColor="text1"/>
            </w:tcBorders>
            <w:shd w:val="clear" w:color="auto" w:fill="D9D9D9" w:themeFill="background1" w:themeFillShade="D9"/>
            <w:vAlign w:val="bottom"/>
          </w:tcPr>
          <w:p w14:paraId="4AA46A79"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8 521,7</w:t>
            </w:r>
          </w:p>
        </w:tc>
        <w:tc>
          <w:tcPr>
            <w:tcW w:w="1198" w:type="dxa"/>
            <w:tcBorders>
              <w:top w:val="double" w:sz="4"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bottom"/>
          </w:tcPr>
          <w:p w14:paraId="2095890A"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197" w:type="dxa"/>
            <w:tcBorders>
              <w:top w:val="nil"/>
              <w:left w:val="nil"/>
              <w:bottom w:val="single" w:sz="4" w:space="0" w:color="auto"/>
              <w:right w:val="single" w:sz="4" w:space="0" w:color="auto"/>
            </w:tcBorders>
            <w:shd w:val="clear" w:color="auto" w:fill="D9D9D9" w:themeFill="background1" w:themeFillShade="D9"/>
            <w:vAlign w:val="bottom"/>
          </w:tcPr>
          <w:p w14:paraId="23B6F962"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9 740,0</w:t>
            </w:r>
          </w:p>
        </w:tc>
        <w:tc>
          <w:tcPr>
            <w:tcW w:w="119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D89F9A5"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021"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13B0EFF"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114,3</w:t>
            </w:r>
          </w:p>
        </w:tc>
      </w:tr>
      <w:tr w:rsidR="00D668EE" w:rsidRPr="008A651D" w14:paraId="3B20D8DD" w14:textId="77777777" w:rsidTr="00D668EE">
        <w:tc>
          <w:tcPr>
            <w:tcW w:w="3828" w:type="dxa"/>
            <w:tcBorders>
              <w:top w:val="single" w:sz="2" w:space="0" w:color="auto"/>
              <w:left w:val="single" w:sz="4" w:space="0" w:color="auto"/>
              <w:bottom w:val="single" w:sz="4" w:space="0" w:color="auto"/>
              <w:right w:val="single" w:sz="4" w:space="0" w:color="auto"/>
            </w:tcBorders>
            <w:shd w:val="clear" w:color="auto" w:fill="auto"/>
          </w:tcPr>
          <w:p w14:paraId="08B66EE9" w14:textId="77777777" w:rsidR="00D668EE" w:rsidRPr="008A651D" w:rsidRDefault="00D668EE" w:rsidP="008A651D">
            <w:pPr>
              <w:widowControl w:val="0"/>
              <w:spacing w:before="0" w:after="0" w:line="240" w:lineRule="auto"/>
              <w:ind w:firstLine="176"/>
              <w:rPr>
                <w:rFonts w:ascii="Times New Roman" w:hAnsi="Times New Roman" w:cs="Times New Roman"/>
                <w:color w:val="000000"/>
                <w:sz w:val="22"/>
                <w:szCs w:val="22"/>
              </w:rPr>
            </w:pPr>
            <w:r w:rsidRPr="008A651D">
              <w:rPr>
                <w:rFonts w:ascii="Times New Roman" w:hAnsi="Times New Roman" w:cs="Times New Roman"/>
                <w:color w:val="000000"/>
                <w:sz w:val="22"/>
                <w:szCs w:val="22"/>
              </w:rPr>
              <w:t>из них:</w:t>
            </w:r>
          </w:p>
        </w:tc>
        <w:tc>
          <w:tcPr>
            <w:tcW w:w="1197" w:type="dxa"/>
            <w:tcBorders>
              <w:top w:val="single" w:sz="2" w:space="0" w:color="000000" w:themeColor="text1"/>
              <w:left w:val="single" w:sz="2" w:space="0" w:color="000000" w:themeColor="text1"/>
              <w:bottom w:val="single" w:sz="4" w:space="0" w:color="auto"/>
              <w:right w:val="single" w:sz="2" w:space="0" w:color="000000" w:themeColor="text1"/>
            </w:tcBorders>
            <w:shd w:val="clear" w:color="000000" w:fill="FFFFFF"/>
            <w:vAlign w:val="bottom"/>
          </w:tcPr>
          <w:p w14:paraId="59C98835"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p>
        </w:tc>
        <w:tc>
          <w:tcPr>
            <w:tcW w:w="1198" w:type="dxa"/>
            <w:tcBorders>
              <w:top w:val="single" w:sz="2" w:space="0" w:color="000000" w:themeColor="text1"/>
              <w:left w:val="single" w:sz="2" w:space="0" w:color="000000" w:themeColor="text1"/>
              <w:bottom w:val="single" w:sz="4" w:space="0" w:color="auto"/>
              <w:right w:val="single" w:sz="2" w:space="0" w:color="000000" w:themeColor="text1"/>
            </w:tcBorders>
            <w:shd w:val="clear" w:color="000000" w:fill="FFFFFF"/>
            <w:vAlign w:val="bottom"/>
          </w:tcPr>
          <w:p w14:paraId="237B467E"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p>
        </w:tc>
        <w:tc>
          <w:tcPr>
            <w:tcW w:w="1197" w:type="dxa"/>
            <w:tcBorders>
              <w:top w:val="single" w:sz="4" w:space="0" w:color="auto"/>
              <w:left w:val="single" w:sz="2" w:space="0" w:color="000000" w:themeColor="text1"/>
              <w:bottom w:val="single" w:sz="4" w:space="0" w:color="auto"/>
              <w:right w:val="single" w:sz="4" w:space="0" w:color="auto"/>
            </w:tcBorders>
            <w:shd w:val="clear" w:color="000000" w:fill="FFFFFF"/>
            <w:vAlign w:val="bottom"/>
          </w:tcPr>
          <w:p w14:paraId="4B4C13E2"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40A3A336"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60B92DD9"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p>
        </w:tc>
      </w:tr>
      <w:tr w:rsidR="00D668EE" w:rsidRPr="008A651D" w14:paraId="12706F66" w14:textId="77777777" w:rsidTr="00D668EE">
        <w:tc>
          <w:tcPr>
            <w:tcW w:w="3828" w:type="dxa"/>
            <w:tcBorders>
              <w:top w:val="single" w:sz="4" w:space="0" w:color="auto"/>
              <w:left w:val="single" w:sz="4" w:space="0" w:color="auto"/>
              <w:bottom w:val="single" w:sz="4" w:space="0" w:color="auto"/>
              <w:right w:val="single" w:sz="4" w:space="0" w:color="auto"/>
            </w:tcBorders>
          </w:tcPr>
          <w:p w14:paraId="762C79DD" w14:textId="77777777" w:rsidR="00D668EE" w:rsidRPr="008A651D" w:rsidRDefault="00D668EE" w:rsidP="008A651D">
            <w:pPr>
              <w:widowControl w:val="0"/>
              <w:tabs>
                <w:tab w:val="left" w:pos="231"/>
              </w:tabs>
              <w:spacing w:before="0" w:after="0" w:line="240" w:lineRule="auto"/>
              <w:ind w:left="176"/>
              <w:rPr>
                <w:rFonts w:ascii="Times New Roman" w:hAnsi="Times New Roman" w:cs="Times New Roman"/>
                <w:color w:val="000000"/>
                <w:sz w:val="22"/>
                <w:szCs w:val="22"/>
              </w:rPr>
            </w:pPr>
            <w:r w:rsidRPr="008A651D">
              <w:rPr>
                <w:rFonts w:ascii="Times New Roman" w:hAnsi="Times New Roman" w:cs="Times New Roman"/>
                <w:color w:val="000000"/>
                <w:sz w:val="22"/>
                <w:szCs w:val="22"/>
              </w:rPr>
              <w:t>- денежные средства</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234BFC7D"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701,8</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3521FBC9"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8,2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73C52695"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737,9</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6D6616CA"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7,6</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00853C8C"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105,1</w:t>
            </w:r>
          </w:p>
        </w:tc>
      </w:tr>
      <w:tr w:rsidR="00D668EE" w:rsidRPr="008A651D" w14:paraId="283C82E2" w14:textId="77777777" w:rsidTr="00D668EE">
        <w:tc>
          <w:tcPr>
            <w:tcW w:w="3828" w:type="dxa"/>
            <w:tcBorders>
              <w:top w:val="single" w:sz="4" w:space="0" w:color="auto"/>
              <w:left w:val="single" w:sz="4" w:space="0" w:color="auto"/>
              <w:bottom w:val="single" w:sz="4" w:space="0" w:color="auto"/>
              <w:right w:val="single" w:sz="4" w:space="0" w:color="auto"/>
            </w:tcBorders>
          </w:tcPr>
          <w:p w14:paraId="7E6E59CB" w14:textId="77777777" w:rsidR="00D668EE" w:rsidRPr="008A651D" w:rsidRDefault="00D668EE" w:rsidP="008A651D">
            <w:pPr>
              <w:widowControl w:val="0"/>
              <w:tabs>
                <w:tab w:val="left" w:pos="231"/>
              </w:tabs>
              <w:spacing w:before="0" w:after="0" w:line="240" w:lineRule="auto"/>
              <w:ind w:left="176"/>
              <w:rPr>
                <w:rFonts w:ascii="Times New Roman" w:hAnsi="Times New Roman" w:cs="Times New Roman"/>
                <w:color w:val="000000"/>
                <w:sz w:val="22"/>
                <w:szCs w:val="22"/>
              </w:rPr>
            </w:pPr>
            <w:r w:rsidRPr="008A651D">
              <w:rPr>
                <w:rFonts w:ascii="Times New Roman" w:hAnsi="Times New Roman" w:cs="Times New Roman"/>
                <w:color w:val="000000"/>
                <w:sz w:val="22"/>
                <w:szCs w:val="22"/>
              </w:rPr>
              <w:t>- корреспондентские счета</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6A77BFDC"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1 459,3</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0F084DF1"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17,1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4CA2C30F"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2 369,4</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1B21EC3F"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24,3</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7F70DF89"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162,4</w:t>
            </w:r>
          </w:p>
        </w:tc>
      </w:tr>
      <w:tr w:rsidR="00D668EE" w:rsidRPr="008A651D" w14:paraId="03C2374B" w14:textId="77777777" w:rsidTr="00D668EE">
        <w:tc>
          <w:tcPr>
            <w:tcW w:w="3828" w:type="dxa"/>
            <w:tcBorders>
              <w:top w:val="single" w:sz="4" w:space="0" w:color="auto"/>
              <w:left w:val="single" w:sz="4" w:space="0" w:color="auto"/>
              <w:bottom w:val="single" w:sz="4" w:space="0" w:color="auto"/>
              <w:right w:val="single" w:sz="4" w:space="0" w:color="auto"/>
            </w:tcBorders>
          </w:tcPr>
          <w:p w14:paraId="3475D22C" w14:textId="77777777" w:rsidR="00D668EE" w:rsidRPr="008A651D" w:rsidRDefault="00D668EE" w:rsidP="008A651D">
            <w:pPr>
              <w:widowControl w:val="0"/>
              <w:tabs>
                <w:tab w:val="left" w:pos="231"/>
              </w:tabs>
              <w:spacing w:before="0" w:after="0" w:line="240" w:lineRule="auto"/>
              <w:ind w:left="176"/>
              <w:rPr>
                <w:rFonts w:ascii="Times New Roman" w:hAnsi="Times New Roman" w:cs="Times New Roman"/>
                <w:color w:val="000000"/>
                <w:sz w:val="22"/>
                <w:szCs w:val="22"/>
              </w:rPr>
            </w:pPr>
            <w:r w:rsidRPr="008A651D">
              <w:rPr>
                <w:rFonts w:ascii="Times New Roman" w:hAnsi="Times New Roman" w:cs="Times New Roman"/>
                <w:color w:val="000000"/>
                <w:sz w:val="22"/>
                <w:szCs w:val="22"/>
              </w:rPr>
              <w:t>- вложения в ценные бумаги</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270CB30F"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31,1</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2D3E0E75"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40BD6756"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19,2</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3D321700"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0,2</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45A91CC9"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61,8</w:t>
            </w:r>
          </w:p>
        </w:tc>
      </w:tr>
      <w:tr w:rsidR="00D668EE" w:rsidRPr="008A651D" w14:paraId="4B93AC6D" w14:textId="77777777" w:rsidTr="00D668EE">
        <w:tc>
          <w:tcPr>
            <w:tcW w:w="3828" w:type="dxa"/>
            <w:tcBorders>
              <w:top w:val="single" w:sz="4" w:space="0" w:color="auto"/>
              <w:left w:val="single" w:sz="4" w:space="0" w:color="auto"/>
              <w:bottom w:val="single" w:sz="4" w:space="0" w:color="auto"/>
              <w:right w:val="single" w:sz="4" w:space="0" w:color="auto"/>
            </w:tcBorders>
          </w:tcPr>
          <w:p w14:paraId="4CCFFDC7" w14:textId="77777777" w:rsidR="00D668EE" w:rsidRPr="008A651D" w:rsidRDefault="00D668EE" w:rsidP="008A651D">
            <w:pPr>
              <w:widowControl w:val="0"/>
              <w:tabs>
                <w:tab w:val="left" w:pos="231"/>
              </w:tabs>
              <w:spacing w:before="0" w:after="0" w:line="240" w:lineRule="auto"/>
              <w:ind w:left="176" w:right="-133"/>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 - чистая задолженность по кредитам</w:t>
            </w:r>
            <w:r w:rsidRPr="008A651D">
              <w:rPr>
                <w:rFonts w:ascii="Times New Roman" w:hAnsi="Times New Roman" w:cs="Times New Roman"/>
                <w:color w:val="000000"/>
                <w:sz w:val="22"/>
                <w:szCs w:val="22"/>
              </w:rPr>
              <w:br/>
              <w:t xml:space="preserve"> и приравненным к ним средствам</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6247AAB6"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4 049,5</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726CE5C6"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47,5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56B7DF14"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5 283,5</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66F5EFBC"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54,2</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03FAE79A"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130,5</w:t>
            </w:r>
          </w:p>
        </w:tc>
      </w:tr>
      <w:tr w:rsidR="00D668EE" w:rsidRPr="008A651D" w14:paraId="382441FD" w14:textId="77777777" w:rsidTr="00D668EE">
        <w:tc>
          <w:tcPr>
            <w:tcW w:w="3828" w:type="dxa"/>
            <w:tcBorders>
              <w:top w:val="single" w:sz="4" w:space="0" w:color="auto"/>
              <w:left w:val="single" w:sz="4" w:space="0" w:color="auto"/>
              <w:bottom w:val="single" w:sz="4" w:space="0" w:color="auto"/>
              <w:right w:val="single" w:sz="4" w:space="0" w:color="auto"/>
            </w:tcBorders>
          </w:tcPr>
          <w:p w14:paraId="7B4AB540" w14:textId="77777777" w:rsidR="00D668EE" w:rsidRPr="008A651D" w:rsidRDefault="00D668EE" w:rsidP="008A651D">
            <w:pPr>
              <w:widowControl w:val="0"/>
              <w:spacing w:before="0" w:after="0" w:line="240" w:lineRule="auto"/>
              <w:ind w:firstLineChars="100" w:firstLine="220"/>
              <w:jc w:val="right"/>
              <w:rPr>
                <w:rFonts w:ascii="Times New Roman" w:hAnsi="Times New Roman" w:cs="Times New Roman"/>
                <w:i/>
                <w:iCs/>
                <w:color w:val="000000"/>
                <w:sz w:val="22"/>
                <w:szCs w:val="22"/>
              </w:rPr>
            </w:pPr>
            <w:r w:rsidRPr="008A651D">
              <w:rPr>
                <w:rFonts w:ascii="Times New Roman" w:hAnsi="Times New Roman" w:cs="Times New Roman"/>
                <w:i/>
                <w:iCs/>
                <w:color w:val="000000"/>
                <w:sz w:val="22"/>
                <w:szCs w:val="22"/>
              </w:rPr>
              <w:t>совокупная задолженность по кредитам и приравненным к ним средствам, всего</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7C18486A"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4 591,2</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4A9F0790"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53,9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51F1FF4B"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5 893,7</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4BDBD43C"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60,5</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4B69E287"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128,4</w:t>
            </w:r>
          </w:p>
        </w:tc>
      </w:tr>
      <w:tr w:rsidR="00D668EE" w:rsidRPr="008A651D" w14:paraId="06FD0357" w14:textId="77777777" w:rsidTr="00D668EE">
        <w:tc>
          <w:tcPr>
            <w:tcW w:w="3828" w:type="dxa"/>
            <w:tcBorders>
              <w:top w:val="single" w:sz="4" w:space="0" w:color="auto"/>
              <w:left w:val="single" w:sz="4" w:space="0" w:color="auto"/>
              <w:bottom w:val="single" w:sz="4" w:space="0" w:color="auto"/>
              <w:right w:val="single" w:sz="4" w:space="0" w:color="auto"/>
            </w:tcBorders>
          </w:tcPr>
          <w:p w14:paraId="620464CB" w14:textId="77777777" w:rsidR="00D668EE" w:rsidRPr="008A651D" w:rsidRDefault="00D668EE" w:rsidP="008A651D">
            <w:pPr>
              <w:widowControl w:val="0"/>
              <w:spacing w:before="0" w:after="0" w:line="240" w:lineRule="auto"/>
              <w:ind w:firstLineChars="100" w:firstLine="220"/>
              <w:jc w:val="right"/>
              <w:rPr>
                <w:rFonts w:ascii="Times New Roman" w:hAnsi="Times New Roman" w:cs="Times New Roman"/>
                <w:i/>
                <w:iCs/>
                <w:color w:val="000000"/>
                <w:sz w:val="22"/>
                <w:szCs w:val="22"/>
              </w:rPr>
            </w:pPr>
            <w:r w:rsidRPr="008A651D">
              <w:rPr>
                <w:rFonts w:ascii="Times New Roman" w:hAnsi="Times New Roman" w:cs="Times New Roman"/>
                <w:i/>
                <w:iCs/>
                <w:color w:val="000000"/>
                <w:sz w:val="22"/>
                <w:szCs w:val="22"/>
              </w:rPr>
              <w:t>резерв по рискам</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5D9BB070"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-541,7</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38CC99B8"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1C320A4D"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-610,2</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46C1F960"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(6,3)</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1A88A3B4"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112,6</w:t>
            </w:r>
          </w:p>
        </w:tc>
      </w:tr>
      <w:tr w:rsidR="00D668EE" w:rsidRPr="008A651D" w14:paraId="19B81453" w14:textId="77777777" w:rsidTr="00D668EE">
        <w:tc>
          <w:tcPr>
            <w:tcW w:w="3828" w:type="dxa"/>
            <w:tcBorders>
              <w:top w:val="nil"/>
              <w:left w:val="single" w:sz="4" w:space="0" w:color="auto"/>
              <w:bottom w:val="single" w:sz="4" w:space="0" w:color="auto"/>
              <w:right w:val="single" w:sz="4" w:space="0" w:color="auto"/>
            </w:tcBorders>
          </w:tcPr>
          <w:p w14:paraId="3375D701" w14:textId="77777777" w:rsidR="00D668EE" w:rsidRPr="008A651D" w:rsidRDefault="00D668EE" w:rsidP="008A651D">
            <w:pPr>
              <w:widowControl w:val="0"/>
              <w:spacing w:before="0" w:after="0" w:line="240" w:lineRule="auto"/>
              <w:ind w:firstLine="176"/>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 - имущество </w:t>
            </w:r>
          </w:p>
        </w:tc>
        <w:tc>
          <w:tcPr>
            <w:tcW w:w="1197" w:type="dxa"/>
            <w:tcBorders>
              <w:top w:val="single" w:sz="4" w:space="0" w:color="auto"/>
              <w:left w:val="single" w:sz="2" w:space="0" w:color="000000" w:themeColor="text1"/>
              <w:bottom w:val="single" w:sz="4" w:space="0" w:color="auto"/>
              <w:right w:val="single" w:sz="4" w:space="0" w:color="auto"/>
            </w:tcBorders>
            <w:shd w:val="clear" w:color="auto" w:fill="auto"/>
            <w:vAlign w:val="bottom"/>
          </w:tcPr>
          <w:p w14:paraId="4AC61642"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287,2</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2C50B419"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2F19FFEB"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267,7</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bottom"/>
          </w:tcPr>
          <w:p w14:paraId="137BB63C"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2,7</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bottom"/>
          </w:tcPr>
          <w:p w14:paraId="0C0AE9CD" w14:textId="77777777" w:rsidR="00D668EE" w:rsidRPr="008A651D" w:rsidRDefault="00D668EE" w:rsidP="008A651D">
            <w:pPr>
              <w:spacing w:before="0" w:after="0" w:line="240" w:lineRule="auto"/>
              <w:ind w:right="100"/>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93,2</w:t>
            </w:r>
          </w:p>
        </w:tc>
      </w:tr>
    </w:tbl>
    <w:p w14:paraId="3ED41640" w14:textId="77777777" w:rsidR="00105F0B" w:rsidRPr="008A651D" w:rsidRDefault="00105F0B" w:rsidP="00105F0B">
      <w:pPr>
        <w:widowControl w:val="0"/>
        <w:autoSpaceDE w:val="0"/>
        <w:autoSpaceDN w:val="0"/>
        <w:adjustRightInd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Кредитование юридических лиц</w:t>
      </w:r>
      <w:r w:rsidRPr="008A651D">
        <w:rPr>
          <w:rFonts w:ascii="Times New Roman" w:hAnsi="Times New Roman" w:cs="Times New Roman"/>
          <w:sz w:val="24"/>
          <w:szCs w:val="24"/>
        </w:rPr>
        <w:t xml:space="preserve"> характеризовал</w:t>
      </w:r>
      <w:r>
        <w:rPr>
          <w:rFonts w:ascii="Times New Roman" w:hAnsi="Times New Roman" w:cs="Times New Roman"/>
          <w:sz w:val="24"/>
          <w:szCs w:val="24"/>
        </w:rPr>
        <w:t>о</w:t>
      </w:r>
      <w:r w:rsidRPr="008A651D">
        <w:rPr>
          <w:rFonts w:ascii="Times New Roman" w:hAnsi="Times New Roman" w:cs="Times New Roman"/>
          <w:sz w:val="24"/>
          <w:szCs w:val="24"/>
        </w:rPr>
        <w:t>сь</w:t>
      </w:r>
      <w:r w:rsidRPr="008A651D">
        <w:rPr>
          <w:rFonts w:ascii="Times New Roman" w:hAnsi="Times New Roman" w:cs="Times New Roman"/>
          <w:noProof/>
          <w:sz w:val="24"/>
          <w:szCs w:val="24"/>
        </w:rPr>
        <w:t xml:space="preserve"> более умеренным ростом – +4,4%, или +121,1 млн руб.</w:t>
      </w:r>
      <w:r w:rsidRPr="008A651D">
        <w:rPr>
          <w:rFonts w:ascii="Times New Roman" w:hAnsi="Times New Roman" w:cs="Times New Roman"/>
          <w:sz w:val="24"/>
          <w:szCs w:val="24"/>
        </w:rPr>
        <w:t xml:space="preserve"> </w:t>
      </w:r>
      <w:r w:rsidRPr="008A651D">
        <w:rPr>
          <w:rFonts w:ascii="Times New Roman" w:hAnsi="Times New Roman" w:cs="Times New Roman"/>
          <w:noProof/>
          <w:sz w:val="24"/>
          <w:szCs w:val="24"/>
        </w:rPr>
        <w:t xml:space="preserve">По состоянию на 1 января 2020 года задолженность хозяйствующих субъектов сложилась на </w:t>
      </w:r>
      <w:r>
        <w:rPr>
          <w:rFonts w:ascii="Times New Roman" w:hAnsi="Times New Roman" w:cs="Times New Roman"/>
          <w:noProof/>
          <w:sz w:val="24"/>
          <w:szCs w:val="24"/>
        </w:rPr>
        <w:t>уровне</w:t>
      </w:r>
      <w:r w:rsidRPr="008A651D">
        <w:rPr>
          <w:rFonts w:ascii="Times New Roman" w:hAnsi="Times New Roman" w:cs="Times New Roman"/>
          <w:noProof/>
          <w:sz w:val="24"/>
          <w:szCs w:val="24"/>
        </w:rPr>
        <w:t xml:space="preserve"> 2 845,6 млн руб.</w:t>
      </w:r>
      <w:r w:rsidRPr="008A651D">
        <w:rPr>
          <w:rFonts w:ascii="Times New Roman" w:hAnsi="Times New Roman" w:cs="Times New Roman"/>
          <w:sz w:val="24"/>
          <w:szCs w:val="24"/>
        </w:rPr>
        <w:t xml:space="preserve"> При этом объём валютных заимствований вырос на 9,4% (+215,8 млн руб.), до 2 506,0 млн руб., тогда как рублёвых – сократился на 21,8% </w:t>
      </w:r>
      <w:r>
        <w:rPr>
          <w:rFonts w:ascii="Times New Roman" w:hAnsi="Times New Roman" w:cs="Times New Roman"/>
          <w:sz w:val="24"/>
          <w:szCs w:val="24"/>
        </w:rPr>
        <w:br/>
      </w:r>
      <w:r w:rsidRPr="008A651D">
        <w:rPr>
          <w:rFonts w:ascii="Times New Roman" w:hAnsi="Times New Roman" w:cs="Times New Roman"/>
          <w:sz w:val="24"/>
          <w:szCs w:val="24"/>
        </w:rPr>
        <w:t xml:space="preserve">(-94,7 млн руб.), до 339,6 млн руб. Таким образом, степень валютизации ссудной задолженности предприятий реального сектора </w:t>
      </w:r>
      <w:r>
        <w:rPr>
          <w:rFonts w:ascii="Times New Roman" w:hAnsi="Times New Roman" w:cs="Times New Roman"/>
          <w:sz w:val="24"/>
          <w:szCs w:val="24"/>
        </w:rPr>
        <w:t>составила</w:t>
      </w:r>
      <w:r w:rsidRPr="008A651D">
        <w:rPr>
          <w:rFonts w:ascii="Times New Roman" w:hAnsi="Times New Roman" w:cs="Times New Roman"/>
          <w:sz w:val="24"/>
          <w:szCs w:val="24"/>
        </w:rPr>
        <w:t xml:space="preserve"> 88,1%, что на 4,0 п.п. выше значения на 1 января 2019 года.</w:t>
      </w:r>
    </w:p>
    <w:p w14:paraId="328ADFBF" w14:textId="77777777" w:rsidR="00D668EE" w:rsidRPr="008A651D" w:rsidRDefault="00D668EE" w:rsidP="00105F0B">
      <w:pPr>
        <w:autoSpaceDE w:val="0"/>
        <w:autoSpaceDN w:val="0"/>
        <w:adjustRightInd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В структуре кредитных вложений по секторам экономики традиционно бóльшая часть принадлежала предприятиям промышленности (43,4%). Однако по сравнению с началом года </w:t>
      </w:r>
      <w:r w:rsidR="00050F2F">
        <w:rPr>
          <w:rFonts w:ascii="Times New Roman" w:hAnsi="Times New Roman" w:cs="Times New Roman"/>
          <w:sz w:val="24"/>
          <w:szCs w:val="24"/>
        </w:rPr>
        <w:t>их задолженность</w:t>
      </w:r>
      <w:r w:rsidRPr="008A651D">
        <w:rPr>
          <w:rFonts w:ascii="Times New Roman" w:hAnsi="Times New Roman" w:cs="Times New Roman"/>
          <w:sz w:val="24"/>
          <w:szCs w:val="24"/>
        </w:rPr>
        <w:t xml:space="preserve"> сократилась на 41,9 млн руб. (-3,3%) и составила 1 235,7 млн руб. В то же время существенно увеличились заимствования аграрного сектора – на 112,3 млн руб. (+18,0%), до 737,7 млн руб., что соответствует 25,9% общей задолженности реального сектора. Обязательства </w:t>
      </w:r>
      <w:r w:rsidR="00050F2F" w:rsidRPr="008A651D">
        <w:rPr>
          <w:rFonts w:ascii="Times New Roman" w:hAnsi="Times New Roman" w:cs="Times New Roman"/>
          <w:sz w:val="24"/>
          <w:szCs w:val="24"/>
        </w:rPr>
        <w:t xml:space="preserve">торгово-посреднических фирм </w:t>
      </w:r>
      <w:r w:rsidR="00050F2F">
        <w:rPr>
          <w:rFonts w:ascii="Times New Roman" w:hAnsi="Times New Roman" w:cs="Times New Roman"/>
          <w:sz w:val="24"/>
          <w:szCs w:val="24"/>
        </w:rPr>
        <w:t xml:space="preserve">по кредитам банков </w:t>
      </w:r>
      <w:r w:rsidRPr="008A651D">
        <w:rPr>
          <w:rFonts w:ascii="Times New Roman" w:hAnsi="Times New Roman" w:cs="Times New Roman"/>
          <w:sz w:val="24"/>
          <w:szCs w:val="24"/>
        </w:rPr>
        <w:t xml:space="preserve">возросли на 87,6 млн руб. (+13,8%) и на 1 января 2020 года составили 721,3 млн руб., или 25,3% совокупного показателя. Задолженность по кредитам строительных предприятий сложилась в объёме 5,6 млн руб. (сокращение в 2,2 раза, или на 6,9 млн руб.). </w:t>
      </w:r>
    </w:p>
    <w:p w14:paraId="14B68179" w14:textId="675CFB56" w:rsidR="00D668EE" w:rsidRPr="008A651D" w:rsidRDefault="00D668EE" w:rsidP="008A651D">
      <w:pPr>
        <w:autoSpaceDE w:val="0"/>
        <w:autoSpaceDN w:val="0"/>
        <w:adjustRightInd w:val="0"/>
        <w:spacing w:before="0" w:after="0" w:line="240" w:lineRule="auto"/>
        <w:ind w:firstLine="425"/>
        <w:jc w:val="both"/>
        <w:rPr>
          <w:rFonts w:ascii="Times New Roman" w:hAnsi="Times New Roman" w:cs="Times New Roman"/>
          <w:sz w:val="24"/>
          <w:szCs w:val="24"/>
        </w:rPr>
      </w:pPr>
      <w:r w:rsidRPr="008A651D">
        <w:rPr>
          <w:rFonts w:ascii="Times New Roman" w:hAnsi="Times New Roman" w:cs="Times New Roman"/>
          <w:sz w:val="24"/>
          <w:szCs w:val="24"/>
        </w:rPr>
        <w:t xml:space="preserve">Просроченная задолженность по кредитам </w:t>
      </w:r>
      <w:r w:rsidR="00050F2F">
        <w:rPr>
          <w:rFonts w:ascii="Times New Roman" w:hAnsi="Times New Roman" w:cs="Times New Roman"/>
          <w:sz w:val="24"/>
          <w:szCs w:val="24"/>
        </w:rPr>
        <w:t xml:space="preserve">всех категорий заёмщиков </w:t>
      </w:r>
      <w:r w:rsidRPr="008A651D">
        <w:rPr>
          <w:rFonts w:ascii="Times New Roman" w:hAnsi="Times New Roman" w:cs="Times New Roman"/>
          <w:sz w:val="24"/>
          <w:szCs w:val="24"/>
        </w:rPr>
        <w:t xml:space="preserve">увеличилась </w:t>
      </w:r>
      <w:r w:rsidR="006A4E34">
        <w:rPr>
          <w:rFonts w:ascii="Times New Roman" w:hAnsi="Times New Roman" w:cs="Times New Roman"/>
          <w:sz w:val="24"/>
          <w:szCs w:val="24"/>
        </w:rPr>
        <w:t>на 55,0%</w:t>
      </w:r>
      <w:r w:rsidRPr="008A651D">
        <w:rPr>
          <w:rFonts w:ascii="Times New Roman" w:hAnsi="Times New Roman" w:cs="Times New Roman"/>
          <w:sz w:val="24"/>
          <w:szCs w:val="24"/>
        </w:rPr>
        <w:t xml:space="preserve"> и на конец 2019 года составила 260,4 млн руб., что соответствует 6,6% совокупного объёма кредитов и займов нефинансового сектора (4,6% на </w:t>
      </w:r>
      <w:r w:rsidR="0083024B">
        <w:rPr>
          <w:rFonts w:ascii="Times New Roman" w:hAnsi="Times New Roman" w:cs="Times New Roman"/>
          <w:sz w:val="24"/>
          <w:szCs w:val="24"/>
        </w:rPr>
        <w:t>0</w:t>
      </w:r>
      <w:r w:rsidRPr="008A651D">
        <w:rPr>
          <w:rFonts w:ascii="Times New Roman" w:hAnsi="Times New Roman" w:cs="Times New Roman"/>
          <w:sz w:val="24"/>
          <w:szCs w:val="24"/>
        </w:rPr>
        <w:t>1</w:t>
      </w:r>
      <w:r w:rsidR="0083024B">
        <w:rPr>
          <w:rFonts w:ascii="Times New Roman" w:hAnsi="Times New Roman" w:cs="Times New Roman"/>
          <w:sz w:val="24"/>
          <w:szCs w:val="24"/>
        </w:rPr>
        <w:t>.01.2019</w:t>
      </w:r>
      <w:r w:rsidRPr="008A651D">
        <w:rPr>
          <w:rFonts w:ascii="Times New Roman" w:hAnsi="Times New Roman" w:cs="Times New Roman"/>
          <w:sz w:val="24"/>
          <w:szCs w:val="24"/>
        </w:rPr>
        <w:t>). Данная динамика была обусловлена значительным ростом сумм не погашенных в срок обязательств юридических лиц</w:t>
      </w:r>
      <w:r w:rsidR="00050F2F">
        <w:rPr>
          <w:rFonts w:ascii="Times New Roman" w:hAnsi="Times New Roman" w:cs="Times New Roman"/>
          <w:sz w:val="24"/>
          <w:szCs w:val="24"/>
        </w:rPr>
        <w:t>, в том числе государства перед кредитными организациями</w:t>
      </w:r>
      <w:r w:rsidR="006A4E34">
        <w:rPr>
          <w:rFonts w:ascii="Times New Roman" w:hAnsi="Times New Roman" w:cs="Times New Roman"/>
          <w:sz w:val="24"/>
          <w:szCs w:val="24"/>
        </w:rPr>
        <w:t xml:space="preserve"> (+67,9%</w:t>
      </w:r>
      <w:r w:rsidRPr="008A651D">
        <w:rPr>
          <w:rFonts w:ascii="Times New Roman" w:hAnsi="Times New Roman" w:cs="Times New Roman"/>
          <w:sz w:val="24"/>
          <w:szCs w:val="24"/>
        </w:rPr>
        <w:t xml:space="preserve">, до 152,0 млн руб.). Доля просроченных займов в корпоративном кредитном портфеле на 1 января 2020 года составила 5,3% (+2,0 п.п. к значению на </w:t>
      </w:r>
      <w:r w:rsidR="0083024B">
        <w:rPr>
          <w:rFonts w:ascii="Times New Roman" w:hAnsi="Times New Roman" w:cs="Times New Roman"/>
          <w:sz w:val="24"/>
          <w:szCs w:val="24"/>
        </w:rPr>
        <w:t>0</w:t>
      </w:r>
      <w:r w:rsidR="0083024B" w:rsidRPr="008A651D">
        <w:rPr>
          <w:rFonts w:ascii="Times New Roman" w:hAnsi="Times New Roman" w:cs="Times New Roman"/>
          <w:sz w:val="24"/>
          <w:szCs w:val="24"/>
        </w:rPr>
        <w:t>1</w:t>
      </w:r>
      <w:r w:rsidR="0083024B">
        <w:rPr>
          <w:rFonts w:ascii="Times New Roman" w:hAnsi="Times New Roman" w:cs="Times New Roman"/>
          <w:sz w:val="24"/>
          <w:szCs w:val="24"/>
        </w:rPr>
        <w:t>.01.2019</w:t>
      </w:r>
      <w:r w:rsidRPr="008A651D">
        <w:rPr>
          <w:rFonts w:ascii="Times New Roman" w:hAnsi="Times New Roman" w:cs="Times New Roman"/>
          <w:sz w:val="24"/>
          <w:szCs w:val="24"/>
        </w:rPr>
        <w:t xml:space="preserve">). </w:t>
      </w:r>
      <w:r w:rsidR="00B078BD">
        <w:rPr>
          <w:rFonts w:ascii="Times New Roman" w:hAnsi="Times New Roman" w:cs="Times New Roman"/>
          <w:sz w:val="24"/>
          <w:szCs w:val="24"/>
        </w:rPr>
        <w:t>В то же время закредитованность населения при плохой осведомлённости граждан относительно уровня долговой нагрузки обусловили рост</w:t>
      </w:r>
      <w:r w:rsidR="00B078BD" w:rsidRPr="008A651D">
        <w:rPr>
          <w:rFonts w:ascii="Times New Roman" w:hAnsi="Times New Roman" w:cs="Times New Roman"/>
          <w:sz w:val="24"/>
          <w:szCs w:val="24"/>
        </w:rPr>
        <w:t xml:space="preserve"> просроченной задолженности по кредитам населения на 39,9%, до 108,4 млн руб., или 9,7% в структуре розничных кредитов (+1,3 п.п.).</w:t>
      </w:r>
      <w:r w:rsidRPr="008A651D">
        <w:rPr>
          <w:rFonts w:ascii="Times New Roman" w:hAnsi="Times New Roman" w:cs="Times New Roman"/>
          <w:sz w:val="24"/>
          <w:szCs w:val="24"/>
        </w:rPr>
        <w:t xml:space="preserve"> В результате интегрированный показатель</w:t>
      </w:r>
      <w:r w:rsidRPr="008A651D">
        <w:rPr>
          <w:rStyle w:val="ae"/>
          <w:rFonts w:ascii="Times New Roman" w:hAnsi="Times New Roman"/>
          <w:color w:val="000000"/>
          <w:sz w:val="24"/>
          <w:szCs w:val="24"/>
        </w:rPr>
        <w:footnoteReference w:id="18"/>
      </w:r>
      <w:r w:rsidRPr="008A651D">
        <w:rPr>
          <w:rFonts w:ascii="Times New Roman" w:hAnsi="Times New Roman" w:cs="Times New Roman"/>
          <w:sz w:val="24"/>
          <w:szCs w:val="24"/>
        </w:rPr>
        <w:t xml:space="preserve"> качественных</w:t>
      </w:r>
      <w:r w:rsidRPr="008A651D">
        <w:rPr>
          <w:rFonts w:ascii="Times New Roman" w:hAnsi="Times New Roman" w:cs="Times New Roman"/>
          <w:color w:val="000000"/>
          <w:sz w:val="24"/>
          <w:szCs w:val="24"/>
        </w:rPr>
        <w:t xml:space="preserve"> характеристик операций кредитования снизился на 2,0 п.п., до 93,4%. </w:t>
      </w:r>
    </w:p>
    <w:p w14:paraId="3891C5B1" w14:textId="77777777" w:rsidR="00D668EE" w:rsidRDefault="00D668EE" w:rsidP="008A651D">
      <w:pPr>
        <w:autoSpaceDE w:val="0"/>
        <w:autoSpaceDN w:val="0"/>
        <w:adjustRightInd w:val="0"/>
        <w:spacing w:before="0" w:after="0" w:line="240" w:lineRule="auto"/>
        <w:ind w:firstLine="425"/>
        <w:jc w:val="both"/>
        <w:rPr>
          <w:rFonts w:ascii="Times New Roman" w:hAnsi="Times New Roman" w:cs="Times New Roman"/>
          <w:sz w:val="24"/>
          <w:szCs w:val="24"/>
        </w:rPr>
      </w:pPr>
      <w:r w:rsidRPr="00962FB5">
        <w:rPr>
          <w:rFonts w:ascii="Times New Roman" w:hAnsi="Times New Roman" w:cs="Times New Roman"/>
          <w:sz w:val="24"/>
          <w:szCs w:val="24"/>
        </w:rPr>
        <w:t xml:space="preserve">Структура задолженности по кредитам и приравненным к ним средствам в процессе проведённой в начале отчётного года их реклассификации характеризовалась существенным ростом остатков </w:t>
      </w:r>
      <w:r w:rsidR="00BA03FB" w:rsidRPr="00962FB5">
        <w:rPr>
          <w:rFonts w:ascii="Times New Roman" w:hAnsi="Times New Roman" w:cs="Times New Roman"/>
          <w:sz w:val="24"/>
          <w:szCs w:val="24"/>
        </w:rPr>
        <w:t>кредитов и приравненных к ним средств</w:t>
      </w:r>
      <w:r w:rsidRPr="00962FB5">
        <w:rPr>
          <w:rFonts w:ascii="Times New Roman" w:hAnsi="Times New Roman" w:cs="Times New Roman"/>
          <w:sz w:val="24"/>
          <w:szCs w:val="24"/>
        </w:rPr>
        <w:t>, относящихся к категории нестандартных (+472,2 млн руб.</w:t>
      </w:r>
      <w:r w:rsidR="00BA03FB" w:rsidRPr="00962FB5">
        <w:rPr>
          <w:rFonts w:ascii="Times New Roman" w:hAnsi="Times New Roman" w:cs="Times New Roman"/>
          <w:sz w:val="24"/>
          <w:szCs w:val="24"/>
        </w:rPr>
        <w:t>, или +</w:t>
      </w:r>
      <w:r w:rsidR="00962FB5" w:rsidRPr="00962FB5">
        <w:rPr>
          <w:rFonts w:ascii="Times New Roman" w:hAnsi="Times New Roman" w:cs="Times New Roman"/>
          <w:sz w:val="24"/>
          <w:szCs w:val="24"/>
        </w:rPr>
        <w:t>43,8</w:t>
      </w:r>
      <w:r w:rsidR="00BA03FB" w:rsidRPr="00962FB5">
        <w:rPr>
          <w:rFonts w:ascii="Times New Roman" w:hAnsi="Times New Roman" w:cs="Times New Roman"/>
          <w:sz w:val="24"/>
          <w:szCs w:val="24"/>
        </w:rPr>
        <w:t>%</w:t>
      </w:r>
      <w:r w:rsidRPr="00962FB5">
        <w:rPr>
          <w:rFonts w:ascii="Times New Roman" w:hAnsi="Times New Roman" w:cs="Times New Roman"/>
          <w:sz w:val="24"/>
          <w:szCs w:val="24"/>
        </w:rPr>
        <w:t>), а так</w:t>
      </w:r>
      <w:r w:rsidR="00BA03FB" w:rsidRPr="00962FB5">
        <w:rPr>
          <w:rFonts w:ascii="Times New Roman" w:hAnsi="Times New Roman" w:cs="Times New Roman"/>
          <w:sz w:val="24"/>
          <w:szCs w:val="24"/>
        </w:rPr>
        <w:t>же проблемных (+144,5 млн руб., или +</w:t>
      </w:r>
      <w:r w:rsidR="00962FB5" w:rsidRPr="00962FB5">
        <w:rPr>
          <w:rFonts w:ascii="Times New Roman" w:hAnsi="Times New Roman" w:cs="Times New Roman"/>
          <w:sz w:val="24"/>
          <w:szCs w:val="24"/>
        </w:rPr>
        <w:t>36,0</w:t>
      </w:r>
      <w:r w:rsidR="00BA03FB" w:rsidRPr="00962FB5">
        <w:rPr>
          <w:rFonts w:ascii="Times New Roman" w:hAnsi="Times New Roman" w:cs="Times New Roman"/>
          <w:sz w:val="24"/>
          <w:szCs w:val="24"/>
        </w:rPr>
        <w:t>%)</w:t>
      </w:r>
      <w:r w:rsidRPr="00962FB5">
        <w:rPr>
          <w:rFonts w:ascii="Times New Roman" w:hAnsi="Times New Roman" w:cs="Times New Roman"/>
          <w:sz w:val="24"/>
          <w:szCs w:val="24"/>
        </w:rPr>
        <w:t>.</w:t>
      </w:r>
      <w:r w:rsidR="00BA03FB" w:rsidRPr="00962FB5">
        <w:rPr>
          <w:rFonts w:ascii="Times New Roman" w:hAnsi="Times New Roman" w:cs="Times New Roman"/>
          <w:sz w:val="24"/>
          <w:szCs w:val="24"/>
        </w:rPr>
        <w:t xml:space="preserve"> При этом стандартные ссуды возросли 84,1 млн руб., или на 2,5%.</w:t>
      </w:r>
      <w:r w:rsidRPr="00962FB5">
        <w:rPr>
          <w:rFonts w:ascii="Times New Roman" w:hAnsi="Times New Roman" w:cs="Times New Roman"/>
          <w:sz w:val="24"/>
          <w:szCs w:val="24"/>
        </w:rPr>
        <w:t xml:space="preserve"> </w:t>
      </w:r>
      <w:r w:rsidR="00D56677">
        <w:rPr>
          <w:rFonts w:ascii="Times New Roman" w:hAnsi="Times New Roman" w:cs="Times New Roman"/>
          <w:sz w:val="24"/>
          <w:szCs w:val="24"/>
        </w:rPr>
        <w:t>Одновременно снизил</w:t>
      </w:r>
      <w:r w:rsidR="009B1EFD" w:rsidRPr="00962FB5">
        <w:rPr>
          <w:rFonts w:ascii="Times New Roman" w:hAnsi="Times New Roman" w:cs="Times New Roman"/>
          <w:sz w:val="24"/>
          <w:szCs w:val="24"/>
        </w:rPr>
        <w:t xml:space="preserve">ся объём задолженности, классифицированной как сомнительная (-19,3%, или </w:t>
      </w:r>
      <w:r w:rsidR="00693D34">
        <w:rPr>
          <w:rFonts w:ascii="Times New Roman" w:hAnsi="Times New Roman" w:cs="Times New Roman"/>
          <w:sz w:val="24"/>
          <w:szCs w:val="24"/>
        </w:rPr>
        <w:br/>
      </w:r>
      <w:r w:rsidR="009B1EFD" w:rsidRPr="00962FB5">
        <w:rPr>
          <w:rFonts w:ascii="Times New Roman" w:hAnsi="Times New Roman" w:cs="Times New Roman"/>
          <w:sz w:val="24"/>
          <w:szCs w:val="24"/>
        </w:rPr>
        <w:t>-188,8 млн руб.) и безнадёжная (-10,1%, или -32,7 млн руб.). В результате</w:t>
      </w:r>
      <w:r w:rsidRPr="00962FB5">
        <w:rPr>
          <w:rFonts w:ascii="Times New Roman" w:hAnsi="Times New Roman" w:cs="Times New Roman"/>
          <w:sz w:val="24"/>
          <w:szCs w:val="24"/>
        </w:rPr>
        <w:t xml:space="preserve"> объём резервов на возможные потери по кредитам</w:t>
      </w:r>
      <w:r w:rsidR="009B1EFD" w:rsidRPr="00962FB5">
        <w:rPr>
          <w:rFonts w:ascii="Times New Roman" w:hAnsi="Times New Roman" w:cs="Times New Roman"/>
          <w:sz w:val="24"/>
          <w:szCs w:val="24"/>
        </w:rPr>
        <w:t xml:space="preserve"> п</w:t>
      </w:r>
      <w:r w:rsidRPr="00962FB5">
        <w:rPr>
          <w:rFonts w:ascii="Times New Roman" w:hAnsi="Times New Roman" w:cs="Times New Roman"/>
          <w:sz w:val="24"/>
          <w:szCs w:val="24"/>
        </w:rPr>
        <w:t>о отношению к начал</w:t>
      </w:r>
      <w:r w:rsidR="009B1EFD" w:rsidRPr="00962FB5">
        <w:rPr>
          <w:rFonts w:ascii="Times New Roman" w:hAnsi="Times New Roman" w:cs="Times New Roman"/>
          <w:sz w:val="24"/>
          <w:szCs w:val="24"/>
        </w:rPr>
        <w:t>у</w:t>
      </w:r>
      <w:r w:rsidRPr="00962FB5">
        <w:rPr>
          <w:rFonts w:ascii="Times New Roman" w:hAnsi="Times New Roman" w:cs="Times New Roman"/>
          <w:sz w:val="24"/>
          <w:szCs w:val="24"/>
        </w:rPr>
        <w:t xml:space="preserve"> 2019 года увеличился на 12,6% и сложился в сумме 610,2 млн руб., составив 10,4% общего объёма выданных кредитов и займов.</w:t>
      </w:r>
      <w:r w:rsidRPr="008A651D">
        <w:rPr>
          <w:rFonts w:ascii="Times New Roman" w:hAnsi="Times New Roman" w:cs="Times New Roman"/>
          <w:sz w:val="24"/>
          <w:szCs w:val="24"/>
        </w:rPr>
        <w:t xml:space="preserve"> </w:t>
      </w:r>
    </w:p>
    <w:p w14:paraId="4B59DCC2" w14:textId="77777777" w:rsidR="00D668EE" w:rsidRPr="008A651D" w:rsidRDefault="008A769A" w:rsidP="008A651D">
      <w:pPr>
        <w:autoSpaceDE w:val="0"/>
        <w:autoSpaceDN w:val="0"/>
        <w:adjustRightInd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К концу отчётного периода </w:t>
      </w:r>
      <w:r w:rsidR="00D668EE" w:rsidRPr="008A651D">
        <w:rPr>
          <w:rFonts w:ascii="Times New Roman" w:hAnsi="Times New Roman" w:cs="Times New Roman"/>
          <w:sz w:val="24"/>
          <w:szCs w:val="24"/>
        </w:rPr>
        <w:t>отмеч</w:t>
      </w:r>
      <w:r>
        <w:rPr>
          <w:rFonts w:ascii="Times New Roman" w:hAnsi="Times New Roman" w:cs="Times New Roman"/>
          <w:sz w:val="24"/>
          <w:szCs w:val="24"/>
        </w:rPr>
        <w:t>алось</w:t>
      </w:r>
      <w:r w:rsidR="00D668EE" w:rsidRPr="008A651D">
        <w:rPr>
          <w:rFonts w:ascii="Times New Roman" w:hAnsi="Times New Roman" w:cs="Times New Roman"/>
          <w:sz w:val="24"/>
          <w:szCs w:val="24"/>
        </w:rPr>
        <w:t xml:space="preserve"> накопление ликвидности</w:t>
      </w:r>
      <w:r>
        <w:rPr>
          <w:rFonts w:ascii="Times New Roman" w:hAnsi="Times New Roman" w:cs="Times New Roman"/>
          <w:sz w:val="24"/>
          <w:szCs w:val="24"/>
        </w:rPr>
        <w:t xml:space="preserve"> на корреспондентских счетах банков: остатки на них </w:t>
      </w:r>
      <w:r w:rsidR="00D668EE" w:rsidRPr="008A651D">
        <w:rPr>
          <w:rFonts w:ascii="Times New Roman" w:hAnsi="Times New Roman" w:cs="Times New Roman"/>
          <w:sz w:val="24"/>
          <w:szCs w:val="24"/>
        </w:rPr>
        <w:t xml:space="preserve">расширились </w:t>
      </w:r>
      <w:r w:rsidR="006A4E34">
        <w:rPr>
          <w:rFonts w:ascii="Times New Roman" w:hAnsi="Times New Roman" w:cs="Times New Roman"/>
          <w:sz w:val="24"/>
          <w:szCs w:val="24"/>
        </w:rPr>
        <w:t>на 62,4%</w:t>
      </w:r>
      <w:r w:rsidR="00D668EE" w:rsidRPr="008A651D">
        <w:rPr>
          <w:rFonts w:ascii="Times New Roman" w:hAnsi="Times New Roman" w:cs="Times New Roman"/>
          <w:sz w:val="24"/>
          <w:szCs w:val="24"/>
        </w:rPr>
        <w:t xml:space="preserve"> и на 1 января 2020 года составили </w:t>
      </w:r>
      <w:r w:rsidR="00693D34">
        <w:rPr>
          <w:rFonts w:ascii="Times New Roman" w:hAnsi="Times New Roman" w:cs="Times New Roman"/>
          <w:sz w:val="24"/>
          <w:szCs w:val="24"/>
        </w:rPr>
        <w:br/>
      </w:r>
      <w:r w:rsidR="00D668EE" w:rsidRPr="008A651D">
        <w:rPr>
          <w:rFonts w:ascii="Times New Roman" w:hAnsi="Times New Roman" w:cs="Times New Roman"/>
          <w:sz w:val="24"/>
          <w:szCs w:val="24"/>
        </w:rPr>
        <w:t>2 369,4 млн руб., или 24,3% совокупных активов. Главным фактором данной динами</w:t>
      </w:r>
      <w:r>
        <w:rPr>
          <w:rFonts w:ascii="Times New Roman" w:hAnsi="Times New Roman" w:cs="Times New Roman"/>
          <w:sz w:val="24"/>
          <w:szCs w:val="24"/>
        </w:rPr>
        <w:t>ки явилось пополнение счетов в центральном банке</w:t>
      </w:r>
      <w:r w:rsidR="00D668EE" w:rsidRPr="008A651D">
        <w:rPr>
          <w:rFonts w:ascii="Times New Roman" w:hAnsi="Times New Roman" w:cs="Times New Roman"/>
          <w:sz w:val="24"/>
          <w:szCs w:val="24"/>
        </w:rPr>
        <w:t xml:space="preserve"> на 806,9 млн руб., до 1 745,5 млн руб. </w:t>
      </w:r>
      <w:r>
        <w:rPr>
          <w:rFonts w:ascii="Times New Roman" w:hAnsi="Times New Roman" w:cs="Times New Roman"/>
          <w:sz w:val="24"/>
          <w:szCs w:val="24"/>
        </w:rPr>
        <w:t>В их числе</w:t>
      </w:r>
      <w:r w:rsidR="00D668EE" w:rsidRPr="008A651D">
        <w:rPr>
          <w:rFonts w:ascii="Times New Roman" w:hAnsi="Times New Roman" w:cs="Times New Roman"/>
          <w:sz w:val="24"/>
          <w:szCs w:val="24"/>
        </w:rPr>
        <w:t xml:space="preserve"> неснижаемые остатки в фонде обязательного резервирования и страховом фонде по отношению к значению на начало отчётного года увеличились на 9,4%, до 728,9 млн руб., вследствие расширения обязательств, входящих в расчётную базу. Сумма средств, размещённых на корсчетах в других коммерческих банках, возросла на 109,9 млн руб., до 632,1 млн руб. </w:t>
      </w:r>
    </w:p>
    <w:p w14:paraId="5176E6ED" w14:textId="77777777" w:rsidR="00D668EE" w:rsidRPr="00D872FB" w:rsidRDefault="008A769A" w:rsidP="008A651D">
      <w:pPr>
        <w:autoSpaceDE w:val="0"/>
        <w:autoSpaceDN w:val="0"/>
        <w:adjustRightInd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Результатом явилось значительное превышение показателя мгновенной ликвидности над нормативным значением </w:t>
      </w:r>
      <w:r w:rsidRPr="008A651D">
        <w:rPr>
          <w:rFonts w:ascii="Times New Roman" w:hAnsi="Times New Roman" w:cs="Times New Roman"/>
          <w:sz w:val="24"/>
          <w:szCs w:val="24"/>
        </w:rPr>
        <w:t>– 96,1% (при нормативном значении – min 20%)</w:t>
      </w:r>
      <w:r>
        <w:rPr>
          <w:rFonts w:ascii="Times New Roman" w:hAnsi="Times New Roman" w:cs="Times New Roman"/>
          <w:sz w:val="24"/>
          <w:szCs w:val="24"/>
        </w:rPr>
        <w:t xml:space="preserve">. Выше требуемого уровня находились и показатели </w:t>
      </w:r>
      <w:r w:rsidRPr="008A651D">
        <w:rPr>
          <w:rFonts w:ascii="Times New Roman" w:hAnsi="Times New Roman" w:cs="Times New Roman"/>
          <w:sz w:val="24"/>
          <w:szCs w:val="24"/>
        </w:rPr>
        <w:t>текущ</w:t>
      </w:r>
      <w:r>
        <w:rPr>
          <w:rFonts w:ascii="Times New Roman" w:hAnsi="Times New Roman" w:cs="Times New Roman"/>
          <w:sz w:val="24"/>
          <w:szCs w:val="24"/>
        </w:rPr>
        <w:t>ей</w:t>
      </w:r>
      <w:r w:rsidRPr="008A651D">
        <w:rPr>
          <w:rFonts w:ascii="Times New Roman" w:hAnsi="Times New Roman" w:cs="Times New Roman"/>
          <w:sz w:val="24"/>
          <w:szCs w:val="24"/>
        </w:rPr>
        <w:t xml:space="preserve"> – 104,1% (min 50% соответственно) и долгосрочн</w:t>
      </w:r>
      <w:r>
        <w:rPr>
          <w:rFonts w:ascii="Times New Roman" w:hAnsi="Times New Roman" w:cs="Times New Roman"/>
          <w:sz w:val="24"/>
          <w:szCs w:val="24"/>
        </w:rPr>
        <w:t>ой</w:t>
      </w:r>
      <w:r w:rsidRPr="008A651D">
        <w:rPr>
          <w:rFonts w:ascii="Times New Roman" w:hAnsi="Times New Roman" w:cs="Times New Roman"/>
          <w:sz w:val="24"/>
          <w:szCs w:val="24"/>
        </w:rPr>
        <w:t xml:space="preserve"> – 65,8% (max 120%)</w:t>
      </w:r>
      <w:r>
        <w:rPr>
          <w:rFonts w:ascii="Times New Roman" w:hAnsi="Times New Roman" w:cs="Times New Roman"/>
          <w:sz w:val="24"/>
          <w:szCs w:val="24"/>
        </w:rPr>
        <w:t xml:space="preserve"> ликвидности банковского сектора. При этом в соотношении активов и обязательств в разрезе валюты номинирования продолжал наблюдаться существенный дисбаланс.</w:t>
      </w:r>
      <w:r w:rsidR="00D872FB">
        <w:rPr>
          <w:rFonts w:ascii="Times New Roman" w:hAnsi="Times New Roman" w:cs="Times New Roman"/>
          <w:sz w:val="24"/>
          <w:szCs w:val="24"/>
        </w:rPr>
        <w:t xml:space="preserve"> </w:t>
      </w:r>
      <w:r w:rsidR="00D872FB" w:rsidRPr="00543603">
        <w:rPr>
          <w:rFonts w:ascii="Times New Roman" w:hAnsi="Times New Roman" w:cs="Times New Roman"/>
          <w:sz w:val="24"/>
          <w:szCs w:val="24"/>
        </w:rPr>
        <w:t>Несмотря на то, что валютные позиции находились в пределах требуемых нормативных значений</w:t>
      </w:r>
      <w:r w:rsidR="00D872FB" w:rsidRPr="00D872FB">
        <w:rPr>
          <w:rFonts w:ascii="Times New Roman" w:hAnsi="Times New Roman" w:cs="Times New Roman"/>
          <w:sz w:val="24"/>
          <w:szCs w:val="24"/>
        </w:rPr>
        <w:t>,</w:t>
      </w:r>
      <w:r w:rsidR="00D872FB" w:rsidRPr="00543603">
        <w:rPr>
          <w:rFonts w:ascii="Times New Roman" w:hAnsi="Times New Roman" w:cs="Times New Roman"/>
          <w:sz w:val="24"/>
          <w:szCs w:val="24"/>
        </w:rPr>
        <w:t xml:space="preserve"> объём клиентской базы, номинированный в иностранной валюте, на </w:t>
      </w:r>
      <w:r w:rsidR="006E03F2" w:rsidRPr="00543603">
        <w:rPr>
          <w:rFonts w:ascii="Times New Roman" w:hAnsi="Times New Roman" w:cs="Times New Roman"/>
          <w:sz w:val="24"/>
          <w:szCs w:val="24"/>
        </w:rPr>
        <w:t xml:space="preserve">2 614,1 </w:t>
      </w:r>
      <w:r w:rsidR="00D872FB" w:rsidRPr="00543603">
        <w:rPr>
          <w:rFonts w:ascii="Times New Roman" w:hAnsi="Times New Roman" w:cs="Times New Roman"/>
          <w:sz w:val="24"/>
          <w:szCs w:val="24"/>
        </w:rPr>
        <w:t xml:space="preserve">млн руб., или </w:t>
      </w:r>
      <w:r w:rsidR="002F3375" w:rsidRPr="00543603">
        <w:rPr>
          <w:rFonts w:ascii="Times New Roman" w:hAnsi="Times New Roman" w:cs="Times New Roman"/>
          <w:sz w:val="24"/>
          <w:szCs w:val="24"/>
        </w:rPr>
        <w:t xml:space="preserve">на </w:t>
      </w:r>
      <w:r w:rsidR="006E03F2" w:rsidRPr="00543603">
        <w:rPr>
          <w:rFonts w:ascii="Times New Roman" w:hAnsi="Times New Roman" w:cs="Times New Roman"/>
          <w:sz w:val="24"/>
          <w:szCs w:val="24"/>
        </w:rPr>
        <w:t>95,0</w:t>
      </w:r>
      <w:r w:rsidR="00D872FB" w:rsidRPr="00543603">
        <w:rPr>
          <w:rFonts w:ascii="Times New Roman" w:hAnsi="Times New Roman" w:cs="Times New Roman"/>
          <w:sz w:val="24"/>
          <w:szCs w:val="24"/>
        </w:rPr>
        <w:t>% превышал аналогичные активы.</w:t>
      </w:r>
    </w:p>
    <w:p w14:paraId="5985F3E1" w14:textId="77777777" w:rsidR="00D668EE" w:rsidRPr="008A651D" w:rsidRDefault="00D872FB" w:rsidP="008A651D">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Финансовые результаты деятельности банковской системы</w:t>
      </w:r>
      <w:r w:rsidR="00D668EE" w:rsidRPr="00543603">
        <w:rPr>
          <w:rFonts w:ascii="Times New Roman" w:hAnsi="Times New Roman" w:cs="Times New Roman"/>
          <w:sz w:val="24"/>
          <w:szCs w:val="24"/>
        </w:rPr>
        <w:t xml:space="preserve"> в 2019 году характеризовались формированием </w:t>
      </w:r>
      <w:r w:rsidR="00D668EE" w:rsidRPr="008A651D">
        <w:rPr>
          <w:rFonts w:ascii="Times New Roman" w:hAnsi="Times New Roman" w:cs="Times New Roman"/>
          <w:color w:val="000000"/>
          <w:sz w:val="24"/>
          <w:szCs w:val="24"/>
        </w:rPr>
        <w:t>чистой прибыли в размере 156,5 млн руб.</w:t>
      </w:r>
      <w:r w:rsidR="00D668EE" w:rsidRPr="008A651D">
        <w:rPr>
          <w:rFonts w:ascii="Times New Roman" w:hAnsi="Times New Roman" w:cs="Times New Roman"/>
          <w:sz w:val="24"/>
          <w:szCs w:val="24"/>
        </w:rPr>
        <w:t xml:space="preserve"> Коммерческие банки получили чистый процентный доход в сумме 228,8 млн руб., что на 62,8 млн руб. (+37,8%) больше, чем год назад. Это обусловлено увеличением п</w:t>
      </w:r>
      <w:r w:rsidR="00D668EE" w:rsidRPr="008A651D">
        <w:rPr>
          <w:rFonts w:ascii="Times New Roman" w:hAnsi="Times New Roman" w:cs="Times New Roman"/>
          <w:color w:val="000000"/>
          <w:sz w:val="24"/>
          <w:szCs w:val="24"/>
        </w:rPr>
        <w:t>роцентных доходов на 63,3 млн руб. (+16,</w:t>
      </w:r>
      <w:r w:rsidR="006F5A79">
        <w:rPr>
          <w:rFonts w:ascii="Times New Roman" w:hAnsi="Times New Roman" w:cs="Times New Roman"/>
          <w:color w:val="000000"/>
          <w:sz w:val="24"/>
          <w:szCs w:val="24"/>
        </w:rPr>
        <w:t>8</w:t>
      </w:r>
      <w:r w:rsidR="00D668EE" w:rsidRPr="008A651D">
        <w:rPr>
          <w:rFonts w:ascii="Times New Roman" w:hAnsi="Times New Roman" w:cs="Times New Roman"/>
          <w:sz w:val="24"/>
          <w:szCs w:val="24"/>
        </w:rPr>
        <w:t xml:space="preserve">%), до 440,0 млн руб., при </w:t>
      </w:r>
      <w:r>
        <w:rPr>
          <w:rFonts w:ascii="Times New Roman" w:hAnsi="Times New Roman" w:cs="Times New Roman"/>
          <w:sz w:val="24"/>
          <w:szCs w:val="24"/>
        </w:rPr>
        <w:t>незначительном</w:t>
      </w:r>
      <w:r w:rsidR="00D668EE" w:rsidRPr="008A651D">
        <w:rPr>
          <w:rFonts w:ascii="Times New Roman" w:hAnsi="Times New Roman" w:cs="Times New Roman"/>
          <w:sz w:val="24"/>
          <w:szCs w:val="24"/>
        </w:rPr>
        <w:t xml:space="preserve"> рост</w:t>
      </w:r>
      <w:r>
        <w:rPr>
          <w:rFonts w:ascii="Times New Roman" w:hAnsi="Times New Roman" w:cs="Times New Roman"/>
          <w:sz w:val="24"/>
          <w:szCs w:val="24"/>
        </w:rPr>
        <w:t>е</w:t>
      </w:r>
      <w:r w:rsidR="00D668EE" w:rsidRPr="008A651D">
        <w:rPr>
          <w:rFonts w:ascii="Times New Roman" w:hAnsi="Times New Roman" w:cs="Times New Roman"/>
          <w:sz w:val="24"/>
          <w:szCs w:val="24"/>
        </w:rPr>
        <w:t xml:space="preserve"> процентных расходов (+0,5 млн руб., или +0,2%, до 211,2 млн руб.).</w:t>
      </w:r>
    </w:p>
    <w:p w14:paraId="02E9DA28" w14:textId="77777777" w:rsidR="00D668EE" w:rsidRPr="008A651D" w:rsidRDefault="00D668EE" w:rsidP="008A651D">
      <w:pPr>
        <w:widowControl w:val="0"/>
        <w:spacing w:before="0" w:after="0" w:line="240" w:lineRule="auto"/>
        <w:ind w:firstLine="425"/>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 xml:space="preserve">Порядка 62% </w:t>
      </w:r>
      <w:r w:rsidRPr="008A651D">
        <w:rPr>
          <w:rFonts w:ascii="Times New Roman" w:hAnsi="Times New Roman" w:cs="Times New Roman"/>
          <w:color w:val="000000" w:themeColor="text1"/>
          <w:sz w:val="24"/>
          <w:szCs w:val="24"/>
        </w:rPr>
        <w:t>чистого процентного дохода было сформировано за счёт результата от кредитно-депозитных операций с хозяйствующими субъектами</w:t>
      </w:r>
      <w:r w:rsidR="00D872FB">
        <w:rPr>
          <w:rFonts w:ascii="Times New Roman" w:hAnsi="Times New Roman" w:cs="Times New Roman"/>
          <w:color w:val="000000" w:themeColor="text1"/>
          <w:sz w:val="24"/>
          <w:szCs w:val="24"/>
        </w:rPr>
        <w:t xml:space="preserve">, который составил </w:t>
      </w:r>
      <w:r w:rsidR="00693D34">
        <w:rPr>
          <w:rFonts w:ascii="Times New Roman" w:hAnsi="Times New Roman" w:cs="Times New Roman"/>
          <w:color w:val="000000" w:themeColor="text1"/>
          <w:sz w:val="24"/>
          <w:szCs w:val="24"/>
        </w:rPr>
        <w:br/>
      </w:r>
      <w:r w:rsidRPr="008A651D">
        <w:rPr>
          <w:rFonts w:ascii="Times New Roman" w:hAnsi="Times New Roman" w:cs="Times New Roman"/>
          <w:color w:val="000000" w:themeColor="text1"/>
          <w:sz w:val="24"/>
          <w:szCs w:val="24"/>
        </w:rPr>
        <w:t xml:space="preserve">140,9 млн руб., что на 17,6 млн руб. (+14,3%) больше, чем в предыдущем году. </w:t>
      </w:r>
      <w:r w:rsidRPr="008A651D">
        <w:rPr>
          <w:rFonts w:ascii="Times New Roman" w:hAnsi="Times New Roman" w:cs="Times New Roman"/>
          <w:color w:val="000000"/>
          <w:sz w:val="24"/>
          <w:szCs w:val="24"/>
        </w:rPr>
        <w:t>Вместе с тем розничн</w:t>
      </w:r>
      <w:r w:rsidR="00D872FB">
        <w:rPr>
          <w:rFonts w:ascii="Times New Roman" w:hAnsi="Times New Roman" w:cs="Times New Roman"/>
          <w:color w:val="000000"/>
          <w:sz w:val="24"/>
          <w:szCs w:val="24"/>
        </w:rPr>
        <w:t>ый</w:t>
      </w:r>
      <w:r w:rsidRPr="008A651D">
        <w:rPr>
          <w:rFonts w:ascii="Times New Roman" w:hAnsi="Times New Roman" w:cs="Times New Roman"/>
          <w:color w:val="000000"/>
          <w:sz w:val="24"/>
          <w:szCs w:val="24"/>
        </w:rPr>
        <w:t xml:space="preserve"> сегмент </w:t>
      </w:r>
      <w:r w:rsidR="00D872FB">
        <w:rPr>
          <w:rFonts w:ascii="Times New Roman" w:hAnsi="Times New Roman" w:cs="Times New Roman"/>
          <w:color w:val="000000"/>
          <w:sz w:val="24"/>
          <w:szCs w:val="24"/>
        </w:rPr>
        <w:t>принёс банкам</w:t>
      </w:r>
      <w:r w:rsidRPr="008A651D">
        <w:rPr>
          <w:rFonts w:ascii="Times New Roman" w:hAnsi="Times New Roman" w:cs="Times New Roman"/>
          <w:color w:val="000000"/>
          <w:sz w:val="24"/>
          <w:szCs w:val="24"/>
        </w:rPr>
        <w:t xml:space="preserve"> чистый процентный доход </w:t>
      </w:r>
      <w:r w:rsidRPr="006530FA">
        <w:rPr>
          <w:rFonts w:ascii="Times New Roman" w:hAnsi="Times New Roman" w:cs="Times New Roman"/>
          <w:color w:val="000000"/>
          <w:sz w:val="24"/>
          <w:szCs w:val="24"/>
        </w:rPr>
        <w:t xml:space="preserve">в размере 74,3 млн руб., что </w:t>
      </w:r>
      <w:r w:rsidR="00D872FB" w:rsidRPr="006530FA">
        <w:rPr>
          <w:rFonts w:ascii="Times New Roman" w:hAnsi="Times New Roman" w:cs="Times New Roman"/>
          <w:color w:val="000000"/>
          <w:sz w:val="24"/>
          <w:szCs w:val="24"/>
        </w:rPr>
        <w:t xml:space="preserve">на </w:t>
      </w:r>
      <w:r w:rsidR="006530FA" w:rsidRPr="006530FA">
        <w:rPr>
          <w:rFonts w:ascii="Times New Roman" w:hAnsi="Times New Roman" w:cs="Times New Roman"/>
          <w:color w:val="000000"/>
          <w:sz w:val="24"/>
          <w:szCs w:val="24"/>
        </w:rPr>
        <w:t>93,7</w:t>
      </w:r>
      <w:r w:rsidR="00D872FB" w:rsidRPr="006530FA">
        <w:rPr>
          <w:rFonts w:ascii="Times New Roman" w:hAnsi="Times New Roman" w:cs="Times New Roman"/>
          <w:color w:val="000000"/>
          <w:sz w:val="24"/>
          <w:szCs w:val="24"/>
        </w:rPr>
        <w:t xml:space="preserve">% </w:t>
      </w:r>
      <w:r w:rsidRPr="006530FA">
        <w:rPr>
          <w:rFonts w:ascii="Times New Roman" w:hAnsi="Times New Roman" w:cs="Times New Roman"/>
          <w:color w:val="000000"/>
          <w:sz w:val="24"/>
          <w:szCs w:val="24"/>
        </w:rPr>
        <w:t>больше базисного значения.</w:t>
      </w:r>
    </w:p>
    <w:p w14:paraId="6062D4B8" w14:textId="77777777" w:rsidR="00D668EE" w:rsidRPr="008A651D" w:rsidRDefault="00D872FB" w:rsidP="008A651D">
      <w:pPr>
        <w:pStyle w:val="aa"/>
        <w:spacing w:before="0" w:after="0" w:line="240" w:lineRule="auto"/>
        <w:ind w:firstLine="426"/>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Расширением объёмов кредитования, в том числе и межбанковского, способствовавшим росту доходов, на фоне сокращения процентных расходов</w:t>
      </w:r>
      <w:r>
        <w:rPr>
          <w:rFonts w:ascii="Times New Roman" w:hAnsi="Times New Roman" w:cs="Times New Roman"/>
          <w:color w:val="000000"/>
          <w:sz w:val="24"/>
          <w:szCs w:val="24"/>
        </w:rPr>
        <w:t xml:space="preserve"> способствовало повышению</w:t>
      </w:r>
      <w:r w:rsidR="00D668EE" w:rsidRPr="008A651D">
        <w:rPr>
          <w:rFonts w:ascii="Times New Roman" w:hAnsi="Times New Roman" w:cs="Times New Roman"/>
          <w:color w:val="000000"/>
          <w:sz w:val="24"/>
          <w:szCs w:val="24"/>
        </w:rPr>
        <w:t xml:space="preserve"> спреда процентных доходов и расходов</w:t>
      </w:r>
      <w:r w:rsidR="00D668EE" w:rsidRPr="008A651D">
        <w:rPr>
          <w:rStyle w:val="ae"/>
          <w:rFonts w:ascii="Times New Roman" w:hAnsi="Times New Roman"/>
          <w:color w:val="000000"/>
          <w:sz w:val="24"/>
          <w:szCs w:val="24"/>
        </w:rPr>
        <w:footnoteReference w:id="19"/>
      </w:r>
      <w:r w:rsidR="00D668EE" w:rsidRPr="008A651D">
        <w:rPr>
          <w:rFonts w:ascii="Times New Roman" w:hAnsi="Times New Roman" w:cs="Times New Roman"/>
          <w:color w:val="000000"/>
          <w:sz w:val="24"/>
          <w:szCs w:val="24"/>
        </w:rPr>
        <w:t xml:space="preserve">, являющегося обобщающим показателем эффективности проводимых процентных операций. По итогам 2019 года в целом по банковской системе он повысился на 0,6 </w:t>
      </w:r>
      <w:r w:rsidR="00EE4DE8">
        <w:rPr>
          <w:rFonts w:ascii="Times New Roman" w:hAnsi="Times New Roman" w:cs="Times New Roman"/>
          <w:color w:val="000000"/>
          <w:sz w:val="24"/>
          <w:szCs w:val="24"/>
        </w:rPr>
        <w:t xml:space="preserve">п.п., </w:t>
      </w:r>
      <w:r w:rsidR="00D668EE" w:rsidRPr="008A651D">
        <w:rPr>
          <w:rFonts w:ascii="Times New Roman" w:hAnsi="Times New Roman" w:cs="Times New Roman"/>
          <w:color w:val="000000"/>
          <w:sz w:val="24"/>
          <w:szCs w:val="24"/>
        </w:rPr>
        <w:t>до 6,2</w:t>
      </w:r>
      <w:r w:rsidR="00EE4DE8">
        <w:rPr>
          <w:rFonts w:ascii="Times New Roman" w:hAnsi="Times New Roman" w:cs="Times New Roman"/>
          <w:color w:val="000000"/>
          <w:sz w:val="24"/>
          <w:szCs w:val="24"/>
        </w:rPr>
        <w:t>%.</w:t>
      </w:r>
    </w:p>
    <w:p w14:paraId="4A878CC8" w14:textId="77777777" w:rsidR="00D668EE" w:rsidRDefault="00D872FB" w:rsidP="008A651D">
      <w:pPr>
        <w:widowControl w:val="0"/>
        <w:spacing w:before="0" w:after="0" w:line="240" w:lineRule="auto"/>
        <w:ind w:firstLine="425"/>
        <w:jc w:val="both"/>
        <w:rPr>
          <w:rFonts w:ascii="Times New Roman" w:hAnsi="Times New Roman" w:cs="Times New Roman"/>
          <w:color w:val="000000"/>
          <w:sz w:val="24"/>
          <w:szCs w:val="24"/>
        </w:rPr>
      </w:pPr>
      <w:r w:rsidRPr="008A651D">
        <w:rPr>
          <w:rFonts w:ascii="Times New Roman" w:hAnsi="Times New Roman" w:cs="Times New Roman"/>
          <w:color w:val="000000"/>
          <w:sz w:val="24"/>
          <w:szCs w:val="24"/>
        </w:rPr>
        <w:t xml:space="preserve">Чистый </w:t>
      </w:r>
      <w:r w:rsidR="00D668EE" w:rsidRPr="008A651D">
        <w:rPr>
          <w:rFonts w:ascii="Times New Roman" w:hAnsi="Times New Roman" w:cs="Times New Roman"/>
          <w:color w:val="000000"/>
          <w:sz w:val="24"/>
          <w:szCs w:val="24"/>
        </w:rPr>
        <w:t>доход от совершения конверсионных операций составил 139,2 млн руб., что на 20,9%, или на 24,1 млн руб., больше, чем в</w:t>
      </w:r>
      <w:r>
        <w:rPr>
          <w:rFonts w:ascii="Times New Roman" w:hAnsi="Times New Roman" w:cs="Times New Roman"/>
          <w:color w:val="000000"/>
          <w:sz w:val="24"/>
          <w:szCs w:val="24"/>
        </w:rPr>
        <w:t xml:space="preserve"> </w:t>
      </w:r>
      <w:r w:rsidR="00D668EE" w:rsidRPr="008A651D">
        <w:rPr>
          <w:rFonts w:ascii="Times New Roman" w:hAnsi="Times New Roman" w:cs="Times New Roman"/>
          <w:color w:val="000000"/>
          <w:sz w:val="24"/>
          <w:szCs w:val="24"/>
        </w:rPr>
        <w:t xml:space="preserve">2018 году. </w:t>
      </w:r>
      <w:r w:rsidR="00D668EE" w:rsidRPr="008A651D">
        <w:rPr>
          <w:rFonts w:ascii="Times New Roman" w:hAnsi="Times New Roman" w:cs="Times New Roman"/>
          <w:sz w:val="24"/>
          <w:szCs w:val="24"/>
        </w:rPr>
        <w:t xml:space="preserve">Чистый комиссионный доход за отчётный период </w:t>
      </w:r>
      <w:r>
        <w:rPr>
          <w:rFonts w:ascii="Times New Roman" w:hAnsi="Times New Roman" w:cs="Times New Roman"/>
          <w:sz w:val="24"/>
          <w:szCs w:val="24"/>
        </w:rPr>
        <w:t>увеличился</w:t>
      </w:r>
      <w:r w:rsidR="00D668EE" w:rsidRPr="008A651D">
        <w:rPr>
          <w:rFonts w:ascii="Times New Roman" w:hAnsi="Times New Roman" w:cs="Times New Roman"/>
          <w:sz w:val="24"/>
          <w:szCs w:val="24"/>
        </w:rPr>
        <w:t xml:space="preserve"> на 6,3%, до 173,9 млн руб. </w:t>
      </w:r>
      <w:r w:rsidR="00D668EE" w:rsidRPr="008A651D">
        <w:rPr>
          <w:rFonts w:ascii="Times New Roman" w:hAnsi="Times New Roman" w:cs="Times New Roman"/>
          <w:color w:val="000000"/>
          <w:sz w:val="24"/>
          <w:szCs w:val="24"/>
        </w:rPr>
        <w:t>Ключевые направления роста доходов – расчётно-кассовые и «карточные» операции с физическими и юридическими лицами – обусловлены повышением деловой активности и расширением финансовой доступности банковских услуг.</w:t>
      </w:r>
    </w:p>
    <w:p w14:paraId="269158A8" w14:textId="77777777" w:rsidR="0083024B" w:rsidRPr="008A651D" w:rsidRDefault="0083024B" w:rsidP="008A651D">
      <w:pPr>
        <w:widowControl w:val="0"/>
        <w:spacing w:before="0" w:after="0" w:line="240" w:lineRule="auto"/>
        <w:ind w:firstLine="425"/>
        <w:jc w:val="both"/>
        <w:rPr>
          <w:rFonts w:ascii="Times New Roman" w:hAnsi="Times New Roman" w:cs="Times New Roman"/>
          <w:color w:val="000000"/>
          <w:sz w:val="24"/>
          <w:szCs w:val="24"/>
        </w:rPr>
      </w:pPr>
    </w:p>
    <w:p w14:paraId="6285CE92" w14:textId="77777777" w:rsidR="00790507" w:rsidRPr="00071AA5" w:rsidRDefault="00790507" w:rsidP="009F218F">
      <w:pPr>
        <w:pStyle w:val="2"/>
        <w:rPr>
          <w:rFonts w:ascii="Times New Roman" w:hAnsi="Times New Roman" w:cs="Times New Roman"/>
          <w:b/>
          <w:noProof/>
        </w:rPr>
      </w:pPr>
      <w:r w:rsidRPr="004D7D79">
        <w:rPr>
          <w:b/>
          <w:noProof/>
        </w:rPr>
        <w:t>Страховой рынок</w:t>
      </w:r>
    </w:p>
    <w:p w14:paraId="401440B6" w14:textId="77777777" w:rsidR="00596112" w:rsidRDefault="00596112" w:rsidP="00102848">
      <w:pPr>
        <w:spacing w:before="0" w:after="0" w:line="240" w:lineRule="auto"/>
        <w:ind w:firstLine="425"/>
        <w:jc w:val="both"/>
        <w:rPr>
          <w:rFonts w:ascii="Times New Roman" w:eastAsia="Times New Roman" w:hAnsi="Times New Roman" w:cs="Times New Roman"/>
          <w:color w:val="000000"/>
          <w:sz w:val="24"/>
          <w:szCs w:val="22"/>
        </w:rPr>
      </w:pPr>
    </w:p>
    <w:p w14:paraId="76BD6030" w14:textId="4118CDDA" w:rsidR="00102848" w:rsidRPr="00102848" w:rsidRDefault="00102848" w:rsidP="00102848">
      <w:pPr>
        <w:spacing w:before="0" w:after="0" w:line="240" w:lineRule="auto"/>
        <w:ind w:firstLine="425"/>
        <w:jc w:val="both"/>
        <w:rPr>
          <w:rFonts w:ascii="Times New Roman" w:eastAsia="Times New Roman" w:hAnsi="Times New Roman" w:cs="Times New Roman"/>
          <w:color w:val="000000"/>
          <w:sz w:val="24"/>
          <w:szCs w:val="22"/>
        </w:rPr>
      </w:pPr>
      <w:r w:rsidRPr="00102848">
        <w:rPr>
          <w:rFonts w:ascii="Times New Roman" w:eastAsia="Times New Roman" w:hAnsi="Times New Roman" w:cs="Times New Roman"/>
          <w:color w:val="000000"/>
          <w:sz w:val="24"/>
          <w:szCs w:val="22"/>
        </w:rPr>
        <w:t>Развитие институциональной структуры страхового рынка в 2019 году характеризовалось сокращением количества действующих страховых компаний в связи с реорганизаци</w:t>
      </w:r>
      <w:r w:rsidR="004A0061">
        <w:rPr>
          <w:rFonts w:ascii="Times New Roman" w:eastAsia="Times New Roman" w:hAnsi="Times New Roman" w:cs="Times New Roman"/>
          <w:color w:val="000000"/>
          <w:sz w:val="24"/>
          <w:szCs w:val="22"/>
        </w:rPr>
        <w:t>ей</w:t>
      </w:r>
      <w:r w:rsidRPr="00102848">
        <w:rPr>
          <w:rFonts w:ascii="Times New Roman" w:eastAsia="Times New Roman" w:hAnsi="Times New Roman" w:cs="Times New Roman"/>
          <w:color w:val="000000"/>
          <w:sz w:val="24"/>
          <w:szCs w:val="22"/>
        </w:rPr>
        <w:t xml:space="preserve"> </w:t>
      </w:r>
      <w:r w:rsidR="00596112">
        <w:rPr>
          <w:rFonts w:ascii="Times New Roman" w:eastAsia="Times New Roman" w:hAnsi="Times New Roman" w:cs="Times New Roman"/>
          <w:color w:val="000000"/>
          <w:sz w:val="24"/>
          <w:szCs w:val="22"/>
        </w:rPr>
        <w:br/>
      </w:r>
      <w:r w:rsidRPr="00102848">
        <w:rPr>
          <w:rFonts w:ascii="Times New Roman" w:eastAsia="Times New Roman" w:hAnsi="Times New Roman" w:cs="Times New Roman"/>
          <w:color w:val="000000"/>
          <w:sz w:val="24"/>
          <w:szCs w:val="22"/>
        </w:rPr>
        <w:t>ЗАО «</w:t>
      </w:r>
      <w:r w:rsidR="004A0061" w:rsidRPr="004A0061">
        <w:rPr>
          <w:rFonts w:ascii="Times New Roman" w:eastAsia="Times New Roman" w:hAnsi="Times New Roman" w:cs="Times New Roman"/>
          <w:color w:val="000000"/>
          <w:sz w:val="24"/>
          <w:szCs w:val="22"/>
        </w:rPr>
        <w:t>СБ-</w:t>
      </w:r>
      <w:r w:rsidR="006F5A79" w:rsidRPr="004A0061">
        <w:rPr>
          <w:rFonts w:ascii="Times New Roman" w:eastAsia="Times New Roman" w:hAnsi="Times New Roman" w:cs="Times New Roman"/>
          <w:color w:val="000000"/>
          <w:sz w:val="24"/>
          <w:szCs w:val="22"/>
        </w:rPr>
        <w:t xml:space="preserve">Универсальные </w:t>
      </w:r>
      <w:r w:rsidR="004A0061" w:rsidRPr="004A0061">
        <w:rPr>
          <w:rFonts w:ascii="Times New Roman" w:eastAsia="Times New Roman" w:hAnsi="Times New Roman" w:cs="Times New Roman"/>
          <w:color w:val="000000"/>
          <w:sz w:val="24"/>
          <w:szCs w:val="22"/>
        </w:rPr>
        <w:t>системы страхования</w:t>
      </w:r>
      <w:r w:rsidRPr="00102848">
        <w:rPr>
          <w:rFonts w:ascii="Times New Roman" w:eastAsia="Times New Roman" w:hAnsi="Times New Roman" w:cs="Times New Roman"/>
          <w:color w:val="000000"/>
          <w:sz w:val="24"/>
          <w:szCs w:val="22"/>
        </w:rPr>
        <w:t>» путём присоединения к ЗАО «СК «Арион»». В результате, по состоянию на 1 января 2020 года на территории республики функционировали две страховые организации. Средняя численность занятых в данной отрасли составила 62 человека, из которых 11 – страховые агенты.</w:t>
      </w:r>
    </w:p>
    <w:p w14:paraId="5A201336" w14:textId="77777777" w:rsidR="00102848" w:rsidRPr="00102848" w:rsidRDefault="008E49AA" w:rsidP="00102848">
      <w:pPr>
        <w:spacing w:before="0" w:after="0" w:line="240" w:lineRule="auto"/>
        <w:ind w:firstLine="425"/>
        <w:jc w:val="both"/>
        <w:rPr>
          <w:rFonts w:ascii="Times New Roman" w:eastAsia="Times New Roman" w:hAnsi="Times New Roman" w:cs="Times New Roman"/>
          <w:color w:val="000000"/>
          <w:sz w:val="24"/>
          <w:szCs w:val="22"/>
        </w:rPr>
      </w:pPr>
      <w:r w:rsidRPr="00102848">
        <w:rPr>
          <w:rFonts w:ascii="Times New Roman" w:eastAsia="Times New Roman" w:hAnsi="Times New Roman" w:cs="Times New Roman"/>
          <w:color w:val="000000"/>
          <w:sz w:val="24"/>
          <w:szCs w:val="22"/>
        </w:rPr>
        <w:t xml:space="preserve">В </w:t>
      </w:r>
      <w:r w:rsidR="00102848" w:rsidRPr="00102848">
        <w:rPr>
          <w:rFonts w:ascii="Times New Roman" w:eastAsia="Times New Roman" w:hAnsi="Times New Roman" w:cs="Times New Roman"/>
          <w:color w:val="000000"/>
          <w:sz w:val="24"/>
          <w:szCs w:val="22"/>
        </w:rPr>
        <w:t>связи с сокращением количества действующих организаций</w:t>
      </w:r>
      <w:r w:rsidR="00102848">
        <w:rPr>
          <w:rFonts w:ascii="Times New Roman" w:eastAsia="Times New Roman" w:hAnsi="Times New Roman" w:cs="Times New Roman"/>
          <w:color w:val="000000"/>
          <w:sz w:val="24"/>
          <w:szCs w:val="22"/>
        </w:rPr>
        <w:t xml:space="preserve">, </w:t>
      </w:r>
      <w:r w:rsidR="00102848" w:rsidRPr="00102848">
        <w:rPr>
          <w:rFonts w:ascii="Times New Roman" w:eastAsia="Times New Roman" w:hAnsi="Times New Roman" w:cs="Times New Roman"/>
          <w:color w:val="000000"/>
          <w:sz w:val="24"/>
          <w:szCs w:val="22"/>
        </w:rPr>
        <w:t xml:space="preserve">уставный капитал страховых организаций </w:t>
      </w:r>
      <w:r>
        <w:rPr>
          <w:rFonts w:ascii="Times New Roman" w:eastAsia="Times New Roman" w:hAnsi="Times New Roman" w:cs="Times New Roman"/>
          <w:color w:val="000000"/>
          <w:sz w:val="24"/>
          <w:szCs w:val="22"/>
        </w:rPr>
        <w:t xml:space="preserve">уменьшился на 32,1% и по состоянию на 1 января 2020 года сложился в объёме </w:t>
      </w:r>
      <w:r w:rsidR="00102848" w:rsidRPr="00102848">
        <w:rPr>
          <w:rFonts w:ascii="Times New Roman" w:eastAsia="Times New Roman" w:hAnsi="Times New Roman" w:cs="Times New Roman"/>
          <w:color w:val="000000"/>
          <w:sz w:val="24"/>
          <w:szCs w:val="22"/>
        </w:rPr>
        <w:t>23,0 млн руб.</w:t>
      </w:r>
    </w:p>
    <w:p w14:paraId="1B8DEF89" w14:textId="77777777" w:rsidR="00102848" w:rsidRPr="00102848" w:rsidRDefault="00102848" w:rsidP="00102848">
      <w:pPr>
        <w:spacing w:before="0" w:after="0" w:line="240" w:lineRule="auto"/>
        <w:ind w:firstLine="425"/>
        <w:jc w:val="both"/>
        <w:rPr>
          <w:rFonts w:ascii="Times New Roman" w:eastAsia="Times New Roman" w:hAnsi="Times New Roman" w:cs="Times New Roman"/>
          <w:color w:val="000000"/>
          <w:sz w:val="24"/>
          <w:szCs w:val="22"/>
        </w:rPr>
      </w:pPr>
      <w:r w:rsidRPr="00102848">
        <w:rPr>
          <w:rFonts w:ascii="Times New Roman" w:eastAsia="Times New Roman" w:hAnsi="Times New Roman" w:cs="Times New Roman"/>
          <w:color w:val="000000"/>
          <w:sz w:val="24"/>
          <w:szCs w:val="22"/>
        </w:rPr>
        <w:t>За 2019 год страховщиками было заключено 109 861 договоров, что на 28,6% меньше, чем год назад. Основным фактором данной динамики выступило существенное сокращение количества договоров по добровольному страхованию (в 3,6 раза, до 20 616 единиц).</w:t>
      </w:r>
      <w:r w:rsidR="00AC416B">
        <w:rPr>
          <w:rFonts w:ascii="Times New Roman" w:eastAsia="Times New Roman" w:hAnsi="Times New Roman" w:cs="Times New Roman"/>
          <w:color w:val="000000"/>
          <w:sz w:val="24"/>
          <w:szCs w:val="22"/>
        </w:rPr>
        <w:t xml:space="preserve"> </w:t>
      </w:r>
      <w:r w:rsidRPr="00102848">
        <w:rPr>
          <w:rFonts w:ascii="Times New Roman" w:eastAsia="Times New Roman" w:hAnsi="Times New Roman" w:cs="Times New Roman"/>
          <w:color w:val="000000"/>
          <w:sz w:val="24"/>
          <w:szCs w:val="22"/>
        </w:rPr>
        <w:t xml:space="preserve">В то же время вследствие роста числа договоров по страхованию гражданской ответственности </w:t>
      </w:r>
      <w:r w:rsidRPr="00102848">
        <w:rPr>
          <w:rFonts w:ascii="Times New Roman" w:eastAsia="Times New Roman" w:hAnsi="Times New Roman" w:cs="Times New Roman"/>
          <w:color w:val="000000"/>
          <w:sz w:val="24"/>
          <w:szCs w:val="22"/>
        </w:rPr>
        <w:lastRenderedPageBreak/>
        <w:t>владельцев транспортных средств увеличилось общее количество договоров по обязательному страхованию (+11,5%, до 89 245 единиц).</w:t>
      </w:r>
    </w:p>
    <w:p w14:paraId="2F2B2A58" w14:textId="77777777" w:rsidR="00102848" w:rsidRPr="00102848" w:rsidRDefault="00102848" w:rsidP="00102848">
      <w:pPr>
        <w:spacing w:before="0" w:after="0" w:line="240" w:lineRule="auto"/>
        <w:ind w:firstLine="425"/>
        <w:jc w:val="both"/>
        <w:rPr>
          <w:rFonts w:ascii="Times New Roman" w:eastAsia="Times New Roman" w:hAnsi="Times New Roman" w:cs="Times New Roman"/>
          <w:sz w:val="24"/>
          <w:szCs w:val="22"/>
        </w:rPr>
      </w:pPr>
      <w:r w:rsidRPr="00102848">
        <w:rPr>
          <w:rFonts w:ascii="Times New Roman" w:eastAsia="Times New Roman" w:hAnsi="Times New Roman" w:cs="Times New Roman"/>
          <w:color w:val="000000"/>
          <w:sz w:val="24"/>
          <w:szCs w:val="22"/>
        </w:rPr>
        <w:t xml:space="preserve">Сумма страховых взносов в </w:t>
      </w:r>
      <w:r w:rsidRPr="00102848">
        <w:rPr>
          <w:rFonts w:ascii="Times New Roman" w:eastAsia="Times New Roman" w:hAnsi="Times New Roman" w:cs="Times New Roman"/>
          <w:sz w:val="24"/>
          <w:szCs w:val="22"/>
        </w:rPr>
        <w:t>2019 году составила 66,5 млн руб. (+19,4%), из них по договорам добровольного страхования имущества юридических лиц – 32,4 млн руб. (+31,2%), обязательного страхования гражданской ответственности владельцев транспортных средств – 31,7 млн руб. (+15,4%).</w:t>
      </w:r>
    </w:p>
    <w:p w14:paraId="26044810" w14:textId="77777777" w:rsidR="00102848" w:rsidRPr="00102848" w:rsidRDefault="00102848" w:rsidP="00102848">
      <w:pPr>
        <w:spacing w:before="0" w:after="0" w:line="240" w:lineRule="auto"/>
        <w:ind w:firstLine="425"/>
        <w:jc w:val="both"/>
        <w:rPr>
          <w:rFonts w:ascii="Times New Roman" w:eastAsia="Times New Roman" w:hAnsi="Times New Roman" w:cs="Times New Roman"/>
          <w:sz w:val="24"/>
          <w:szCs w:val="22"/>
        </w:rPr>
      </w:pPr>
      <w:r w:rsidRPr="00102848">
        <w:rPr>
          <w:rFonts w:ascii="Times New Roman" w:eastAsia="Times New Roman" w:hAnsi="Times New Roman" w:cs="Times New Roman"/>
          <w:color w:val="000000"/>
          <w:sz w:val="24"/>
          <w:szCs w:val="22"/>
        </w:rPr>
        <w:t xml:space="preserve">Объём страховых выплат страховщиков по всем видам страхования составил </w:t>
      </w:r>
      <w:r w:rsidRPr="00102848">
        <w:rPr>
          <w:rFonts w:ascii="Times New Roman" w:eastAsia="Times New Roman" w:hAnsi="Times New Roman" w:cs="Times New Roman"/>
          <w:color w:val="000000"/>
          <w:sz w:val="24"/>
          <w:szCs w:val="22"/>
        </w:rPr>
        <w:br/>
        <w:t>11,3 млн руб., уступив 6,4% значению 2018 года. Определяющим фактором отрицательной динамики выступило сокращение выплат по добровольному страхованию от несчастных случаев и болезней (до 0,5 млн руб.) вследствие окончания срока действия договоров, т</w:t>
      </w:r>
      <w:r w:rsidRPr="00102848">
        <w:rPr>
          <w:rFonts w:ascii="Times New Roman" w:eastAsia="Times New Roman" w:hAnsi="Times New Roman" w:cs="Times New Roman"/>
          <w:sz w:val="24"/>
          <w:szCs w:val="22"/>
        </w:rPr>
        <w:t>огда как</w:t>
      </w:r>
      <w:r w:rsidRPr="00102848">
        <w:rPr>
          <w:rFonts w:ascii="Times New Roman" w:eastAsia="Times New Roman" w:hAnsi="Times New Roman" w:cs="Times New Roman"/>
          <w:color w:val="000000"/>
          <w:sz w:val="24"/>
          <w:szCs w:val="22"/>
        </w:rPr>
        <w:t xml:space="preserve"> выплаты по договорам обязательного страхования гражданской ответственности владельцев транспортных средств, занимающие 92,9% совокупного показателя, вырос на 19,7%, до 10,5 млн руб.</w:t>
      </w:r>
    </w:p>
    <w:p w14:paraId="0D4D5C57" w14:textId="77777777" w:rsidR="00102848" w:rsidRPr="00102848" w:rsidRDefault="00102848" w:rsidP="00102848">
      <w:pPr>
        <w:spacing w:before="0" w:after="0" w:line="240" w:lineRule="auto"/>
        <w:ind w:firstLine="425"/>
        <w:jc w:val="both"/>
        <w:rPr>
          <w:rFonts w:ascii="Times New Roman" w:eastAsia="Times New Roman" w:hAnsi="Times New Roman" w:cs="Times New Roman"/>
          <w:color w:val="000000"/>
          <w:sz w:val="24"/>
          <w:szCs w:val="22"/>
        </w:rPr>
      </w:pPr>
      <w:r w:rsidRPr="00102848">
        <w:rPr>
          <w:rFonts w:ascii="Times New Roman" w:eastAsia="Times New Roman" w:hAnsi="Times New Roman" w:cs="Times New Roman"/>
          <w:color w:val="000000"/>
          <w:sz w:val="24"/>
          <w:szCs w:val="22"/>
        </w:rPr>
        <w:t>Коэффициент выплат (отношение страховых выплат к страховым взносам) в целом по всем видам страхования сложился на уровне 17,0%, в том числе по добровольному страхованию – 1,8%, по обязательному – 33,5%.</w:t>
      </w:r>
    </w:p>
    <w:p w14:paraId="6BDC36DE" w14:textId="3DAEABF3" w:rsidR="00102848" w:rsidRPr="00102848" w:rsidRDefault="00102848" w:rsidP="00102848">
      <w:pPr>
        <w:spacing w:before="0" w:after="0" w:line="240" w:lineRule="auto"/>
        <w:ind w:firstLine="425"/>
        <w:jc w:val="both"/>
        <w:rPr>
          <w:rFonts w:ascii="Times New Roman" w:eastAsia="Times New Roman" w:hAnsi="Times New Roman" w:cs="Times New Roman"/>
          <w:color w:val="000000"/>
          <w:sz w:val="24"/>
          <w:szCs w:val="22"/>
        </w:rPr>
      </w:pPr>
      <w:r w:rsidRPr="00102848">
        <w:rPr>
          <w:rFonts w:ascii="Times New Roman" w:eastAsia="Times New Roman" w:hAnsi="Times New Roman" w:cs="Times New Roman"/>
          <w:color w:val="000000"/>
          <w:sz w:val="24"/>
          <w:szCs w:val="22"/>
        </w:rPr>
        <w:t xml:space="preserve">Страховые резервы страховщиков на конец декабря 2019 года достигли 47,0 млн руб., увеличившись за год на 24,8% (+9,3 млн руб.). </w:t>
      </w:r>
    </w:p>
    <w:p w14:paraId="7A31C480" w14:textId="77777777" w:rsidR="00102848" w:rsidRDefault="00102848" w:rsidP="00102848">
      <w:pPr>
        <w:spacing w:before="0" w:after="0" w:line="240" w:lineRule="auto"/>
        <w:ind w:firstLine="425"/>
        <w:jc w:val="both"/>
        <w:rPr>
          <w:rFonts w:ascii="Times New Roman" w:eastAsia="Times New Roman" w:hAnsi="Times New Roman" w:cs="Times New Roman"/>
          <w:color w:val="000000"/>
          <w:sz w:val="24"/>
          <w:szCs w:val="22"/>
        </w:rPr>
      </w:pPr>
      <w:r w:rsidRPr="00102848">
        <w:rPr>
          <w:rFonts w:ascii="Times New Roman" w:eastAsia="Times New Roman" w:hAnsi="Times New Roman" w:cs="Times New Roman"/>
          <w:color w:val="000000"/>
          <w:sz w:val="24"/>
          <w:szCs w:val="22"/>
        </w:rPr>
        <w:t>Финансовые итоги деятельности страховых компаний республики в 2019 году характеризовались получением прибыли в размере 4,4 млн руб., что на 18,2% больше</w:t>
      </w:r>
      <w:r w:rsidR="0075147C">
        <w:rPr>
          <w:rFonts w:ascii="Times New Roman" w:eastAsia="Times New Roman" w:hAnsi="Times New Roman" w:cs="Times New Roman"/>
          <w:color w:val="000000"/>
          <w:sz w:val="24"/>
          <w:szCs w:val="22"/>
        </w:rPr>
        <w:t>,</w:t>
      </w:r>
      <w:r w:rsidRPr="00102848">
        <w:rPr>
          <w:rFonts w:ascii="Times New Roman" w:eastAsia="Times New Roman" w:hAnsi="Times New Roman" w:cs="Times New Roman"/>
          <w:color w:val="000000"/>
          <w:sz w:val="24"/>
          <w:szCs w:val="22"/>
        </w:rPr>
        <w:t xml:space="preserve"> чем годом ранее. После расчётов с бюджетом по налогам в распоряжении страховых организаций осталась чистая прибыль в размере 1,6 млн руб. (0,8 млн руб. в базисном периоде).</w:t>
      </w:r>
    </w:p>
    <w:p w14:paraId="624C6B64" w14:textId="0B910B0C" w:rsidR="005211EE" w:rsidRDefault="005211EE" w:rsidP="00102848">
      <w:pPr>
        <w:spacing w:before="0" w:after="0" w:line="240" w:lineRule="auto"/>
        <w:ind w:firstLine="425"/>
        <w:jc w:val="both"/>
        <w:rPr>
          <w:rFonts w:ascii="Times New Roman" w:eastAsia="Times New Roman" w:hAnsi="Times New Roman" w:cs="Times New Roman"/>
          <w:color w:val="000000"/>
          <w:sz w:val="24"/>
          <w:szCs w:val="22"/>
        </w:rPr>
      </w:pPr>
    </w:p>
    <w:p w14:paraId="28C0D623" w14:textId="77777777" w:rsidR="003C18BB" w:rsidRPr="004D7D79" w:rsidRDefault="004D7D79" w:rsidP="00DF7D73">
      <w:pPr>
        <w:pStyle w:val="1"/>
        <w:widowControl w:val="0"/>
        <w:numPr>
          <w:ilvl w:val="1"/>
          <w:numId w:val="1"/>
        </w:numPr>
        <w:rPr>
          <w:b/>
          <w:bCs/>
          <w:noProof/>
          <w:sz w:val="24"/>
          <w:szCs w:val="24"/>
        </w:rPr>
      </w:pPr>
      <w:r>
        <w:rPr>
          <w:b/>
          <w:bCs/>
          <w:noProof/>
          <w:sz w:val="24"/>
          <w:szCs w:val="24"/>
        </w:rPr>
        <w:t xml:space="preserve"> </w:t>
      </w:r>
      <w:r w:rsidR="003C18BB" w:rsidRPr="004D7D79">
        <w:rPr>
          <w:b/>
          <w:bCs/>
          <w:noProof/>
          <w:sz w:val="24"/>
          <w:szCs w:val="24"/>
        </w:rPr>
        <w:t>ПЛАТЁЖНАЯ СИСТЕМА</w:t>
      </w:r>
    </w:p>
    <w:p w14:paraId="08E3CB65" w14:textId="77777777" w:rsidR="00DF7D73" w:rsidRDefault="00DF7D73" w:rsidP="008A651D">
      <w:pPr>
        <w:pStyle w:val="aff4"/>
        <w:spacing w:before="0" w:after="0" w:line="240" w:lineRule="auto"/>
        <w:ind w:left="0" w:firstLine="426"/>
        <w:jc w:val="both"/>
        <w:rPr>
          <w:rFonts w:ascii="Times New Roman" w:hAnsi="Times New Roman" w:cs="Times New Roman"/>
          <w:color w:val="000000" w:themeColor="text1"/>
          <w:sz w:val="24"/>
          <w:szCs w:val="24"/>
        </w:rPr>
      </w:pPr>
    </w:p>
    <w:p w14:paraId="25FE8A87" w14:textId="77777777" w:rsidR="00771ACA" w:rsidRPr="008A651D" w:rsidRDefault="00771ACA" w:rsidP="00771ACA">
      <w:pPr>
        <w:pStyle w:val="aff4"/>
        <w:spacing w:before="0" w:after="0" w:line="240" w:lineRule="auto"/>
        <w:ind w:left="0" w:firstLine="426"/>
        <w:jc w:val="both"/>
        <w:rPr>
          <w:rFonts w:ascii="Times New Roman" w:hAnsi="Times New Roman" w:cs="Times New Roman"/>
          <w:color w:val="000000" w:themeColor="text1"/>
          <w:sz w:val="24"/>
          <w:szCs w:val="24"/>
        </w:rPr>
      </w:pPr>
      <w:r w:rsidRPr="008A651D">
        <w:rPr>
          <w:rFonts w:ascii="Times New Roman" w:hAnsi="Times New Roman" w:cs="Times New Roman"/>
          <w:color w:val="000000" w:themeColor="text1"/>
          <w:sz w:val="24"/>
          <w:szCs w:val="24"/>
        </w:rPr>
        <w:t>За последние несколько лет динамично развивающаяся платёжная инфраструктура и, как следствие, повышение финансовой доступности в республике способствовали росту количества банковских карт</w:t>
      </w:r>
      <w:r>
        <w:rPr>
          <w:rFonts w:ascii="Times New Roman" w:hAnsi="Times New Roman" w:cs="Times New Roman"/>
          <w:color w:val="000000" w:themeColor="text1"/>
          <w:sz w:val="24"/>
          <w:szCs w:val="24"/>
        </w:rPr>
        <w:t xml:space="preserve"> в обращении</w:t>
      </w:r>
      <w:r w:rsidRPr="008A651D">
        <w:rPr>
          <w:rFonts w:ascii="Times New Roman" w:hAnsi="Times New Roman" w:cs="Times New Roman"/>
          <w:color w:val="000000" w:themeColor="text1"/>
          <w:sz w:val="24"/>
          <w:szCs w:val="24"/>
        </w:rPr>
        <w:t xml:space="preserve">. По состоянию на 1 января 2020 года число </w:t>
      </w:r>
      <w:r>
        <w:rPr>
          <w:rFonts w:ascii="Times New Roman" w:hAnsi="Times New Roman" w:cs="Times New Roman"/>
          <w:color w:val="000000" w:themeColor="text1"/>
          <w:sz w:val="24"/>
          <w:szCs w:val="24"/>
        </w:rPr>
        <w:t xml:space="preserve">локальных </w:t>
      </w:r>
      <w:r w:rsidRPr="008A651D">
        <w:rPr>
          <w:rFonts w:ascii="Times New Roman" w:hAnsi="Times New Roman" w:cs="Times New Roman"/>
          <w:color w:val="000000" w:themeColor="text1"/>
          <w:sz w:val="24"/>
          <w:szCs w:val="24"/>
        </w:rPr>
        <w:t xml:space="preserve">платёжных карт, выпущенных приднестровскими банками, по сравнению </w:t>
      </w:r>
      <w:r w:rsidRPr="008A651D">
        <w:rPr>
          <w:rFonts w:ascii="Times New Roman" w:hAnsi="Times New Roman" w:cs="Times New Roman"/>
          <w:color w:val="000000" w:themeColor="text1"/>
          <w:sz w:val="24"/>
          <w:szCs w:val="24"/>
        </w:rPr>
        <w:br/>
        <w:t>с 1 января 2019 года увеличилось на 17,5%, до 252,7 тыс. шт.</w:t>
      </w:r>
      <w:r w:rsidR="00C11ACE">
        <w:rPr>
          <w:rFonts w:ascii="Times New Roman" w:hAnsi="Times New Roman" w:cs="Times New Roman"/>
          <w:color w:val="000000" w:themeColor="text1"/>
          <w:sz w:val="24"/>
          <w:szCs w:val="24"/>
        </w:rPr>
        <w:t xml:space="preserve"> и было представлено двумя платёжными системами: </w:t>
      </w:r>
      <w:r>
        <w:rPr>
          <w:rFonts w:ascii="Times New Roman" w:hAnsi="Times New Roman" w:cs="Times New Roman"/>
          <w:color w:val="000000" w:themeColor="text1"/>
          <w:sz w:val="24"/>
          <w:szCs w:val="24"/>
        </w:rPr>
        <w:t>«Радуга» (</w:t>
      </w:r>
      <w:r w:rsidRPr="008A651D">
        <w:rPr>
          <w:rFonts w:ascii="Times New Roman" w:hAnsi="Times New Roman" w:cs="Times New Roman"/>
          <w:color w:val="000000" w:themeColor="text1"/>
          <w:sz w:val="24"/>
          <w:szCs w:val="24"/>
        </w:rPr>
        <w:t>ПС «Радуга»</w:t>
      </w:r>
      <w:r>
        <w:rPr>
          <w:rFonts w:ascii="Times New Roman" w:hAnsi="Times New Roman" w:cs="Times New Roman"/>
          <w:color w:val="000000" w:themeColor="text1"/>
          <w:sz w:val="24"/>
          <w:szCs w:val="24"/>
        </w:rPr>
        <w:t>) и Национальная платёжная система «Приднестровье» (</w:t>
      </w:r>
      <w:r w:rsidRPr="008A651D">
        <w:rPr>
          <w:rFonts w:ascii="Times New Roman" w:hAnsi="Times New Roman" w:cs="Times New Roman"/>
          <w:sz w:val="24"/>
          <w:szCs w:val="24"/>
        </w:rPr>
        <w:t>«НПС»</w:t>
      </w:r>
      <w:r>
        <w:rPr>
          <w:rFonts w:ascii="Times New Roman" w:hAnsi="Times New Roman" w:cs="Times New Roman"/>
          <w:color w:val="000000" w:themeColor="text1"/>
          <w:sz w:val="24"/>
          <w:szCs w:val="24"/>
        </w:rPr>
        <w:t xml:space="preserve">). </w:t>
      </w:r>
      <w:r w:rsidRPr="008A651D">
        <w:rPr>
          <w:rFonts w:ascii="Times New Roman" w:hAnsi="Times New Roman" w:cs="Times New Roman"/>
          <w:color w:val="000000" w:themeColor="text1"/>
          <w:sz w:val="24"/>
          <w:szCs w:val="24"/>
        </w:rPr>
        <w:t xml:space="preserve">Количество банковских карт ПС «Радуга» за 2019 год </w:t>
      </w:r>
      <w:r>
        <w:rPr>
          <w:rFonts w:ascii="Times New Roman" w:hAnsi="Times New Roman" w:cs="Times New Roman"/>
          <w:color w:val="000000" w:themeColor="text1"/>
          <w:sz w:val="24"/>
          <w:szCs w:val="24"/>
        </w:rPr>
        <w:t xml:space="preserve">возросло </w:t>
      </w:r>
      <w:r w:rsidRPr="008A651D">
        <w:rPr>
          <w:rFonts w:ascii="Times New Roman" w:hAnsi="Times New Roman" w:cs="Times New Roman"/>
          <w:color w:val="000000" w:themeColor="text1"/>
          <w:sz w:val="24"/>
          <w:szCs w:val="24"/>
        </w:rPr>
        <w:t xml:space="preserve">на </w:t>
      </w:r>
      <w:r w:rsidRPr="008A651D">
        <w:rPr>
          <w:rFonts w:ascii="Times New Roman" w:hAnsi="Times New Roman" w:cs="Times New Roman"/>
          <w:sz w:val="24"/>
          <w:szCs w:val="24"/>
        </w:rPr>
        <w:t xml:space="preserve">17,9%, до 186,2 тыс. шт., «НПС» – на 16,4%, до 66,5 тыс. шт. </w:t>
      </w:r>
      <w:r>
        <w:rPr>
          <w:rFonts w:ascii="Times New Roman" w:hAnsi="Times New Roman" w:cs="Times New Roman"/>
          <w:sz w:val="24"/>
          <w:szCs w:val="24"/>
        </w:rPr>
        <w:t xml:space="preserve">Охват населения республики платёжными картами внутренних систем составил </w:t>
      </w:r>
      <w:r w:rsidRPr="008A651D">
        <w:rPr>
          <w:rFonts w:ascii="Times New Roman" w:hAnsi="Times New Roman" w:cs="Times New Roman"/>
          <w:sz w:val="24"/>
          <w:szCs w:val="24"/>
        </w:rPr>
        <w:t>54,3% (годом ранее –</w:t>
      </w:r>
      <w:r>
        <w:rPr>
          <w:rFonts w:ascii="Times New Roman" w:hAnsi="Times New Roman" w:cs="Times New Roman"/>
          <w:sz w:val="24"/>
          <w:szCs w:val="24"/>
        </w:rPr>
        <w:t xml:space="preserve"> </w:t>
      </w:r>
      <w:r w:rsidRPr="008A651D">
        <w:rPr>
          <w:rFonts w:ascii="Times New Roman" w:hAnsi="Times New Roman" w:cs="Times New Roman"/>
          <w:sz w:val="24"/>
          <w:szCs w:val="24"/>
        </w:rPr>
        <w:t>46,</w:t>
      </w:r>
      <w:r w:rsidR="00044E7E">
        <w:rPr>
          <w:rFonts w:ascii="Times New Roman" w:hAnsi="Times New Roman" w:cs="Times New Roman"/>
          <w:sz w:val="24"/>
          <w:szCs w:val="24"/>
        </w:rPr>
        <w:t>2</w:t>
      </w:r>
      <w:r w:rsidRPr="008A651D">
        <w:rPr>
          <w:rFonts w:ascii="Times New Roman" w:hAnsi="Times New Roman" w:cs="Times New Roman"/>
          <w:color w:val="000000" w:themeColor="text1"/>
          <w:sz w:val="24"/>
          <w:szCs w:val="24"/>
        </w:rPr>
        <w:t>%). На одного пользователя приходилось 1,23 карты (1,22 на начало 2019 года).</w:t>
      </w:r>
    </w:p>
    <w:p w14:paraId="311536A9" w14:textId="77777777" w:rsidR="00771ACA" w:rsidRPr="008A651D" w:rsidRDefault="00771ACA" w:rsidP="00771ACA">
      <w:pPr>
        <w:spacing w:before="0" w:after="0" w:line="240" w:lineRule="auto"/>
        <w:ind w:firstLine="426"/>
        <w:jc w:val="both"/>
        <w:rPr>
          <w:rFonts w:ascii="Times New Roman" w:hAnsi="Times New Roman" w:cs="Times New Roman"/>
          <w:sz w:val="24"/>
          <w:szCs w:val="24"/>
        </w:rPr>
      </w:pPr>
      <w:r w:rsidRPr="008A651D">
        <w:rPr>
          <w:rFonts w:ascii="Times New Roman" w:hAnsi="Times New Roman" w:cs="Times New Roman"/>
          <w:color w:val="000000" w:themeColor="text1"/>
          <w:sz w:val="24"/>
          <w:szCs w:val="24"/>
        </w:rPr>
        <w:t xml:space="preserve">Развитию финансовой </w:t>
      </w:r>
      <w:r w:rsidRPr="008A651D">
        <w:rPr>
          <w:rFonts w:ascii="Times New Roman" w:hAnsi="Times New Roman" w:cs="Times New Roman"/>
          <w:sz w:val="24"/>
          <w:szCs w:val="24"/>
        </w:rPr>
        <w:t>доступности в республике способствовали рост количества банко</w:t>
      </w:r>
      <w:r>
        <w:rPr>
          <w:rFonts w:ascii="Times New Roman" w:hAnsi="Times New Roman" w:cs="Times New Roman"/>
          <w:sz w:val="24"/>
          <w:szCs w:val="24"/>
        </w:rPr>
        <w:t>вских устройств</w:t>
      </w:r>
      <w:r w:rsidRPr="008A651D">
        <w:rPr>
          <w:rFonts w:ascii="Times New Roman" w:hAnsi="Times New Roman" w:cs="Times New Roman"/>
          <w:sz w:val="24"/>
          <w:szCs w:val="24"/>
        </w:rPr>
        <w:t xml:space="preserve"> и </w:t>
      </w:r>
      <w:r>
        <w:rPr>
          <w:rFonts w:ascii="Times New Roman" w:hAnsi="Times New Roman" w:cs="Times New Roman"/>
          <w:sz w:val="24"/>
          <w:szCs w:val="24"/>
        </w:rPr>
        <w:t xml:space="preserve">расширение </w:t>
      </w:r>
      <w:r w:rsidRPr="008A651D">
        <w:rPr>
          <w:rFonts w:ascii="Times New Roman" w:hAnsi="Times New Roman" w:cs="Times New Roman"/>
          <w:sz w:val="24"/>
          <w:szCs w:val="24"/>
        </w:rPr>
        <w:t>их территориально</w:t>
      </w:r>
      <w:r>
        <w:rPr>
          <w:rFonts w:ascii="Times New Roman" w:hAnsi="Times New Roman" w:cs="Times New Roman"/>
          <w:sz w:val="24"/>
          <w:szCs w:val="24"/>
        </w:rPr>
        <w:t>го распространения</w:t>
      </w:r>
      <w:r w:rsidRPr="008A651D">
        <w:rPr>
          <w:rFonts w:ascii="Times New Roman" w:hAnsi="Times New Roman" w:cs="Times New Roman"/>
          <w:sz w:val="24"/>
          <w:szCs w:val="24"/>
        </w:rPr>
        <w:t>: число банкоматов и платёжных терминалов</w:t>
      </w:r>
      <w:r>
        <w:rPr>
          <w:rFonts w:ascii="Times New Roman" w:hAnsi="Times New Roman" w:cs="Times New Roman"/>
          <w:sz w:val="24"/>
          <w:szCs w:val="24"/>
        </w:rPr>
        <w:t xml:space="preserve"> за отчётный период</w:t>
      </w:r>
      <w:r w:rsidRPr="008A651D">
        <w:rPr>
          <w:rFonts w:ascii="Times New Roman" w:hAnsi="Times New Roman" w:cs="Times New Roman"/>
          <w:sz w:val="24"/>
          <w:szCs w:val="24"/>
        </w:rPr>
        <w:t xml:space="preserve"> </w:t>
      </w:r>
      <w:r>
        <w:rPr>
          <w:rFonts w:ascii="Times New Roman" w:hAnsi="Times New Roman" w:cs="Times New Roman"/>
          <w:sz w:val="24"/>
          <w:szCs w:val="24"/>
        </w:rPr>
        <w:t>увеличилось</w:t>
      </w:r>
      <w:r w:rsidRPr="008A651D">
        <w:rPr>
          <w:rFonts w:ascii="Times New Roman" w:hAnsi="Times New Roman" w:cs="Times New Roman"/>
          <w:sz w:val="24"/>
          <w:szCs w:val="24"/>
        </w:rPr>
        <w:t xml:space="preserve"> на 3,9%, до 453 единиц</w:t>
      </w:r>
      <w:r w:rsidRPr="008A651D">
        <w:rPr>
          <w:rFonts w:ascii="Times New Roman" w:hAnsi="Times New Roman" w:cs="Times New Roman"/>
          <w:color w:val="000000" w:themeColor="text1"/>
          <w:sz w:val="24"/>
          <w:szCs w:val="24"/>
        </w:rPr>
        <w:t>, а количество точек обслуживания, где можно рассчитаться банковскими картами</w:t>
      </w:r>
      <w:r>
        <w:rPr>
          <w:rFonts w:ascii="Times New Roman" w:hAnsi="Times New Roman" w:cs="Times New Roman"/>
          <w:color w:val="000000" w:themeColor="text1"/>
          <w:sz w:val="24"/>
          <w:szCs w:val="24"/>
        </w:rPr>
        <w:t>,</w:t>
      </w:r>
      <w:r w:rsidRPr="008A65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возросло</w:t>
      </w:r>
      <w:r w:rsidRPr="008A651D">
        <w:rPr>
          <w:rFonts w:ascii="Times New Roman" w:hAnsi="Times New Roman" w:cs="Times New Roman"/>
          <w:color w:val="000000" w:themeColor="text1"/>
          <w:sz w:val="24"/>
          <w:szCs w:val="24"/>
        </w:rPr>
        <w:t xml:space="preserve"> на 41,5%</w:t>
      </w:r>
      <w:r>
        <w:rPr>
          <w:rFonts w:ascii="Times New Roman" w:hAnsi="Times New Roman" w:cs="Times New Roman"/>
          <w:color w:val="000000" w:themeColor="text1"/>
          <w:sz w:val="24"/>
          <w:szCs w:val="24"/>
        </w:rPr>
        <w:t>,</w:t>
      </w:r>
      <w:r w:rsidR="00C10F35">
        <w:rPr>
          <w:rFonts w:ascii="Times New Roman" w:hAnsi="Times New Roman" w:cs="Times New Roman"/>
          <w:color w:val="000000" w:themeColor="text1"/>
          <w:sz w:val="24"/>
          <w:szCs w:val="24"/>
        </w:rPr>
        <w:t xml:space="preserve"> до 3 076 ед</w:t>
      </w:r>
      <w:r w:rsidRPr="008A651D">
        <w:rPr>
          <w:rFonts w:ascii="Times New Roman" w:hAnsi="Times New Roman" w:cs="Times New Roman"/>
          <w:sz w:val="24"/>
          <w:szCs w:val="24"/>
        </w:rPr>
        <w:t>.</w:t>
      </w:r>
      <w:r w:rsidR="00E21C64">
        <w:rPr>
          <w:rFonts w:ascii="Times New Roman" w:hAnsi="Times New Roman" w:cs="Times New Roman"/>
          <w:color w:val="000000" w:themeColor="text1"/>
          <w:sz w:val="24"/>
          <w:szCs w:val="24"/>
        </w:rPr>
        <w:t>, в том числе интернет-магазинов – на 11,1%, до 40 ед.</w:t>
      </w:r>
    </w:p>
    <w:p w14:paraId="15DEAE2A" w14:textId="77777777" w:rsidR="00771ACA" w:rsidRPr="008A651D" w:rsidRDefault="00771ACA" w:rsidP="00771ACA">
      <w:pPr>
        <w:spacing w:before="0" w:after="0" w:line="240" w:lineRule="auto"/>
        <w:ind w:firstLine="426"/>
        <w:jc w:val="both"/>
        <w:rPr>
          <w:rFonts w:ascii="Times New Roman" w:hAnsi="Times New Roman" w:cs="Times New Roman"/>
          <w:sz w:val="24"/>
          <w:szCs w:val="24"/>
        </w:rPr>
      </w:pPr>
      <w:r w:rsidRPr="008A651D">
        <w:rPr>
          <w:rFonts w:ascii="Times New Roman" w:hAnsi="Times New Roman" w:cs="Times New Roman"/>
          <w:color w:val="000000" w:themeColor="text1"/>
          <w:sz w:val="24"/>
          <w:szCs w:val="24"/>
        </w:rPr>
        <w:t xml:space="preserve">Активное развитие рынка </w:t>
      </w:r>
      <w:r>
        <w:rPr>
          <w:rFonts w:ascii="Times New Roman" w:hAnsi="Times New Roman" w:cs="Times New Roman"/>
          <w:color w:val="000000" w:themeColor="text1"/>
          <w:sz w:val="24"/>
          <w:szCs w:val="24"/>
        </w:rPr>
        <w:t>платёжных</w:t>
      </w:r>
      <w:r w:rsidRPr="008A651D">
        <w:rPr>
          <w:rFonts w:ascii="Times New Roman" w:hAnsi="Times New Roman" w:cs="Times New Roman"/>
          <w:color w:val="000000" w:themeColor="text1"/>
          <w:sz w:val="24"/>
          <w:szCs w:val="24"/>
        </w:rPr>
        <w:t xml:space="preserve"> карт способствовало росту количества безналичных транзакций по оплате товаров (работ, услуг) и постепенному сокращению операций по снятию наличных денежных средств. Процентное соотношение между количеством операций по оплате товаров и выдаче наличных </w:t>
      </w:r>
      <w:r>
        <w:rPr>
          <w:rFonts w:ascii="Times New Roman" w:hAnsi="Times New Roman" w:cs="Times New Roman"/>
          <w:color w:val="000000" w:themeColor="text1"/>
          <w:sz w:val="24"/>
          <w:szCs w:val="24"/>
        </w:rPr>
        <w:t xml:space="preserve">заметно сдвинулось в пользу безналичных транзакций и </w:t>
      </w:r>
      <w:r w:rsidRPr="008A651D">
        <w:rPr>
          <w:rFonts w:ascii="Times New Roman" w:hAnsi="Times New Roman" w:cs="Times New Roman"/>
          <w:color w:val="000000" w:themeColor="text1"/>
          <w:sz w:val="24"/>
          <w:szCs w:val="24"/>
        </w:rPr>
        <w:t>сложилось на уровне 62,9% против 37,1% (57,8</w:t>
      </w:r>
      <w:r w:rsidRPr="008A651D">
        <w:rPr>
          <w:rFonts w:ascii="Times New Roman" w:hAnsi="Times New Roman" w:cs="Times New Roman"/>
          <w:sz w:val="24"/>
          <w:szCs w:val="24"/>
        </w:rPr>
        <w:t>% против 42,2% годом ранее).</w:t>
      </w:r>
      <w:r>
        <w:rPr>
          <w:rFonts w:ascii="Times New Roman" w:hAnsi="Times New Roman" w:cs="Times New Roman"/>
          <w:sz w:val="24"/>
          <w:szCs w:val="24"/>
        </w:rPr>
        <w:t xml:space="preserve"> </w:t>
      </w:r>
      <w:r w:rsidRPr="008A651D">
        <w:rPr>
          <w:rFonts w:ascii="Times New Roman" w:hAnsi="Times New Roman" w:cs="Times New Roman"/>
          <w:color w:val="000000" w:themeColor="text1"/>
          <w:sz w:val="24"/>
          <w:szCs w:val="24"/>
        </w:rPr>
        <w:t xml:space="preserve">При этом </w:t>
      </w:r>
      <w:r>
        <w:rPr>
          <w:rFonts w:ascii="Times New Roman" w:hAnsi="Times New Roman" w:cs="Times New Roman"/>
          <w:color w:val="000000" w:themeColor="text1"/>
          <w:sz w:val="24"/>
          <w:szCs w:val="24"/>
        </w:rPr>
        <w:t xml:space="preserve">из общего объёма расходов населения на потребительские товары и услуги (включая </w:t>
      </w:r>
      <w:r>
        <w:rPr>
          <w:rFonts w:ascii="Times New Roman" w:hAnsi="Times New Roman" w:cs="Times New Roman"/>
          <w:color w:val="000000" w:themeColor="text1"/>
          <w:sz w:val="24"/>
          <w:szCs w:val="24"/>
        </w:rPr>
        <w:lastRenderedPageBreak/>
        <w:t>общественное питание)</w:t>
      </w:r>
      <w:r w:rsidRPr="00C10C6C">
        <w:rPr>
          <w:rFonts w:ascii="Times New Roman" w:hAnsi="Times New Roman" w:cs="Times New Roman"/>
          <w:color w:val="000000" w:themeColor="text1"/>
          <w:sz w:val="24"/>
          <w:szCs w:val="24"/>
        </w:rPr>
        <w:t xml:space="preserve"> </w:t>
      </w:r>
      <w:r w:rsidRPr="008A651D">
        <w:rPr>
          <w:rFonts w:ascii="Times New Roman" w:hAnsi="Times New Roman" w:cs="Times New Roman"/>
          <w:color w:val="000000" w:themeColor="text1"/>
          <w:sz w:val="24"/>
          <w:szCs w:val="24"/>
        </w:rPr>
        <w:t>12,8%</w:t>
      </w:r>
      <w:r>
        <w:rPr>
          <w:rFonts w:ascii="Times New Roman" w:hAnsi="Times New Roman" w:cs="Times New Roman"/>
          <w:color w:val="000000" w:themeColor="text1"/>
          <w:sz w:val="24"/>
          <w:szCs w:val="24"/>
        </w:rPr>
        <w:t xml:space="preserve"> было оплачено </w:t>
      </w:r>
      <w:r w:rsidRPr="008A651D">
        <w:rPr>
          <w:rFonts w:ascii="Times New Roman" w:hAnsi="Times New Roman" w:cs="Times New Roman"/>
          <w:color w:val="000000" w:themeColor="text1"/>
          <w:sz w:val="24"/>
          <w:szCs w:val="24"/>
        </w:rPr>
        <w:t>с помощью банковских карт</w:t>
      </w:r>
      <w:r>
        <w:rPr>
          <w:rFonts w:ascii="Times New Roman" w:hAnsi="Times New Roman" w:cs="Times New Roman"/>
          <w:color w:val="000000" w:themeColor="text1"/>
          <w:sz w:val="24"/>
          <w:szCs w:val="24"/>
        </w:rPr>
        <w:t xml:space="preserve">. За последние </w:t>
      </w:r>
      <w:r w:rsidR="00693D34">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10 лет данный показатель увеличился </w:t>
      </w:r>
      <w:r w:rsidRPr="008A651D">
        <w:rPr>
          <w:rFonts w:ascii="Times New Roman" w:hAnsi="Times New Roman" w:cs="Times New Roman"/>
          <w:color w:val="000000" w:themeColor="text1"/>
          <w:sz w:val="24"/>
          <w:szCs w:val="24"/>
        </w:rPr>
        <w:t xml:space="preserve">на 8,6 п.п. </w:t>
      </w:r>
    </w:p>
    <w:p w14:paraId="1ACC40A6" w14:textId="77777777" w:rsidR="00771ACA" w:rsidRPr="002F5DB6" w:rsidRDefault="00771ACA" w:rsidP="00771ACA">
      <w:pPr>
        <w:spacing w:before="0"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 отчётный период </w:t>
      </w:r>
      <w:r w:rsidRPr="008A651D">
        <w:rPr>
          <w:rFonts w:ascii="Times New Roman" w:hAnsi="Times New Roman" w:cs="Times New Roman"/>
          <w:color w:val="000000" w:themeColor="text1"/>
          <w:sz w:val="24"/>
          <w:szCs w:val="24"/>
        </w:rPr>
        <w:t xml:space="preserve">с использованием </w:t>
      </w:r>
      <w:r>
        <w:rPr>
          <w:rFonts w:ascii="Times New Roman" w:hAnsi="Times New Roman" w:cs="Times New Roman"/>
          <w:color w:val="000000" w:themeColor="text1"/>
          <w:sz w:val="24"/>
          <w:szCs w:val="24"/>
        </w:rPr>
        <w:t xml:space="preserve">платёжных </w:t>
      </w:r>
      <w:r w:rsidRPr="008A651D">
        <w:rPr>
          <w:rFonts w:ascii="Times New Roman" w:hAnsi="Times New Roman" w:cs="Times New Roman"/>
          <w:color w:val="000000" w:themeColor="text1"/>
          <w:sz w:val="24"/>
          <w:szCs w:val="24"/>
        </w:rPr>
        <w:t xml:space="preserve">карт </w:t>
      </w:r>
      <w:r>
        <w:rPr>
          <w:rFonts w:ascii="Times New Roman" w:hAnsi="Times New Roman" w:cs="Times New Roman"/>
          <w:color w:val="000000" w:themeColor="text1"/>
          <w:sz w:val="24"/>
          <w:szCs w:val="24"/>
        </w:rPr>
        <w:t xml:space="preserve">было совершено </w:t>
      </w:r>
      <w:r w:rsidR="00693D34">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16,0 млн</w:t>
      </w:r>
      <w:r w:rsidRPr="008A651D">
        <w:rPr>
          <w:rFonts w:ascii="Times New Roman" w:hAnsi="Times New Roman" w:cs="Times New Roman"/>
          <w:color w:val="000000" w:themeColor="text1"/>
          <w:sz w:val="24"/>
          <w:szCs w:val="24"/>
        </w:rPr>
        <w:t xml:space="preserve"> операций, </w:t>
      </w:r>
      <w:r>
        <w:rPr>
          <w:rFonts w:ascii="Times New Roman" w:hAnsi="Times New Roman" w:cs="Times New Roman"/>
          <w:color w:val="000000" w:themeColor="text1"/>
          <w:sz w:val="24"/>
          <w:szCs w:val="24"/>
        </w:rPr>
        <w:t>что</w:t>
      </w:r>
      <w:r w:rsidRPr="008A651D">
        <w:rPr>
          <w:rFonts w:ascii="Times New Roman" w:hAnsi="Times New Roman" w:cs="Times New Roman"/>
          <w:color w:val="000000" w:themeColor="text1"/>
          <w:sz w:val="24"/>
          <w:szCs w:val="24"/>
        </w:rPr>
        <w:t xml:space="preserve"> на 30,7%</w:t>
      </w:r>
      <w:r>
        <w:rPr>
          <w:rFonts w:ascii="Times New Roman" w:hAnsi="Times New Roman" w:cs="Times New Roman"/>
          <w:color w:val="000000" w:themeColor="text1"/>
          <w:sz w:val="24"/>
          <w:szCs w:val="24"/>
        </w:rPr>
        <w:t xml:space="preserve"> превзошло уровень 2018 года</w:t>
      </w:r>
      <w:r w:rsidRPr="008A65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том числе </w:t>
      </w:r>
      <w:r w:rsidRPr="008A651D">
        <w:rPr>
          <w:rFonts w:ascii="Times New Roman" w:hAnsi="Times New Roman" w:cs="Times New Roman"/>
          <w:color w:val="000000" w:themeColor="text1"/>
          <w:sz w:val="24"/>
          <w:szCs w:val="24"/>
        </w:rPr>
        <w:t xml:space="preserve">с помощью </w:t>
      </w:r>
      <w:r w:rsidRPr="002F5DB6">
        <w:rPr>
          <w:rFonts w:ascii="Times New Roman" w:hAnsi="Times New Roman" w:cs="Times New Roman"/>
          <w:color w:val="000000" w:themeColor="text1"/>
          <w:sz w:val="24"/>
          <w:szCs w:val="24"/>
        </w:rPr>
        <w:t>пластиковых карт было оплачено 10,1 млн покупок</w:t>
      </w:r>
      <w:r w:rsidR="002F5DB6" w:rsidRPr="002F5DB6">
        <w:rPr>
          <w:rFonts w:ascii="Times New Roman" w:hAnsi="Times New Roman" w:cs="Times New Roman"/>
          <w:color w:val="000000" w:themeColor="text1"/>
          <w:sz w:val="24"/>
          <w:szCs w:val="24"/>
        </w:rPr>
        <w:t>, к</w:t>
      </w:r>
      <w:r w:rsidRPr="002F5DB6">
        <w:rPr>
          <w:rFonts w:ascii="Times New Roman" w:hAnsi="Times New Roman" w:cs="Times New Roman"/>
          <w:color w:val="000000" w:themeColor="text1"/>
          <w:sz w:val="24"/>
          <w:szCs w:val="24"/>
        </w:rPr>
        <w:t xml:space="preserve">оличество операций по снятию </w:t>
      </w:r>
      <w:r w:rsidR="00751EF2" w:rsidRPr="002F5DB6">
        <w:rPr>
          <w:rFonts w:ascii="Times New Roman" w:hAnsi="Times New Roman" w:cs="Times New Roman"/>
          <w:color w:val="000000" w:themeColor="text1"/>
          <w:sz w:val="24"/>
          <w:szCs w:val="24"/>
        </w:rPr>
        <w:t xml:space="preserve">наличных </w:t>
      </w:r>
      <w:r w:rsidRPr="002F5DB6">
        <w:rPr>
          <w:rFonts w:ascii="Times New Roman" w:hAnsi="Times New Roman" w:cs="Times New Roman"/>
          <w:color w:val="000000" w:themeColor="text1"/>
          <w:sz w:val="24"/>
          <w:szCs w:val="24"/>
        </w:rPr>
        <w:t xml:space="preserve">денежных средств </w:t>
      </w:r>
      <w:r w:rsidR="002F5DB6" w:rsidRPr="002F5DB6">
        <w:rPr>
          <w:rFonts w:ascii="Times New Roman" w:hAnsi="Times New Roman" w:cs="Times New Roman"/>
          <w:color w:val="000000" w:themeColor="text1"/>
          <w:sz w:val="24"/>
          <w:szCs w:val="24"/>
        </w:rPr>
        <w:t>составило</w:t>
      </w:r>
      <w:r w:rsidRPr="002F5DB6">
        <w:rPr>
          <w:rFonts w:ascii="Times New Roman" w:hAnsi="Times New Roman" w:cs="Times New Roman"/>
          <w:color w:val="000000" w:themeColor="text1"/>
          <w:sz w:val="24"/>
          <w:szCs w:val="24"/>
        </w:rPr>
        <w:t xml:space="preserve"> 5,9 млн </w:t>
      </w:r>
      <w:r w:rsidR="00751EF2" w:rsidRPr="002F5DB6">
        <w:rPr>
          <w:rFonts w:ascii="Times New Roman" w:hAnsi="Times New Roman" w:cs="Times New Roman"/>
          <w:color w:val="000000" w:themeColor="text1"/>
          <w:sz w:val="24"/>
          <w:szCs w:val="24"/>
        </w:rPr>
        <w:t>ед</w:t>
      </w:r>
      <w:r w:rsidRPr="002F5DB6">
        <w:rPr>
          <w:rFonts w:ascii="Times New Roman" w:hAnsi="Times New Roman" w:cs="Times New Roman"/>
          <w:color w:val="000000" w:themeColor="text1"/>
          <w:sz w:val="24"/>
          <w:szCs w:val="24"/>
        </w:rPr>
        <w:t xml:space="preserve">. Среднемесячные остатки денежных средств </w:t>
      </w:r>
      <w:r w:rsidRPr="002F5DB6">
        <w:rPr>
          <w:rFonts w:ascii="Times New Roman" w:hAnsi="Times New Roman" w:cs="Times New Roman"/>
          <w:sz w:val="24"/>
          <w:szCs w:val="24"/>
        </w:rPr>
        <w:t>на картах (счетах) с начала 2019 года увеличились на 43,3%, до 468,0 млн руб., или 1 852,0 руб. в расчёте на 1 карту (1 518,4 руб. на 01.01.2019).</w:t>
      </w:r>
    </w:p>
    <w:p w14:paraId="28D8ED68" w14:textId="77777777" w:rsidR="00771ACA" w:rsidRDefault="00771ACA" w:rsidP="00771ACA">
      <w:pPr>
        <w:spacing w:before="0" w:after="0" w:line="240" w:lineRule="auto"/>
        <w:ind w:firstLine="426"/>
        <w:jc w:val="both"/>
        <w:rPr>
          <w:rFonts w:ascii="Times New Roman" w:hAnsi="Times New Roman" w:cs="Times New Roman"/>
          <w:color w:val="000000" w:themeColor="text1"/>
          <w:sz w:val="24"/>
          <w:szCs w:val="24"/>
        </w:rPr>
      </w:pPr>
      <w:r w:rsidRPr="002F5DB6">
        <w:rPr>
          <w:rFonts w:ascii="Times New Roman" w:hAnsi="Times New Roman" w:cs="Times New Roman"/>
          <w:color w:val="000000" w:themeColor="text1"/>
          <w:sz w:val="24"/>
          <w:szCs w:val="24"/>
        </w:rPr>
        <w:t xml:space="preserve">Ростом характеризовался и оборот денежных средств, осуществлённый через банковские карты. За 2019 год он увеличился на 20,7%, сложившись на уровне 6 869,1 млн руб. </w:t>
      </w:r>
      <w:r w:rsidRPr="002F5DB6">
        <w:rPr>
          <w:rFonts w:ascii="Times New Roman" w:hAnsi="Times New Roman" w:cs="Times New Roman"/>
          <w:sz w:val="24"/>
          <w:szCs w:val="24"/>
        </w:rPr>
        <w:t>Несмотря на положительную динамику доли безналичных расчётов по оплате товаров</w:t>
      </w:r>
      <w:r w:rsidR="00751EF2" w:rsidRPr="002F5DB6">
        <w:rPr>
          <w:rFonts w:ascii="Times New Roman" w:hAnsi="Times New Roman" w:cs="Times New Roman"/>
          <w:sz w:val="24"/>
          <w:szCs w:val="24"/>
        </w:rPr>
        <w:t xml:space="preserve"> (работ,</w:t>
      </w:r>
      <w:r w:rsidRPr="002F5DB6">
        <w:rPr>
          <w:rFonts w:ascii="Times New Roman" w:hAnsi="Times New Roman" w:cs="Times New Roman"/>
          <w:sz w:val="24"/>
          <w:szCs w:val="24"/>
        </w:rPr>
        <w:t xml:space="preserve"> услуг</w:t>
      </w:r>
      <w:r w:rsidR="00751EF2" w:rsidRPr="002F5DB6">
        <w:rPr>
          <w:rFonts w:ascii="Times New Roman" w:hAnsi="Times New Roman" w:cs="Times New Roman"/>
          <w:sz w:val="24"/>
          <w:szCs w:val="24"/>
        </w:rPr>
        <w:t>)</w:t>
      </w:r>
      <w:r w:rsidRPr="002F5DB6">
        <w:rPr>
          <w:rFonts w:ascii="Times New Roman" w:hAnsi="Times New Roman" w:cs="Times New Roman"/>
          <w:sz w:val="24"/>
          <w:szCs w:val="24"/>
        </w:rPr>
        <w:t xml:space="preserve"> в общем </w:t>
      </w:r>
      <w:r w:rsidR="00751EF2" w:rsidRPr="002F5DB6">
        <w:rPr>
          <w:rFonts w:ascii="Times New Roman" w:hAnsi="Times New Roman" w:cs="Times New Roman"/>
          <w:sz w:val="24"/>
          <w:szCs w:val="24"/>
        </w:rPr>
        <w:t>количестве</w:t>
      </w:r>
      <w:r w:rsidRPr="002F5DB6">
        <w:rPr>
          <w:rFonts w:ascii="Times New Roman" w:hAnsi="Times New Roman" w:cs="Times New Roman"/>
          <w:sz w:val="24"/>
          <w:szCs w:val="24"/>
        </w:rPr>
        <w:t xml:space="preserve"> операций</w:t>
      </w:r>
      <w:r w:rsidR="00751EF2" w:rsidRPr="002F5DB6">
        <w:rPr>
          <w:rFonts w:ascii="Times New Roman" w:hAnsi="Times New Roman" w:cs="Times New Roman"/>
          <w:sz w:val="24"/>
          <w:szCs w:val="24"/>
        </w:rPr>
        <w:t xml:space="preserve"> с использованием банковских карт</w:t>
      </w:r>
      <w:r w:rsidRPr="002F5DB6">
        <w:rPr>
          <w:rFonts w:ascii="Times New Roman" w:hAnsi="Times New Roman" w:cs="Times New Roman"/>
          <w:sz w:val="24"/>
          <w:szCs w:val="24"/>
        </w:rPr>
        <w:t>, наибольший удельный вес в</w:t>
      </w:r>
      <w:r w:rsidRPr="008A651D">
        <w:rPr>
          <w:rFonts w:ascii="Times New Roman" w:hAnsi="Times New Roman" w:cs="Times New Roman"/>
          <w:sz w:val="24"/>
          <w:szCs w:val="24"/>
        </w:rPr>
        <w:t xml:space="preserve"> </w:t>
      </w:r>
      <w:r w:rsidR="002F5DB6">
        <w:rPr>
          <w:rFonts w:ascii="Times New Roman" w:hAnsi="Times New Roman" w:cs="Times New Roman"/>
          <w:sz w:val="24"/>
          <w:szCs w:val="24"/>
        </w:rPr>
        <w:t>денежном</w:t>
      </w:r>
      <w:r w:rsidRPr="008A651D">
        <w:rPr>
          <w:rFonts w:ascii="Times New Roman" w:hAnsi="Times New Roman" w:cs="Times New Roman"/>
          <w:sz w:val="24"/>
          <w:szCs w:val="24"/>
        </w:rPr>
        <w:t xml:space="preserve"> выражении по-прежнему приходится на снятие наличных </w:t>
      </w:r>
      <w:r w:rsidR="002F5DB6">
        <w:rPr>
          <w:rFonts w:ascii="Times New Roman" w:hAnsi="Times New Roman" w:cs="Times New Roman"/>
          <w:sz w:val="24"/>
          <w:szCs w:val="24"/>
        </w:rPr>
        <w:t>денег</w:t>
      </w:r>
      <w:r w:rsidRPr="008A651D">
        <w:rPr>
          <w:rFonts w:ascii="Times New Roman" w:hAnsi="Times New Roman" w:cs="Times New Roman"/>
          <w:sz w:val="24"/>
          <w:szCs w:val="24"/>
        </w:rPr>
        <w:t xml:space="preserve"> – 80,3%</w:t>
      </w:r>
      <w:r>
        <w:rPr>
          <w:rFonts w:ascii="Times New Roman" w:hAnsi="Times New Roman" w:cs="Times New Roman"/>
          <w:sz w:val="24"/>
          <w:szCs w:val="24"/>
        </w:rPr>
        <w:t>, однако по сравнению с предыдущим годом он уменьшился на 3,9 п.п</w:t>
      </w:r>
      <w:r w:rsidRPr="008A651D">
        <w:rPr>
          <w:rFonts w:ascii="Times New Roman" w:hAnsi="Times New Roman" w:cs="Times New Roman"/>
          <w:color w:val="000000" w:themeColor="text1"/>
          <w:sz w:val="24"/>
          <w:szCs w:val="24"/>
        </w:rPr>
        <w:t>. Сумма операци</w:t>
      </w:r>
      <w:r w:rsidR="00751EF2">
        <w:rPr>
          <w:rFonts w:ascii="Times New Roman" w:hAnsi="Times New Roman" w:cs="Times New Roman"/>
          <w:color w:val="000000" w:themeColor="text1"/>
          <w:sz w:val="24"/>
          <w:szCs w:val="24"/>
        </w:rPr>
        <w:t>й</w:t>
      </w:r>
      <w:r w:rsidRPr="008A651D">
        <w:rPr>
          <w:rFonts w:ascii="Times New Roman" w:hAnsi="Times New Roman" w:cs="Times New Roman"/>
          <w:color w:val="000000" w:themeColor="text1"/>
          <w:sz w:val="24"/>
          <w:szCs w:val="24"/>
        </w:rPr>
        <w:t xml:space="preserve"> по выдаче наличных увеличилас</w:t>
      </w:r>
      <w:r>
        <w:rPr>
          <w:rFonts w:ascii="Times New Roman" w:hAnsi="Times New Roman" w:cs="Times New Roman"/>
          <w:color w:val="000000" w:themeColor="text1"/>
          <w:sz w:val="24"/>
          <w:szCs w:val="24"/>
        </w:rPr>
        <w:t>ь на 15,1%, до 5 517,3 млн руб</w:t>
      </w:r>
      <w:r w:rsidRPr="008A651D">
        <w:rPr>
          <w:rFonts w:ascii="Times New Roman" w:hAnsi="Times New Roman" w:cs="Times New Roman"/>
          <w:color w:val="000000" w:themeColor="text1"/>
          <w:sz w:val="24"/>
          <w:szCs w:val="24"/>
        </w:rPr>
        <w:t>. В среднем за одну операцию обналичивалось 930,8 руб. прот</w:t>
      </w:r>
      <w:r>
        <w:rPr>
          <w:rFonts w:ascii="Times New Roman" w:hAnsi="Times New Roman" w:cs="Times New Roman"/>
          <w:color w:val="000000" w:themeColor="text1"/>
          <w:sz w:val="24"/>
          <w:szCs w:val="24"/>
        </w:rPr>
        <w:t>ив 927</w:t>
      </w:r>
      <w:r w:rsidRPr="008A651D">
        <w:rPr>
          <w:rFonts w:ascii="Times New Roman" w:hAnsi="Times New Roman" w:cs="Times New Roman"/>
          <w:color w:val="000000" w:themeColor="text1"/>
          <w:sz w:val="24"/>
          <w:szCs w:val="24"/>
        </w:rPr>
        <w:t>,2 руб. годом ранее. Объём операций по оплате товаров (работ, услуг) на территории республики, совершённых с использованием банковских карт, возрос в 1,5 раз</w:t>
      </w:r>
      <w:r w:rsidR="00751EF2">
        <w:rPr>
          <w:rFonts w:ascii="Times New Roman" w:hAnsi="Times New Roman" w:cs="Times New Roman"/>
          <w:color w:val="000000" w:themeColor="text1"/>
          <w:sz w:val="24"/>
          <w:szCs w:val="24"/>
        </w:rPr>
        <w:t>а</w:t>
      </w:r>
      <w:r w:rsidRPr="008A651D">
        <w:rPr>
          <w:rFonts w:ascii="Times New Roman" w:hAnsi="Times New Roman" w:cs="Times New Roman"/>
          <w:color w:val="000000" w:themeColor="text1"/>
          <w:sz w:val="24"/>
          <w:szCs w:val="24"/>
        </w:rPr>
        <w:t>, сложившись на уровне</w:t>
      </w:r>
      <w:r>
        <w:rPr>
          <w:rFonts w:ascii="Times New Roman" w:hAnsi="Times New Roman" w:cs="Times New Roman"/>
          <w:color w:val="000000" w:themeColor="text1"/>
          <w:sz w:val="24"/>
          <w:szCs w:val="24"/>
        </w:rPr>
        <w:t xml:space="preserve"> </w:t>
      </w:r>
      <w:r w:rsidRPr="008A651D">
        <w:rPr>
          <w:rFonts w:ascii="Times New Roman" w:hAnsi="Times New Roman" w:cs="Times New Roman"/>
          <w:color w:val="000000" w:themeColor="text1"/>
          <w:sz w:val="24"/>
          <w:szCs w:val="24"/>
        </w:rPr>
        <w:t>1 351,8 млн руб. (134,3 руб. в среднем на одну покупку</w:t>
      </w:r>
      <w:r>
        <w:rPr>
          <w:rFonts w:ascii="Times New Roman" w:hAnsi="Times New Roman" w:cs="Times New Roman"/>
          <w:color w:val="000000" w:themeColor="text1"/>
          <w:sz w:val="24"/>
          <w:szCs w:val="24"/>
        </w:rPr>
        <w:t xml:space="preserve"> против 127,2 руб. в 2018 году).</w:t>
      </w:r>
    </w:p>
    <w:p w14:paraId="2518851A" w14:textId="77777777" w:rsidR="00771ACA" w:rsidRDefault="00771ACA" w:rsidP="00771ACA">
      <w:pPr>
        <w:spacing w:before="0"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сравнению с 2018 годом количество денежных переводов с карты на карту увеличил</w:t>
      </w:r>
      <w:r w:rsidR="00B078B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сь вдвое – </w:t>
      </w:r>
      <w:r w:rsidR="00B078BD">
        <w:rPr>
          <w:rFonts w:ascii="Times New Roman" w:hAnsi="Times New Roman" w:cs="Times New Roman"/>
          <w:color w:val="000000" w:themeColor="text1"/>
          <w:sz w:val="24"/>
          <w:szCs w:val="24"/>
        </w:rPr>
        <w:t xml:space="preserve">проведено </w:t>
      </w:r>
      <w:r>
        <w:rPr>
          <w:rFonts w:ascii="Times New Roman" w:hAnsi="Times New Roman" w:cs="Times New Roman"/>
          <w:color w:val="000000" w:themeColor="text1"/>
          <w:sz w:val="24"/>
          <w:szCs w:val="24"/>
        </w:rPr>
        <w:t>62,3 тыс. операций.</w:t>
      </w:r>
    </w:p>
    <w:p w14:paraId="38B6F383" w14:textId="77777777" w:rsidR="00771ACA" w:rsidRPr="008A651D" w:rsidRDefault="00771ACA" w:rsidP="00771ACA">
      <w:pPr>
        <w:spacing w:before="0"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Активному распространению безналичных платежей способствует и рост </w:t>
      </w:r>
      <w:r w:rsidRPr="008A651D">
        <w:rPr>
          <w:rFonts w:ascii="Times New Roman" w:hAnsi="Times New Roman" w:cs="Times New Roman"/>
          <w:color w:val="000000" w:themeColor="text1"/>
          <w:sz w:val="24"/>
          <w:szCs w:val="24"/>
        </w:rPr>
        <w:t>количеств</w:t>
      </w:r>
      <w:r>
        <w:rPr>
          <w:rFonts w:ascii="Times New Roman" w:hAnsi="Times New Roman" w:cs="Times New Roman"/>
          <w:color w:val="000000" w:themeColor="text1"/>
          <w:sz w:val="24"/>
          <w:szCs w:val="24"/>
        </w:rPr>
        <w:t>а</w:t>
      </w:r>
      <w:r w:rsidRPr="008A651D">
        <w:rPr>
          <w:rFonts w:ascii="Times New Roman" w:hAnsi="Times New Roman" w:cs="Times New Roman"/>
          <w:color w:val="000000" w:themeColor="text1"/>
          <w:sz w:val="24"/>
          <w:szCs w:val="24"/>
        </w:rPr>
        <w:t xml:space="preserve"> клиентов – физических лиц, которым открыты счета в банках П</w:t>
      </w:r>
      <w:r w:rsidR="00313EC6">
        <w:rPr>
          <w:rFonts w:ascii="Times New Roman" w:hAnsi="Times New Roman" w:cs="Times New Roman"/>
          <w:color w:val="000000" w:themeColor="text1"/>
          <w:sz w:val="24"/>
          <w:szCs w:val="24"/>
        </w:rPr>
        <w:t xml:space="preserve">риднестровской </w:t>
      </w:r>
      <w:r w:rsidRPr="008A651D">
        <w:rPr>
          <w:rFonts w:ascii="Times New Roman" w:hAnsi="Times New Roman" w:cs="Times New Roman"/>
          <w:color w:val="000000" w:themeColor="text1"/>
          <w:sz w:val="24"/>
          <w:szCs w:val="24"/>
        </w:rPr>
        <w:t>М</w:t>
      </w:r>
      <w:r w:rsidR="00313EC6">
        <w:rPr>
          <w:rFonts w:ascii="Times New Roman" w:hAnsi="Times New Roman" w:cs="Times New Roman"/>
          <w:color w:val="000000" w:themeColor="text1"/>
          <w:sz w:val="24"/>
          <w:szCs w:val="24"/>
        </w:rPr>
        <w:t xml:space="preserve">олдавской </w:t>
      </w:r>
      <w:r w:rsidRPr="008A651D">
        <w:rPr>
          <w:rFonts w:ascii="Times New Roman" w:hAnsi="Times New Roman" w:cs="Times New Roman"/>
          <w:color w:val="000000" w:themeColor="text1"/>
          <w:sz w:val="24"/>
          <w:szCs w:val="24"/>
        </w:rPr>
        <w:t>Р</w:t>
      </w:r>
      <w:r w:rsidR="00313EC6">
        <w:rPr>
          <w:rFonts w:ascii="Times New Roman" w:hAnsi="Times New Roman" w:cs="Times New Roman"/>
          <w:color w:val="000000" w:themeColor="text1"/>
          <w:sz w:val="24"/>
          <w:szCs w:val="24"/>
        </w:rPr>
        <w:t>еспублики</w:t>
      </w:r>
      <w:r>
        <w:rPr>
          <w:rFonts w:ascii="Times New Roman" w:hAnsi="Times New Roman" w:cs="Times New Roman"/>
          <w:color w:val="000000" w:themeColor="text1"/>
          <w:sz w:val="24"/>
          <w:szCs w:val="24"/>
        </w:rPr>
        <w:t xml:space="preserve"> – на 9,1%, до </w:t>
      </w:r>
      <w:r>
        <w:rPr>
          <w:rFonts w:ascii="Times New Roman" w:hAnsi="Times New Roman" w:cs="Times New Roman"/>
          <w:sz w:val="24"/>
          <w:szCs w:val="24"/>
        </w:rPr>
        <w:t>591,5 тыс. человек</w:t>
      </w:r>
      <w:r w:rsidRPr="008A651D">
        <w:rPr>
          <w:rFonts w:ascii="Times New Roman" w:hAnsi="Times New Roman" w:cs="Times New Roman"/>
          <w:sz w:val="24"/>
          <w:szCs w:val="24"/>
        </w:rPr>
        <w:t xml:space="preserve"> </w:t>
      </w:r>
      <w:r w:rsidRPr="008A651D">
        <w:rPr>
          <w:rFonts w:ascii="Times New Roman" w:hAnsi="Times New Roman" w:cs="Times New Roman"/>
          <w:color w:val="000000" w:themeColor="text1"/>
          <w:sz w:val="24"/>
          <w:szCs w:val="24"/>
        </w:rPr>
        <w:t>(с учётом того, что одно и то же физическое лицо может иметь счета в нескольких банках)</w:t>
      </w:r>
      <w:r w:rsidRPr="008A651D">
        <w:rPr>
          <w:rFonts w:ascii="Times New Roman" w:hAnsi="Times New Roman" w:cs="Times New Roman"/>
          <w:sz w:val="24"/>
          <w:szCs w:val="24"/>
        </w:rPr>
        <w:t>.</w:t>
      </w:r>
    </w:p>
    <w:p w14:paraId="5DA8C3DA" w14:textId="77777777" w:rsidR="00771ACA" w:rsidRPr="008A651D" w:rsidRDefault="00771ACA" w:rsidP="00771ACA">
      <w:pPr>
        <w:spacing w:before="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Помимо банковских карт безналичная сфера денежных расчётов и платежей на территории республики представлена девятью</w:t>
      </w:r>
      <w:r w:rsidRPr="008A651D">
        <w:rPr>
          <w:rFonts w:ascii="Times New Roman" w:hAnsi="Times New Roman" w:cs="Times New Roman"/>
          <w:sz w:val="24"/>
          <w:szCs w:val="24"/>
        </w:rPr>
        <w:t xml:space="preserve"> систем</w:t>
      </w:r>
      <w:r>
        <w:rPr>
          <w:rFonts w:ascii="Times New Roman" w:hAnsi="Times New Roman" w:cs="Times New Roman"/>
          <w:sz w:val="24"/>
          <w:szCs w:val="24"/>
        </w:rPr>
        <w:t>ами</w:t>
      </w:r>
      <w:r w:rsidRPr="008A651D">
        <w:rPr>
          <w:rFonts w:ascii="Times New Roman" w:hAnsi="Times New Roman" w:cs="Times New Roman"/>
          <w:sz w:val="24"/>
          <w:szCs w:val="24"/>
        </w:rPr>
        <w:t xml:space="preserve"> денежных переводов, 6 из которых международные («Золотая корона», «Контакт», «Western Union», «MoneyGram», «Юнистрим», «Близко») и 3 системы, осуществляющие денежные переводы по республике («Переводы по Приднестровью», «Ракета» и «Мгновенные переводы»). </w:t>
      </w:r>
    </w:p>
    <w:p w14:paraId="2E6E652D" w14:textId="623C2616" w:rsidR="00771ACA" w:rsidRPr="008A651D" w:rsidRDefault="00771ACA" w:rsidP="00771ACA">
      <w:pPr>
        <w:spacing w:before="0" w:after="0" w:line="240" w:lineRule="auto"/>
        <w:ind w:firstLine="426"/>
        <w:jc w:val="both"/>
        <w:rPr>
          <w:rFonts w:ascii="Times New Roman" w:hAnsi="Times New Roman" w:cs="Times New Roman"/>
          <w:color w:val="000000" w:themeColor="text1"/>
          <w:sz w:val="24"/>
          <w:szCs w:val="24"/>
        </w:rPr>
      </w:pPr>
      <w:r w:rsidRPr="008A651D">
        <w:rPr>
          <w:rFonts w:ascii="Times New Roman" w:hAnsi="Times New Roman" w:cs="Times New Roman"/>
          <w:sz w:val="24"/>
          <w:szCs w:val="24"/>
        </w:rPr>
        <w:t>За 2019 год объём средств, поступивших в Приднестровье по системам международных денежных переводов, увеличился на 9,8%, составив 104,1 млн в долларовом эквиваленте. Сумма средств, отправленных из республики за границу, выросла на 17,6%, до 32,4 млн долл. в эквиваленте. В результате сальдо по денежным переводам сложилось</w:t>
      </w:r>
      <w:r w:rsidRPr="008A651D">
        <w:rPr>
          <w:rFonts w:ascii="Times New Roman" w:hAnsi="Times New Roman" w:cs="Times New Roman"/>
          <w:color w:val="000000" w:themeColor="text1"/>
          <w:sz w:val="24"/>
          <w:szCs w:val="24"/>
        </w:rPr>
        <w:t xml:space="preserve"> на уровне </w:t>
      </w:r>
      <w:r w:rsidR="00693D34">
        <w:rPr>
          <w:rFonts w:ascii="Times New Roman" w:hAnsi="Times New Roman" w:cs="Times New Roman"/>
          <w:color w:val="000000" w:themeColor="text1"/>
          <w:sz w:val="24"/>
          <w:szCs w:val="24"/>
        </w:rPr>
        <w:br/>
      </w:r>
      <w:r w:rsidRPr="008A651D">
        <w:rPr>
          <w:rFonts w:ascii="Times New Roman" w:hAnsi="Times New Roman" w:cs="Times New Roman"/>
          <w:color w:val="000000" w:themeColor="text1"/>
          <w:sz w:val="24"/>
          <w:szCs w:val="24"/>
        </w:rPr>
        <w:t>71,7 млн долл., что на 6,5% превысило уровень 2018 года.</w:t>
      </w:r>
      <w:r>
        <w:rPr>
          <w:rFonts w:ascii="Times New Roman" w:hAnsi="Times New Roman" w:cs="Times New Roman"/>
          <w:color w:val="000000" w:themeColor="text1"/>
          <w:sz w:val="24"/>
          <w:szCs w:val="24"/>
        </w:rPr>
        <w:t xml:space="preserve"> Основной страной, откуда поступают частные трансферты и куда направляются из </w:t>
      </w:r>
      <w:r w:rsidR="00313EC6" w:rsidRPr="008A651D">
        <w:rPr>
          <w:rFonts w:ascii="Times New Roman" w:hAnsi="Times New Roman" w:cs="Times New Roman"/>
          <w:color w:val="000000" w:themeColor="text1"/>
          <w:sz w:val="24"/>
          <w:szCs w:val="24"/>
        </w:rPr>
        <w:t>П</w:t>
      </w:r>
      <w:r w:rsidR="00313EC6">
        <w:rPr>
          <w:rFonts w:ascii="Times New Roman" w:hAnsi="Times New Roman" w:cs="Times New Roman"/>
          <w:color w:val="000000" w:themeColor="text1"/>
          <w:sz w:val="24"/>
          <w:szCs w:val="24"/>
        </w:rPr>
        <w:t xml:space="preserve">риднестровской </w:t>
      </w:r>
      <w:r w:rsidR="00313EC6" w:rsidRPr="008A651D">
        <w:rPr>
          <w:rFonts w:ascii="Times New Roman" w:hAnsi="Times New Roman" w:cs="Times New Roman"/>
          <w:color w:val="000000" w:themeColor="text1"/>
          <w:sz w:val="24"/>
          <w:szCs w:val="24"/>
        </w:rPr>
        <w:t>М</w:t>
      </w:r>
      <w:r w:rsidR="00313EC6">
        <w:rPr>
          <w:rFonts w:ascii="Times New Roman" w:hAnsi="Times New Roman" w:cs="Times New Roman"/>
          <w:color w:val="000000" w:themeColor="text1"/>
          <w:sz w:val="24"/>
          <w:szCs w:val="24"/>
        </w:rPr>
        <w:t xml:space="preserve">олдавской </w:t>
      </w:r>
      <w:r w:rsidR="00313EC6" w:rsidRPr="008A651D">
        <w:rPr>
          <w:rFonts w:ascii="Times New Roman" w:hAnsi="Times New Roman" w:cs="Times New Roman"/>
          <w:color w:val="000000" w:themeColor="text1"/>
          <w:sz w:val="24"/>
          <w:szCs w:val="24"/>
        </w:rPr>
        <w:t>Р</w:t>
      </w:r>
      <w:r w:rsidR="00313EC6">
        <w:rPr>
          <w:rFonts w:ascii="Times New Roman" w:hAnsi="Times New Roman" w:cs="Times New Roman"/>
          <w:color w:val="000000" w:themeColor="text1"/>
          <w:sz w:val="24"/>
          <w:szCs w:val="24"/>
        </w:rPr>
        <w:t>еспублики</w:t>
      </w:r>
      <w:r>
        <w:rPr>
          <w:rFonts w:ascii="Times New Roman" w:hAnsi="Times New Roman" w:cs="Times New Roman"/>
          <w:color w:val="000000" w:themeColor="text1"/>
          <w:sz w:val="24"/>
          <w:szCs w:val="24"/>
        </w:rPr>
        <w:t xml:space="preserve">, является Российская </w:t>
      </w:r>
      <w:r w:rsidRPr="007F346A">
        <w:rPr>
          <w:rFonts w:ascii="Times New Roman" w:hAnsi="Times New Roman" w:cs="Times New Roman"/>
          <w:color w:val="000000" w:themeColor="text1"/>
          <w:sz w:val="24"/>
          <w:szCs w:val="24"/>
        </w:rPr>
        <w:t>Федерация (63,5% и 52,1% соответственно). В валют</w:t>
      </w:r>
      <w:r>
        <w:rPr>
          <w:rFonts w:ascii="Times New Roman" w:hAnsi="Times New Roman" w:cs="Times New Roman"/>
          <w:color w:val="000000" w:themeColor="text1"/>
          <w:sz w:val="24"/>
          <w:szCs w:val="24"/>
        </w:rPr>
        <w:t xml:space="preserve">ной структуре наибольший удельный вес приходится на доллар </w:t>
      </w:r>
      <w:r w:rsidRPr="007F346A">
        <w:rPr>
          <w:rFonts w:ascii="Times New Roman" w:hAnsi="Times New Roman" w:cs="Times New Roman"/>
          <w:color w:val="000000" w:themeColor="text1"/>
          <w:sz w:val="24"/>
          <w:szCs w:val="24"/>
        </w:rPr>
        <w:t>США – 54,9% и 73,9% соответственно</w:t>
      </w:r>
      <w:r>
        <w:rPr>
          <w:rFonts w:ascii="Times New Roman" w:hAnsi="Times New Roman" w:cs="Times New Roman"/>
          <w:color w:val="000000" w:themeColor="text1"/>
          <w:sz w:val="24"/>
          <w:szCs w:val="24"/>
        </w:rPr>
        <w:t xml:space="preserve"> во входящем и исходящем денежном потоке. Как показал проведённый совместно коммерческими банками и П</w:t>
      </w:r>
      <w:r w:rsidR="0083024B">
        <w:rPr>
          <w:rFonts w:ascii="Times New Roman" w:hAnsi="Times New Roman" w:cs="Times New Roman"/>
          <w:color w:val="000000" w:themeColor="text1"/>
          <w:sz w:val="24"/>
          <w:szCs w:val="24"/>
        </w:rPr>
        <w:t>риднестровским республиканским банком</w:t>
      </w:r>
      <w:r>
        <w:rPr>
          <w:rFonts w:ascii="Times New Roman" w:hAnsi="Times New Roman" w:cs="Times New Roman"/>
          <w:color w:val="000000" w:themeColor="text1"/>
          <w:sz w:val="24"/>
          <w:szCs w:val="24"/>
        </w:rPr>
        <w:t xml:space="preserve"> опрос, превалирующая часть переводов связана с финансовой помощью родственникам.</w:t>
      </w:r>
    </w:p>
    <w:p w14:paraId="5C2C472A" w14:textId="77777777" w:rsidR="00771ACA" w:rsidRPr="007F346A" w:rsidRDefault="00771ACA" w:rsidP="00771ACA">
      <w:pPr>
        <w:spacing w:before="0" w:after="0" w:line="240" w:lineRule="auto"/>
        <w:ind w:firstLine="426"/>
        <w:jc w:val="both"/>
        <w:rPr>
          <w:rFonts w:ascii="Times New Roman" w:hAnsi="Times New Roman" w:cs="Times New Roman"/>
          <w:sz w:val="24"/>
          <w:szCs w:val="24"/>
        </w:rPr>
      </w:pPr>
      <w:r>
        <w:rPr>
          <w:rFonts w:ascii="Times New Roman" w:hAnsi="Times New Roman" w:cs="Times New Roman"/>
          <w:color w:val="000000" w:themeColor="text1"/>
          <w:sz w:val="24"/>
          <w:szCs w:val="24"/>
        </w:rPr>
        <w:t>Кроме того, услуги по переводу денежных средств оказывает сеть</w:t>
      </w:r>
      <w:r w:rsidRPr="008A651D">
        <w:rPr>
          <w:rFonts w:ascii="Times New Roman" w:hAnsi="Times New Roman" w:cs="Times New Roman"/>
          <w:color w:val="000000" w:themeColor="text1"/>
          <w:sz w:val="24"/>
          <w:szCs w:val="24"/>
        </w:rPr>
        <w:t xml:space="preserve"> почтовых отделений</w:t>
      </w:r>
      <w:r>
        <w:rPr>
          <w:rFonts w:ascii="Times New Roman" w:hAnsi="Times New Roman" w:cs="Times New Roman"/>
          <w:color w:val="000000" w:themeColor="text1"/>
          <w:sz w:val="24"/>
          <w:szCs w:val="24"/>
        </w:rPr>
        <w:t>. За 2019 год через них было</w:t>
      </w:r>
      <w:r w:rsidRPr="008A651D">
        <w:rPr>
          <w:rFonts w:ascii="Times New Roman" w:hAnsi="Times New Roman" w:cs="Times New Roman"/>
          <w:color w:val="000000" w:themeColor="text1"/>
          <w:sz w:val="24"/>
          <w:szCs w:val="24"/>
        </w:rPr>
        <w:t xml:space="preserve"> </w:t>
      </w:r>
      <w:r w:rsidRPr="00751EF2">
        <w:rPr>
          <w:rFonts w:ascii="Times New Roman" w:hAnsi="Times New Roman" w:cs="Times New Roman"/>
          <w:color w:val="000000" w:themeColor="text1"/>
          <w:sz w:val="24"/>
          <w:szCs w:val="24"/>
        </w:rPr>
        <w:t>переведено 7,2 млн руб. (-7,4% к базисному году</w:t>
      </w:r>
      <w:r w:rsidRPr="00751EF2">
        <w:rPr>
          <w:rFonts w:ascii="Times New Roman" w:hAnsi="Times New Roman" w:cs="Times New Roman"/>
          <w:sz w:val="24"/>
          <w:szCs w:val="24"/>
        </w:rPr>
        <w:t xml:space="preserve">), из которых 64,6% (4,6 млн руб.) пришлось на операции внутри республики. Для отправки денежных средств от граждан было принято 3,7 млн руб. (-7,4%), из которых 2,8 млн руб. (-5,5%) пересылались по территории </w:t>
      </w:r>
      <w:r w:rsidR="00313EC6" w:rsidRPr="008A651D">
        <w:rPr>
          <w:rFonts w:ascii="Times New Roman" w:hAnsi="Times New Roman" w:cs="Times New Roman"/>
          <w:color w:val="000000" w:themeColor="text1"/>
          <w:sz w:val="24"/>
          <w:szCs w:val="24"/>
        </w:rPr>
        <w:t>П</w:t>
      </w:r>
      <w:r w:rsidR="00313EC6">
        <w:rPr>
          <w:rFonts w:ascii="Times New Roman" w:hAnsi="Times New Roman" w:cs="Times New Roman"/>
          <w:color w:val="000000" w:themeColor="text1"/>
          <w:sz w:val="24"/>
          <w:szCs w:val="24"/>
        </w:rPr>
        <w:t xml:space="preserve">риднестровской </w:t>
      </w:r>
      <w:r w:rsidR="00313EC6" w:rsidRPr="008A651D">
        <w:rPr>
          <w:rFonts w:ascii="Times New Roman" w:hAnsi="Times New Roman" w:cs="Times New Roman"/>
          <w:color w:val="000000" w:themeColor="text1"/>
          <w:sz w:val="24"/>
          <w:szCs w:val="24"/>
        </w:rPr>
        <w:t>М</w:t>
      </w:r>
      <w:r w:rsidR="00313EC6">
        <w:rPr>
          <w:rFonts w:ascii="Times New Roman" w:hAnsi="Times New Roman" w:cs="Times New Roman"/>
          <w:color w:val="000000" w:themeColor="text1"/>
          <w:sz w:val="24"/>
          <w:szCs w:val="24"/>
        </w:rPr>
        <w:t xml:space="preserve">олдавской </w:t>
      </w:r>
      <w:r w:rsidR="00313EC6" w:rsidRPr="008A651D">
        <w:rPr>
          <w:rFonts w:ascii="Times New Roman" w:hAnsi="Times New Roman" w:cs="Times New Roman"/>
          <w:color w:val="000000" w:themeColor="text1"/>
          <w:sz w:val="24"/>
          <w:szCs w:val="24"/>
        </w:rPr>
        <w:t>Р</w:t>
      </w:r>
      <w:r w:rsidR="00313EC6">
        <w:rPr>
          <w:rFonts w:ascii="Times New Roman" w:hAnsi="Times New Roman" w:cs="Times New Roman"/>
          <w:color w:val="000000" w:themeColor="text1"/>
          <w:sz w:val="24"/>
          <w:szCs w:val="24"/>
        </w:rPr>
        <w:t>еспублики</w:t>
      </w:r>
      <w:r w:rsidRPr="00751EF2">
        <w:rPr>
          <w:rFonts w:ascii="Times New Roman" w:hAnsi="Times New Roman" w:cs="Times New Roman"/>
          <w:sz w:val="24"/>
          <w:szCs w:val="24"/>
        </w:rPr>
        <w:t>. Объём выданных населению средств составил 3,4 млн</w:t>
      </w:r>
      <w:r w:rsidRPr="007F346A">
        <w:rPr>
          <w:rFonts w:ascii="Times New Roman" w:hAnsi="Times New Roman" w:cs="Times New Roman"/>
          <w:sz w:val="24"/>
          <w:szCs w:val="24"/>
        </w:rPr>
        <w:t xml:space="preserve"> руб. (-7,3%), из которых в рамках внутренних переводов – 1,9 млн руб. (-21,5%).</w:t>
      </w:r>
    </w:p>
    <w:p w14:paraId="2DD53383" w14:textId="77777777" w:rsidR="00604578" w:rsidRDefault="00604578" w:rsidP="00A95862">
      <w:pPr>
        <w:widowControl w:val="0"/>
        <w:ind w:firstLine="425"/>
        <w:jc w:val="center"/>
        <w:rPr>
          <w:b/>
          <w:bCs/>
          <w:noProof/>
          <w:sz w:val="28"/>
          <w:szCs w:val="28"/>
        </w:rPr>
      </w:pPr>
    </w:p>
    <w:p w14:paraId="73E29174" w14:textId="77777777" w:rsidR="00604578" w:rsidRDefault="00604578" w:rsidP="00A95862">
      <w:pPr>
        <w:widowControl w:val="0"/>
        <w:ind w:firstLine="425"/>
        <w:jc w:val="center"/>
        <w:rPr>
          <w:b/>
          <w:bCs/>
          <w:noProof/>
          <w:sz w:val="28"/>
          <w:szCs w:val="28"/>
        </w:rPr>
      </w:pPr>
    </w:p>
    <w:p w14:paraId="4D440D98" w14:textId="77777777" w:rsidR="00604578" w:rsidRDefault="00604578" w:rsidP="00A95862">
      <w:pPr>
        <w:widowControl w:val="0"/>
        <w:ind w:firstLine="425"/>
        <w:jc w:val="center"/>
        <w:rPr>
          <w:b/>
          <w:bCs/>
          <w:noProof/>
          <w:sz w:val="28"/>
          <w:szCs w:val="28"/>
        </w:rPr>
      </w:pPr>
    </w:p>
    <w:p w14:paraId="5873845F" w14:textId="77777777" w:rsidR="00604578" w:rsidRDefault="00604578" w:rsidP="00A95862">
      <w:pPr>
        <w:widowControl w:val="0"/>
        <w:ind w:firstLine="425"/>
        <w:jc w:val="center"/>
        <w:rPr>
          <w:b/>
          <w:bCs/>
          <w:noProof/>
          <w:sz w:val="28"/>
          <w:szCs w:val="28"/>
        </w:rPr>
      </w:pPr>
    </w:p>
    <w:p w14:paraId="0732EE44" w14:textId="77777777" w:rsidR="00604578" w:rsidRDefault="00604578" w:rsidP="00A95862">
      <w:pPr>
        <w:widowControl w:val="0"/>
        <w:ind w:firstLine="425"/>
        <w:jc w:val="center"/>
        <w:rPr>
          <w:b/>
          <w:bCs/>
          <w:noProof/>
          <w:sz w:val="28"/>
          <w:szCs w:val="28"/>
        </w:rPr>
      </w:pPr>
    </w:p>
    <w:p w14:paraId="6C3395D7" w14:textId="77777777" w:rsidR="00604578" w:rsidRDefault="00604578" w:rsidP="00A95862">
      <w:pPr>
        <w:widowControl w:val="0"/>
        <w:ind w:firstLine="425"/>
        <w:jc w:val="center"/>
        <w:rPr>
          <w:b/>
          <w:bCs/>
          <w:noProof/>
          <w:sz w:val="28"/>
          <w:szCs w:val="28"/>
        </w:rPr>
      </w:pPr>
    </w:p>
    <w:p w14:paraId="7F0C3B3C" w14:textId="77777777" w:rsidR="00604578" w:rsidRDefault="00604578" w:rsidP="00A95862">
      <w:pPr>
        <w:widowControl w:val="0"/>
        <w:ind w:firstLine="425"/>
        <w:jc w:val="center"/>
        <w:rPr>
          <w:b/>
          <w:bCs/>
          <w:noProof/>
          <w:sz w:val="28"/>
          <w:szCs w:val="28"/>
        </w:rPr>
      </w:pPr>
    </w:p>
    <w:p w14:paraId="29E0F749" w14:textId="77777777" w:rsidR="00604578" w:rsidRDefault="00604578" w:rsidP="00A95862">
      <w:pPr>
        <w:widowControl w:val="0"/>
        <w:ind w:firstLine="425"/>
        <w:jc w:val="center"/>
        <w:rPr>
          <w:b/>
          <w:bCs/>
          <w:noProof/>
          <w:sz w:val="28"/>
          <w:szCs w:val="28"/>
        </w:rPr>
      </w:pPr>
    </w:p>
    <w:p w14:paraId="7180C16B" w14:textId="4D073DF6" w:rsidR="00A95862" w:rsidRPr="00170B9B" w:rsidRDefault="00A95862" w:rsidP="0083024B">
      <w:pPr>
        <w:widowControl w:val="0"/>
        <w:spacing w:before="0" w:after="120"/>
        <w:ind w:firstLine="425"/>
        <w:jc w:val="center"/>
        <w:rPr>
          <w:b/>
          <w:bCs/>
          <w:noProof/>
          <w:sz w:val="28"/>
          <w:szCs w:val="28"/>
        </w:rPr>
      </w:pPr>
      <w:r w:rsidRPr="00170B9B">
        <w:rPr>
          <w:b/>
          <w:bCs/>
          <w:noProof/>
          <w:sz w:val="28"/>
          <w:szCs w:val="28"/>
        </w:rPr>
        <w:t>РАЗДЕЛ 2. ДЕЯТЕЛЬНОСТЬ ПРИДНЕСТРОВСКОГО РЕСПУБЛИКАНСКОГО БАНКА В 2019 ГОДУ</w:t>
      </w:r>
    </w:p>
    <w:p w14:paraId="73890F24" w14:textId="77777777" w:rsidR="00A95862" w:rsidRDefault="00A95862" w:rsidP="00A95862">
      <w:pPr>
        <w:spacing w:before="120" w:after="0" w:line="240" w:lineRule="auto"/>
        <w:ind w:firstLine="425"/>
        <w:jc w:val="both"/>
        <w:rPr>
          <w:rFonts w:ascii="Times New Roman" w:hAnsi="Times New Roman" w:cs="Times New Roman"/>
          <w:b/>
          <w:bCs/>
          <w:sz w:val="24"/>
          <w:szCs w:val="24"/>
        </w:rPr>
      </w:pPr>
    </w:p>
    <w:p w14:paraId="6C16E038" w14:textId="77777777" w:rsidR="005211EE" w:rsidRPr="00170B9B" w:rsidRDefault="005211EE" w:rsidP="00A95862">
      <w:pPr>
        <w:spacing w:before="120" w:after="0" w:line="240" w:lineRule="auto"/>
        <w:ind w:firstLine="425"/>
        <w:jc w:val="both"/>
        <w:rPr>
          <w:rFonts w:ascii="Times New Roman" w:hAnsi="Times New Roman" w:cs="Times New Roman"/>
          <w:b/>
          <w:bCs/>
          <w:sz w:val="24"/>
          <w:szCs w:val="24"/>
        </w:rPr>
      </w:pPr>
    </w:p>
    <w:p w14:paraId="44A4C632" w14:textId="77777777" w:rsidR="00A95862" w:rsidRPr="00170B9B" w:rsidRDefault="00A95862" w:rsidP="00A95862">
      <w:pPr>
        <w:pStyle w:val="1"/>
        <w:widowControl w:val="0"/>
        <w:spacing w:before="0" w:line="240" w:lineRule="auto"/>
        <w:rPr>
          <w:b/>
          <w:bCs/>
          <w:noProof/>
          <w:sz w:val="24"/>
          <w:szCs w:val="24"/>
        </w:rPr>
      </w:pPr>
      <w:r>
        <w:rPr>
          <w:b/>
          <w:bCs/>
          <w:noProof/>
          <w:sz w:val="24"/>
          <w:szCs w:val="24"/>
        </w:rPr>
        <w:t>2.1.</w:t>
      </w:r>
      <w:r w:rsidRPr="00170B9B">
        <w:rPr>
          <w:b/>
          <w:bCs/>
          <w:noProof/>
          <w:sz w:val="24"/>
          <w:szCs w:val="24"/>
        </w:rPr>
        <w:t xml:space="preserve"> ДЕНЕЖНО-КРЕДИТНАЯ ПОЛИТИКА</w:t>
      </w:r>
    </w:p>
    <w:p w14:paraId="00543DC4" w14:textId="77777777" w:rsidR="00A95862" w:rsidRDefault="00A95862" w:rsidP="00A95862">
      <w:pPr>
        <w:spacing w:before="0" w:after="0" w:line="240" w:lineRule="auto"/>
        <w:ind w:firstLine="425"/>
        <w:jc w:val="both"/>
        <w:rPr>
          <w:rFonts w:ascii="Times New Roman" w:hAnsi="Times New Roman" w:cs="Times New Roman"/>
          <w:i/>
          <w:iCs/>
          <w:sz w:val="24"/>
          <w:szCs w:val="24"/>
        </w:rPr>
      </w:pPr>
    </w:p>
    <w:p w14:paraId="3AD23443" w14:textId="77777777" w:rsidR="00A95862" w:rsidRPr="006728F7" w:rsidRDefault="00A95862" w:rsidP="00A95862">
      <w:pPr>
        <w:pStyle w:val="2"/>
        <w:rPr>
          <w:b/>
          <w:noProof/>
        </w:rPr>
      </w:pPr>
      <w:r w:rsidRPr="006728F7">
        <w:rPr>
          <w:b/>
          <w:noProof/>
        </w:rPr>
        <w:t>Цели и результаты денежно-кредитной политики</w:t>
      </w:r>
    </w:p>
    <w:p w14:paraId="2D2BC0B0"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028BF9B5"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Реализация денежно-кредитной политики производилась в соответствии с целями и задачами, изложенными в Основных направлениях единой государственной денежно-кредитной политики на 2019 год</w:t>
      </w:r>
      <w:r>
        <w:rPr>
          <w:rFonts w:ascii="Times New Roman" w:hAnsi="Times New Roman" w:cs="Times New Roman"/>
          <w:sz w:val="24"/>
          <w:szCs w:val="24"/>
        </w:rPr>
        <w:t xml:space="preserve">, и </w:t>
      </w:r>
      <w:r w:rsidRPr="00170B9B">
        <w:rPr>
          <w:rFonts w:ascii="Times New Roman" w:hAnsi="Times New Roman" w:cs="Times New Roman"/>
          <w:sz w:val="24"/>
          <w:szCs w:val="24"/>
        </w:rPr>
        <w:t xml:space="preserve">была основана на таргетировании валютного курса в рамках заданного валютного коридора, целевой ориентир которого был заложен в диапазоне 16,1-16,5 руб./долл. </w:t>
      </w:r>
    </w:p>
    <w:p w14:paraId="4EF73918"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течение года </w:t>
      </w:r>
      <w:r>
        <w:rPr>
          <w:rFonts w:ascii="Times New Roman" w:hAnsi="Times New Roman" w:cs="Times New Roman"/>
          <w:sz w:val="24"/>
          <w:szCs w:val="24"/>
        </w:rPr>
        <w:t>о</w:t>
      </w:r>
      <w:r w:rsidRPr="00170B9B">
        <w:rPr>
          <w:rFonts w:ascii="Times New Roman" w:hAnsi="Times New Roman" w:cs="Times New Roman"/>
          <w:sz w:val="24"/>
          <w:szCs w:val="24"/>
        </w:rPr>
        <w:t xml:space="preserve">фициальный курс доллара США сохранялся на нижней границе </w:t>
      </w:r>
      <w:r>
        <w:rPr>
          <w:rFonts w:ascii="Times New Roman" w:hAnsi="Times New Roman" w:cs="Times New Roman"/>
          <w:sz w:val="24"/>
          <w:szCs w:val="24"/>
        </w:rPr>
        <w:t xml:space="preserve">коридора </w:t>
      </w:r>
      <w:r w:rsidRPr="00170B9B">
        <w:rPr>
          <w:rFonts w:ascii="Times New Roman" w:hAnsi="Times New Roman" w:cs="Times New Roman"/>
          <w:sz w:val="24"/>
          <w:szCs w:val="24"/>
        </w:rPr>
        <w:t xml:space="preserve">– 16,1 руб. ПМР. Его средневзвешенное значение (16,1 руб. ПМР) превысило показатель </w:t>
      </w:r>
      <w:r w:rsidR="00BA5EFA">
        <w:rPr>
          <w:rFonts w:ascii="Times New Roman" w:hAnsi="Times New Roman" w:cs="Times New Roman"/>
          <w:sz w:val="24"/>
          <w:szCs w:val="24"/>
        </w:rPr>
        <w:br/>
      </w:r>
      <w:r w:rsidRPr="00170B9B">
        <w:rPr>
          <w:rFonts w:ascii="Times New Roman" w:hAnsi="Times New Roman" w:cs="Times New Roman"/>
          <w:sz w:val="24"/>
          <w:szCs w:val="24"/>
        </w:rPr>
        <w:t xml:space="preserve">2018 года всего на 0,3%. </w:t>
      </w:r>
      <w:r>
        <w:rPr>
          <w:rFonts w:ascii="Times New Roman" w:hAnsi="Times New Roman" w:cs="Times New Roman"/>
          <w:sz w:val="24"/>
          <w:szCs w:val="24"/>
        </w:rPr>
        <w:t xml:space="preserve">Средний курс доллара США на наличном рынке был </w:t>
      </w:r>
      <w:r w:rsidRPr="00170B9B">
        <w:rPr>
          <w:rFonts w:ascii="Times New Roman" w:hAnsi="Times New Roman" w:cs="Times New Roman"/>
          <w:sz w:val="24"/>
          <w:szCs w:val="24"/>
        </w:rPr>
        <w:t>на 1,6% выше официальной котировки Банка Приднестровья</w:t>
      </w:r>
      <w:r>
        <w:rPr>
          <w:rFonts w:ascii="Times New Roman" w:hAnsi="Times New Roman" w:cs="Times New Roman"/>
          <w:sz w:val="24"/>
          <w:szCs w:val="24"/>
        </w:rPr>
        <w:t>.</w:t>
      </w:r>
      <w:r w:rsidRPr="00170B9B">
        <w:rPr>
          <w:rFonts w:ascii="Times New Roman" w:hAnsi="Times New Roman" w:cs="Times New Roman"/>
          <w:sz w:val="24"/>
          <w:szCs w:val="24"/>
        </w:rPr>
        <w:t xml:space="preserve"> </w:t>
      </w:r>
    </w:p>
    <w:p w14:paraId="7D562B3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условиях гипероткрытости экономики республики одним из основных индикаторов </w:t>
      </w:r>
      <w:r>
        <w:rPr>
          <w:rFonts w:ascii="Times New Roman" w:hAnsi="Times New Roman" w:cs="Times New Roman"/>
          <w:sz w:val="24"/>
          <w:szCs w:val="24"/>
        </w:rPr>
        <w:t>при принятии решений по валютному курсу является</w:t>
      </w:r>
      <w:r w:rsidRPr="00170B9B">
        <w:rPr>
          <w:rFonts w:ascii="Times New Roman" w:hAnsi="Times New Roman" w:cs="Times New Roman"/>
          <w:sz w:val="24"/>
          <w:szCs w:val="24"/>
        </w:rPr>
        <w:t xml:space="preserve"> динамика реального эффективного курса приднестровского рубля, отражающая относительную ценовую конкурентоспособность приднестровского экспорта на внешних рынках. </w:t>
      </w:r>
    </w:p>
    <w:p w14:paraId="6DC55B49"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Разница в темпах роста потребительских цен в республике и в странах</w:t>
      </w:r>
      <w:r>
        <w:rPr>
          <w:rFonts w:ascii="Times New Roman" w:hAnsi="Times New Roman" w:cs="Times New Roman"/>
          <w:sz w:val="24"/>
          <w:szCs w:val="24"/>
        </w:rPr>
        <w:t xml:space="preserve"> – </w:t>
      </w:r>
      <w:r w:rsidRPr="00170B9B">
        <w:rPr>
          <w:rFonts w:ascii="Times New Roman" w:hAnsi="Times New Roman" w:cs="Times New Roman"/>
          <w:sz w:val="24"/>
          <w:szCs w:val="24"/>
        </w:rPr>
        <w:t>основных торговых партнёрах с учётом динамики процессов курсообразования на внутреннем валютном рынке определил</w:t>
      </w:r>
      <w:r>
        <w:rPr>
          <w:rFonts w:ascii="Times New Roman" w:hAnsi="Times New Roman" w:cs="Times New Roman"/>
          <w:sz w:val="24"/>
          <w:szCs w:val="24"/>
        </w:rPr>
        <w:t>а</w:t>
      </w:r>
      <w:r w:rsidRPr="00170B9B">
        <w:rPr>
          <w:rFonts w:ascii="Times New Roman" w:hAnsi="Times New Roman" w:cs="Times New Roman"/>
          <w:sz w:val="24"/>
          <w:szCs w:val="24"/>
        </w:rPr>
        <w:t xml:space="preserve"> </w:t>
      </w:r>
      <w:r>
        <w:rPr>
          <w:rFonts w:ascii="Times New Roman" w:hAnsi="Times New Roman" w:cs="Times New Roman"/>
          <w:sz w:val="24"/>
          <w:szCs w:val="24"/>
        </w:rPr>
        <w:t>снижение</w:t>
      </w:r>
      <w:r w:rsidRPr="00170B9B">
        <w:rPr>
          <w:rFonts w:ascii="Times New Roman" w:hAnsi="Times New Roman" w:cs="Times New Roman"/>
          <w:sz w:val="24"/>
          <w:szCs w:val="24"/>
        </w:rPr>
        <w:t xml:space="preserve"> реального эффективного курса приднестровского рубля </w:t>
      </w:r>
      <w:r>
        <w:rPr>
          <w:rFonts w:ascii="Times New Roman" w:hAnsi="Times New Roman" w:cs="Times New Roman"/>
          <w:sz w:val="24"/>
          <w:szCs w:val="24"/>
        </w:rPr>
        <w:t>на</w:t>
      </w:r>
      <w:r w:rsidRPr="00170B9B">
        <w:rPr>
          <w:rFonts w:ascii="Times New Roman" w:hAnsi="Times New Roman" w:cs="Times New Roman"/>
          <w:sz w:val="24"/>
          <w:szCs w:val="24"/>
        </w:rPr>
        <w:t xml:space="preserve"> 3,</w:t>
      </w:r>
      <w:r w:rsidR="00BA5EFA">
        <w:rPr>
          <w:rFonts w:ascii="Times New Roman" w:hAnsi="Times New Roman" w:cs="Times New Roman"/>
          <w:sz w:val="24"/>
          <w:szCs w:val="24"/>
        </w:rPr>
        <w:t>5</w:t>
      </w:r>
      <w:r w:rsidRPr="00170B9B">
        <w:rPr>
          <w:rFonts w:ascii="Times New Roman" w:hAnsi="Times New Roman" w:cs="Times New Roman"/>
          <w:sz w:val="24"/>
          <w:szCs w:val="24"/>
        </w:rPr>
        <w:t xml:space="preserve">%, </w:t>
      </w:r>
      <w:r>
        <w:rPr>
          <w:rFonts w:ascii="Times New Roman" w:hAnsi="Times New Roman" w:cs="Times New Roman"/>
          <w:sz w:val="24"/>
          <w:szCs w:val="24"/>
        </w:rPr>
        <w:t>что нивелировало его укрепление по итогам 2018 года и</w:t>
      </w:r>
      <w:r w:rsidRPr="00170B9B">
        <w:rPr>
          <w:rFonts w:ascii="Times New Roman" w:hAnsi="Times New Roman" w:cs="Times New Roman"/>
          <w:sz w:val="24"/>
          <w:szCs w:val="24"/>
        </w:rPr>
        <w:t xml:space="preserve"> оказывало стимулирующее воздействие на относительные ценовые конкурентные позиции отечественного экспорта на внешнем рынке. </w:t>
      </w:r>
    </w:p>
    <w:p w14:paraId="474BEC3E"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54D23E6D" w14:textId="77777777" w:rsidR="00A95862" w:rsidRPr="00235BE2" w:rsidRDefault="00A95862" w:rsidP="00A95862">
      <w:pPr>
        <w:pStyle w:val="2"/>
        <w:rPr>
          <w:b/>
          <w:noProof/>
        </w:rPr>
      </w:pPr>
      <w:r w:rsidRPr="00235BE2">
        <w:rPr>
          <w:b/>
          <w:noProof/>
        </w:rPr>
        <w:lastRenderedPageBreak/>
        <w:t xml:space="preserve">Инструменты денежно-кредитной политики </w:t>
      </w:r>
    </w:p>
    <w:p w14:paraId="20B1B763"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5CD517FF" w14:textId="01D6A7B1" w:rsidR="00A95862" w:rsidRPr="00170B9B" w:rsidRDefault="00A95862" w:rsidP="00253E18">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Центральный банк в своей деятельности применял инструменты, соответствующие целям и задачам, поставленным в отчётном году. Основным инструментом денежно-кредитной политики в течение отчётного периода оставались </w:t>
      </w:r>
      <w:r w:rsidR="00E71708">
        <w:rPr>
          <w:rFonts w:ascii="Times New Roman" w:hAnsi="Times New Roman" w:cs="Times New Roman"/>
          <w:sz w:val="24"/>
          <w:szCs w:val="24"/>
        </w:rPr>
        <w:t xml:space="preserve">безналичные </w:t>
      </w:r>
      <w:r w:rsidR="00253E18">
        <w:rPr>
          <w:rFonts w:ascii="Times New Roman" w:hAnsi="Times New Roman" w:cs="Times New Roman"/>
          <w:sz w:val="24"/>
          <w:szCs w:val="24"/>
        </w:rPr>
        <w:t xml:space="preserve">валютные интервенции, которые проводились </w:t>
      </w:r>
      <w:r w:rsidRPr="00170B9B">
        <w:rPr>
          <w:rFonts w:ascii="Times New Roman" w:hAnsi="Times New Roman" w:cs="Times New Roman"/>
          <w:sz w:val="24"/>
          <w:szCs w:val="24"/>
        </w:rPr>
        <w:t xml:space="preserve">на постоянной основе посредством продажи иностранной валюты коммерческим банкам для их клиентов в установленном порядке не реже двух раз в неделю с отсрочкой поставки валюты до 60 дней, для нетто-экспортёров поставка осуществлялась в день проведения интервенции. </w:t>
      </w:r>
    </w:p>
    <w:p w14:paraId="760672F7"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Рассредоточив спрос на валюту во времени, центральный банк смог удовлетворить в полном объёме все заявки хозяйствующих субъектов на иностранную валюту. Общая сумма безналичных интервенций составила</w:t>
      </w:r>
      <w:r>
        <w:rPr>
          <w:rFonts w:ascii="Times New Roman" w:hAnsi="Times New Roman" w:cs="Times New Roman"/>
          <w:sz w:val="24"/>
          <w:szCs w:val="24"/>
        </w:rPr>
        <w:t xml:space="preserve"> </w:t>
      </w:r>
      <w:r w:rsidRPr="00170B9B">
        <w:rPr>
          <w:rFonts w:ascii="Times New Roman" w:hAnsi="Times New Roman" w:cs="Times New Roman"/>
          <w:sz w:val="24"/>
          <w:szCs w:val="24"/>
        </w:rPr>
        <w:t>218,3 млн в долларовом эквиваленте (-11,9% к уровню 2018 года)</w:t>
      </w:r>
      <w:r>
        <w:rPr>
          <w:rFonts w:ascii="Times New Roman" w:hAnsi="Times New Roman" w:cs="Times New Roman"/>
          <w:sz w:val="24"/>
          <w:szCs w:val="24"/>
        </w:rPr>
        <w:t>, наличные интервенции не проводились</w:t>
      </w:r>
      <w:r w:rsidRPr="00170B9B">
        <w:rPr>
          <w:rFonts w:ascii="Times New Roman" w:hAnsi="Times New Roman" w:cs="Times New Roman"/>
          <w:sz w:val="24"/>
          <w:szCs w:val="24"/>
        </w:rPr>
        <w:t>.</w:t>
      </w:r>
    </w:p>
    <w:p w14:paraId="70756C0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отчётном периоде не производилось корректировок ставок по основным инструментам регулирования банковской ликвидности. Нормативы обязательных резервов сохранялись на уровне, действующем с 1 февраля 2017 года: 15% – по отношению к обязательствам кредитных организаций перед юридическими лицами в рублях и 12% – к обязательствам в валюте. При этом депонирование осуществлялось исключительно в национальной валюте. </w:t>
      </w:r>
    </w:p>
    <w:p w14:paraId="63BF5EE1"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Общий объём средств, аккумулированных по состоянию на 1 января 2020 года в центральном банке в качестве обязательных резервов, по сравнению с данными на 1 января 2019 года увеличился на 0,5%, или на 1,5 млн руб., составив по действующим кредитным организациям 310,7 млн руб. </w:t>
      </w:r>
    </w:p>
    <w:p w14:paraId="3FA7B91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Ставка страховых взносов составляла 12% от обязательств банка перед физическими лицами в рублях и 14% – в иностранной валюте. За 2019 год объём страховых фондов возрос на 17,0%, или на 60,8 млн руб., до отметки 418,2 млн руб. </w:t>
      </w:r>
    </w:p>
    <w:p w14:paraId="2073F7D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Ставка рефинансирования в 2019 году была сохранена без изменений на уровне, действующем с 16 февраля 2017 года, – 7% годовых. </w:t>
      </w:r>
    </w:p>
    <w:p w14:paraId="1BF839E5"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центральный банк предоставлял коммерческим банкам ликвидность путём выдачи межбанковских кредитов, оформленных в форме возобновляемой кредитной линии под ставку рефинансирования с лимитом задолженности на сумму 40 млн руб. ПМР</w:t>
      </w:r>
      <w:r>
        <w:rPr>
          <w:rFonts w:ascii="Times New Roman" w:hAnsi="Times New Roman" w:cs="Times New Roman"/>
          <w:sz w:val="24"/>
          <w:szCs w:val="24"/>
        </w:rPr>
        <w:t>.</w:t>
      </w:r>
      <w:r w:rsidRPr="00170B9B">
        <w:rPr>
          <w:rFonts w:ascii="Times New Roman" w:hAnsi="Times New Roman" w:cs="Times New Roman"/>
          <w:sz w:val="24"/>
          <w:szCs w:val="24"/>
        </w:rPr>
        <w:t xml:space="preserve"> </w:t>
      </w:r>
    </w:p>
    <w:p w14:paraId="1CD1B58C" w14:textId="1DD4B275" w:rsidR="005211EE" w:rsidRDefault="005211EE" w:rsidP="00A95862">
      <w:pPr>
        <w:spacing w:before="0" w:after="0" w:line="240" w:lineRule="auto"/>
        <w:ind w:firstLine="425"/>
        <w:jc w:val="both"/>
        <w:rPr>
          <w:rFonts w:ascii="Times New Roman" w:hAnsi="Times New Roman" w:cs="Times New Roman"/>
          <w:sz w:val="24"/>
          <w:szCs w:val="24"/>
        </w:rPr>
      </w:pPr>
    </w:p>
    <w:p w14:paraId="03CEE17D" w14:textId="77777777" w:rsidR="00B55541" w:rsidRPr="00170B9B" w:rsidRDefault="00B55541" w:rsidP="00A95862">
      <w:pPr>
        <w:spacing w:before="0" w:after="0" w:line="240" w:lineRule="auto"/>
        <w:ind w:firstLine="425"/>
        <w:jc w:val="both"/>
        <w:rPr>
          <w:rFonts w:ascii="Times New Roman" w:hAnsi="Times New Roman" w:cs="Times New Roman"/>
          <w:sz w:val="24"/>
          <w:szCs w:val="24"/>
        </w:rPr>
      </w:pPr>
    </w:p>
    <w:p w14:paraId="7906D325" w14:textId="77777777" w:rsidR="00A95862" w:rsidRPr="00450764" w:rsidRDefault="00A95862" w:rsidP="00A95862">
      <w:pPr>
        <w:pStyle w:val="1"/>
        <w:widowControl w:val="0"/>
        <w:spacing w:before="0" w:line="240" w:lineRule="auto"/>
        <w:rPr>
          <w:b/>
          <w:bCs/>
          <w:noProof/>
          <w:sz w:val="24"/>
          <w:szCs w:val="24"/>
        </w:rPr>
      </w:pPr>
      <w:r w:rsidRPr="00450764">
        <w:rPr>
          <w:b/>
          <w:bCs/>
          <w:noProof/>
          <w:sz w:val="24"/>
          <w:szCs w:val="24"/>
        </w:rPr>
        <w:t xml:space="preserve"> </w:t>
      </w:r>
      <w:r>
        <w:rPr>
          <w:b/>
          <w:bCs/>
          <w:noProof/>
          <w:sz w:val="24"/>
          <w:szCs w:val="24"/>
        </w:rPr>
        <w:t xml:space="preserve">2.2. </w:t>
      </w:r>
      <w:r w:rsidRPr="00450764">
        <w:rPr>
          <w:b/>
          <w:bCs/>
          <w:noProof/>
          <w:sz w:val="24"/>
          <w:szCs w:val="24"/>
        </w:rPr>
        <w:t>ДИНАМИКА ЗОЛОТОВАЛЮТНЫХ РЕЗЕРВОВ</w:t>
      </w:r>
    </w:p>
    <w:p w14:paraId="15DF38CA"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2F926B16" w14:textId="3F2C126D"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Снижение спроса на валютные интервенции и легализация наличного валютного рынка позволили Приднестровском</w:t>
      </w:r>
      <w:r w:rsidR="00253E18">
        <w:rPr>
          <w:rFonts w:ascii="Times New Roman" w:hAnsi="Times New Roman" w:cs="Times New Roman"/>
          <w:sz w:val="24"/>
          <w:szCs w:val="24"/>
        </w:rPr>
        <w:t>у республиканскому банку исполня</w:t>
      </w:r>
      <w:r w:rsidRPr="00170B9B">
        <w:rPr>
          <w:rFonts w:ascii="Times New Roman" w:hAnsi="Times New Roman" w:cs="Times New Roman"/>
          <w:sz w:val="24"/>
          <w:szCs w:val="24"/>
        </w:rPr>
        <w:t xml:space="preserve">ть свои обязательства по ранее заключенным сделкам с банками – резидентами с целью изъятия излишней ликвидности на денежном рынке в 2017 году. </w:t>
      </w:r>
    </w:p>
    <w:p w14:paraId="2F4EC7A6" w14:textId="77777777" w:rsidR="00FE3A7F"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Пополнение золотовалютных резервов в 2019 году осуществлялось преимущественно за счёт обязательной продажи части валютной выручки, покупки иностранной валюты на межбанковском рынке</w:t>
      </w:r>
      <w:r w:rsidR="00CB23DD">
        <w:rPr>
          <w:rFonts w:ascii="Times New Roman" w:hAnsi="Times New Roman" w:cs="Times New Roman"/>
          <w:sz w:val="24"/>
          <w:szCs w:val="24"/>
        </w:rPr>
        <w:t xml:space="preserve"> и у Министерства финансов ПМР</w:t>
      </w:r>
      <w:r w:rsidRPr="00170B9B">
        <w:rPr>
          <w:rFonts w:ascii="Times New Roman" w:hAnsi="Times New Roman" w:cs="Times New Roman"/>
          <w:sz w:val="24"/>
          <w:szCs w:val="24"/>
        </w:rPr>
        <w:t>.</w:t>
      </w:r>
      <w:r w:rsidR="00FE3A7F">
        <w:rPr>
          <w:rFonts w:ascii="Times New Roman" w:hAnsi="Times New Roman" w:cs="Times New Roman"/>
          <w:sz w:val="24"/>
          <w:szCs w:val="24"/>
        </w:rPr>
        <w:t xml:space="preserve"> </w:t>
      </w:r>
    </w:p>
    <w:p w14:paraId="19D13B58" w14:textId="78A00E3A"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свою очередь, расходование золотовалютных резервов было обусловлено продажей иностранной валюты с отсрочкой поставки коммерческим банкам в рамках проводимых Приднестровским республиканским банком безналичных валютных интервенций, а также продажей иностранной валюты Министерству финансов П</w:t>
      </w:r>
      <w:r w:rsidR="00BA5EFA">
        <w:rPr>
          <w:rFonts w:ascii="Times New Roman" w:hAnsi="Times New Roman" w:cs="Times New Roman"/>
          <w:sz w:val="24"/>
          <w:szCs w:val="24"/>
        </w:rPr>
        <w:t xml:space="preserve">риднестровской </w:t>
      </w:r>
      <w:r w:rsidRPr="00170B9B">
        <w:rPr>
          <w:rFonts w:ascii="Times New Roman" w:hAnsi="Times New Roman" w:cs="Times New Roman"/>
          <w:sz w:val="24"/>
          <w:szCs w:val="24"/>
        </w:rPr>
        <w:t>М</w:t>
      </w:r>
      <w:r w:rsidR="00BA5EFA">
        <w:rPr>
          <w:rFonts w:ascii="Times New Roman" w:hAnsi="Times New Roman" w:cs="Times New Roman"/>
          <w:sz w:val="24"/>
          <w:szCs w:val="24"/>
        </w:rPr>
        <w:t xml:space="preserve">олдавской </w:t>
      </w:r>
      <w:r w:rsidRPr="00170B9B">
        <w:rPr>
          <w:rFonts w:ascii="Times New Roman" w:hAnsi="Times New Roman" w:cs="Times New Roman"/>
          <w:sz w:val="24"/>
          <w:szCs w:val="24"/>
        </w:rPr>
        <w:t>Р</w:t>
      </w:r>
      <w:r w:rsidR="00BA5EFA">
        <w:rPr>
          <w:rFonts w:ascii="Times New Roman" w:hAnsi="Times New Roman" w:cs="Times New Roman"/>
          <w:sz w:val="24"/>
          <w:szCs w:val="24"/>
        </w:rPr>
        <w:t>еспублики</w:t>
      </w:r>
      <w:r w:rsidRPr="00170B9B">
        <w:rPr>
          <w:rFonts w:ascii="Times New Roman" w:hAnsi="Times New Roman" w:cs="Times New Roman"/>
          <w:sz w:val="24"/>
          <w:szCs w:val="24"/>
        </w:rPr>
        <w:t>.</w:t>
      </w:r>
    </w:p>
    <w:p w14:paraId="0ADE56DE"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За 2019 год золотовалютные резервы восстановились на 36,4 млн в долларовом экв</w:t>
      </w:r>
      <w:r>
        <w:rPr>
          <w:rFonts w:ascii="Times New Roman" w:hAnsi="Times New Roman" w:cs="Times New Roman"/>
          <w:sz w:val="24"/>
          <w:szCs w:val="24"/>
        </w:rPr>
        <w:t>иваленте</w:t>
      </w:r>
      <w:r w:rsidRPr="00170B9B">
        <w:rPr>
          <w:rFonts w:ascii="Times New Roman" w:hAnsi="Times New Roman" w:cs="Times New Roman"/>
          <w:sz w:val="24"/>
          <w:szCs w:val="24"/>
        </w:rPr>
        <w:t xml:space="preserve">. В то же время </w:t>
      </w:r>
      <w:r>
        <w:rPr>
          <w:rFonts w:ascii="Times New Roman" w:hAnsi="Times New Roman" w:cs="Times New Roman"/>
          <w:sz w:val="24"/>
          <w:szCs w:val="24"/>
        </w:rPr>
        <w:t xml:space="preserve">их </w:t>
      </w:r>
      <w:r w:rsidRPr="00170B9B">
        <w:rPr>
          <w:rFonts w:ascii="Times New Roman" w:hAnsi="Times New Roman" w:cs="Times New Roman"/>
          <w:sz w:val="24"/>
          <w:szCs w:val="24"/>
        </w:rPr>
        <w:t xml:space="preserve">объём всё ещё находится в отрицательной зоне, что негативно </w:t>
      </w:r>
      <w:r w:rsidRPr="00170B9B">
        <w:rPr>
          <w:rFonts w:ascii="Times New Roman" w:hAnsi="Times New Roman" w:cs="Times New Roman"/>
          <w:sz w:val="24"/>
          <w:szCs w:val="24"/>
        </w:rPr>
        <w:lastRenderedPageBreak/>
        <w:t xml:space="preserve">сказывается на оперативной работе </w:t>
      </w:r>
      <w:r>
        <w:rPr>
          <w:rFonts w:ascii="Times New Roman" w:hAnsi="Times New Roman" w:cs="Times New Roman"/>
          <w:sz w:val="24"/>
          <w:szCs w:val="24"/>
        </w:rPr>
        <w:t>центрального банка</w:t>
      </w:r>
      <w:r w:rsidRPr="00170B9B">
        <w:rPr>
          <w:rFonts w:ascii="Times New Roman" w:hAnsi="Times New Roman" w:cs="Times New Roman"/>
          <w:sz w:val="24"/>
          <w:szCs w:val="24"/>
        </w:rPr>
        <w:t xml:space="preserve"> и не позволяет перейти к продаже валюты с поставкой день в день.  </w:t>
      </w:r>
    </w:p>
    <w:p w14:paraId="0EB74976" w14:textId="55F5A6C5" w:rsidR="00A95862" w:rsidRDefault="00A95862" w:rsidP="00B55541">
      <w:pPr>
        <w:spacing w:before="120" w:after="0" w:line="240" w:lineRule="auto"/>
        <w:ind w:firstLine="425"/>
        <w:jc w:val="center"/>
        <w:rPr>
          <w:rFonts w:ascii="Times New Roman" w:hAnsi="Times New Roman" w:cs="Times New Roman"/>
          <w:sz w:val="24"/>
          <w:szCs w:val="24"/>
        </w:rPr>
      </w:pPr>
    </w:p>
    <w:p w14:paraId="4C0BC229" w14:textId="77777777" w:rsidR="00B55541" w:rsidRPr="00170B9B" w:rsidRDefault="00B55541" w:rsidP="00B55541">
      <w:pPr>
        <w:spacing w:before="120" w:after="0" w:line="240" w:lineRule="auto"/>
        <w:ind w:firstLine="425"/>
        <w:jc w:val="center"/>
        <w:rPr>
          <w:rFonts w:ascii="Times New Roman" w:hAnsi="Times New Roman" w:cs="Times New Roman"/>
          <w:sz w:val="24"/>
          <w:szCs w:val="24"/>
        </w:rPr>
      </w:pPr>
    </w:p>
    <w:p w14:paraId="2889D9EF" w14:textId="77777777" w:rsidR="00A95862" w:rsidRDefault="00A95862" w:rsidP="00A95862">
      <w:pPr>
        <w:pStyle w:val="1"/>
        <w:widowControl w:val="0"/>
        <w:spacing w:before="0" w:line="240" w:lineRule="auto"/>
        <w:rPr>
          <w:b/>
          <w:bCs/>
          <w:noProof/>
          <w:sz w:val="24"/>
          <w:szCs w:val="24"/>
        </w:rPr>
      </w:pPr>
      <w:r w:rsidRPr="00450764">
        <w:rPr>
          <w:b/>
          <w:bCs/>
          <w:noProof/>
          <w:sz w:val="24"/>
          <w:szCs w:val="24"/>
        </w:rPr>
        <w:t xml:space="preserve"> </w:t>
      </w:r>
      <w:r>
        <w:rPr>
          <w:b/>
          <w:bCs/>
          <w:noProof/>
          <w:sz w:val="24"/>
          <w:szCs w:val="24"/>
        </w:rPr>
        <w:t xml:space="preserve">2.3. </w:t>
      </w:r>
      <w:r w:rsidRPr="00450764">
        <w:rPr>
          <w:b/>
          <w:bCs/>
          <w:noProof/>
          <w:sz w:val="24"/>
          <w:szCs w:val="24"/>
        </w:rPr>
        <w:t>РЕГУЛИРОВАНИЕ И НАДЗОР В БАНКОВСКОЙ И СТРАХОВОЙ СФЕРАХ</w:t>
      </w:r>
    </w:p>
    <w:p w14:paraId="4B7A63CA" w14:textId="77777777" w:rsidR="00A95862" w:rsidRPr="009817F3" w:rsidRDefault="00A95862" w:rsidP="00A95862">
      <w:pPr>
        <w:spacing w:before="0" w:after="0" w:line="240" w:lineRule="auto"/>
      </w:pPr>
    </w:p>
    <w:p w14:paraId="31531E8A" w14:textId="77777777" w:rsidR="00A95862" w:rsidRPr="00450764" w:rsidRDefault="00A95862" w:rsidP="00A95862">
      <w:pPr>
        <w:pStyle w:val="2"/>
        <w:rPr>
          <w:b/>
          <w:noProof/>
        </w:rPr>
      </w:pPr>
      <w:r w:rsidRPr="00450764">
        <w:rPr>
          <w:b/>
          <w:noProof/>
        </w:rPr>
        <w:t>Регистрация и лицензирование банковской деятельности</w:t>
      </w:r>
    </w:p>
    <w:p w14:paraId="5CC76C06"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6987FE7D"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2019 году общее количество действующих банков, обладающих генеральной лицензией на осуществление банковских операций, не изменилось. По состоянию на </w:t>
      </w:r>
      <w:r w:rsidRPr="00170B9B">
        <w:rPr>
          <w:rFonts w:ascii="Times New Roman" w:hAnsi="Times New Roman" w:cs="Times New Roman"/>
          <w:sz w:val="24"/>
          <w:szCs w:val="24"/>
        </w:rPr>
        <w:br/>
        <w:t>1 января 2020 года банковская система Приднестровья была представлена тремя коммерческими банками (табл. 2.1), два из которых (ЗАО «Агропромбанк» и ЗАО «Приднестровский сберегательный банк») осуществляют деятельность в форме закрытого акционерного общества, один банк (ОАО «Эксимбанк») – в форме открытого.</w:t>
      </w:r>
    </w:p>
    <w:p w14:paraId="213AF939" w14:textId="77777777" w:rsidR="00A95862" w:rsidRPr="00B4724C" w:rsidRDefault="00A95862" w:rsidP="0083024B">
      <w:pPr>
        <w:spacing w:before="120" w:after="120" w:line="240" w:lineRule="auto"/>
        <w:ind w:firstLine="425"/>
        <w:jc w:val="right"/>
        <w:rPr>
          <w:rFonts w:ascii="Times New Roman" w:hAnsi="Times New Roman" w:cs="Times New Roman"/>
          <w:b/>
          <w:bCs/>
          <w:i/>
          <w:iCs/>
          <w:sz w:val="24"/>
          <w:szCs w:val="24"/>
        </w:rPr>
      </w:pPr>
      <w:r w:rsidRPr="00B4724C">
        <w:rPr>
          <w:rFonts w:ascii="Times New Roman" w:hAnsi="Times New Roman" w:cs="Times New Roman"/>
          <w:b/>
          <w:bCs/>
          <w:i/>
          <w:iCs/>
          <w:sz w:val="24"/>
          <w:szCs w:val="24"/>
        </w:rPr>
        <w:t xml:space="preserve">Таблица 2.1 </w:t>
      </w:r>
    </w:p>
    <w:p w14:paraId="03AE6665" w14:textId="26AB50AE" w:rsidR="00A95862" w:rsidRPr="00B4724C" w:rsidRDefault="00A95862" w:rsidP="0083024B">
      <w:pPr>
        <w:spacing w:before="0" w:after="120" w:line="240" w:lineRule="auto"/>
        <w:jc w:val="center"/>
        <w:rPr>
          <w:rFonts w:ascii="Times New Roman" w:hAnsi="Times New Roman" w:cs="Times New Roman"/>
          <w:b/>
          <w:bCs/>
          <w:iCs/>
          <w:sz w:val="24"/>
          <w:szCs w:val="24"/>
        </w:rPr>
      </w:pPr>
      <w:r w:rsidRPr="00B4724C">
        <w:rPr>
          <w:rFonts w:ascii="Times New Roman" w:hAnsi="Times New Roman" w:cs="Times New Roman"/>
          <w:b/>
          <w:bCs/>
          <w:iCs/>
          <w:sz w:val="24"/>
          <w:szCs w:val="24"/>
        </w:rPr>
        <w:t>Структура банковского сектора, ед.</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048"/>
        <w:gridCol w:w="2062"/>
      </w:tblGrid>
      <w:tr w:rsidR="00A95862" w:rsidRPr="00B4724C" w14:paraId="78AEFF7A" w14:textId="77777777" w:rsidTr="0083024B">
        <w:trPr>
          <w:trHeight w:val="284"/>
        </w:trPr>
        <w:tc>
          <w:tcPr>
            <w:tcW w:w="5529" w:type="dxa"/>
            <w:tcBorders>
              <w:top w:val="single" w:sz="4" w:space="0" w:color="auto"/>
              <w:left w:val="single" w:sz="4" w:space="0" w:color="auto"/>
              <w:bottom w:val="double" w:sz="4" w:space="0" w:color="auto"/>
              <w:right w:val="single" w:sz="4" w:space="0" w:color="auto"/>
            </w:tcBorders>
            <w:shd w:val="clear" w:color="auto" w:fill="CCCCCC"/>
          </w:tcPr>
          <w:p w14:paraId="549AD508" w14:textId="77777777" w:rsidR="00A95862" w:rsidRPr="00B4724C" w:rsidRDefault="00A95862" w:rsidP="00882BBF">
            <w:pPr>
              <w:spacing w:before="0" w:after="0" w:line="240" w:lineRule="auto"/>
              <w:ind w:firstLine="425"/>
              <w:jc w:val="both"/>
              <w:rPr>
                <w:rFonts w:ascii="Times New Roman" w:hAnsi="Times New Roman" w:cs="Times New Roman"/>
                <w:sz w:val="22"/>
                <w:szCs w:val="22"/>
              </w:rPr>
            </w:pPr>
          </w:p>
        </w:tc>
        <w:tc>
          <w:tcPr>
            <w:tcW w:w="2048" w:type="dxa"/>
            <w:tcBorders>
              <w:top w:val="single" w:sz="4" w:space="0" w:color="auto"/>
              <w:left w:val="single" w:sz="4" w:space="0" w:color="auto"/>
              <w:bottom w:val="double" w:sz="4" w:space="0" w:color="auto"/>
              <w:right w:val="single" w:sz="4" w:space="0" w:color="auto"/>
            </w:tcBorders>
            <w:shd w:val="clear" w:color="auto" w:fill="CCCCCC"/>
            <w:vAlign w:val="center"/>
            <w:hideMark/>
          </w:tcPr>
          <w:p w14:paraId="52EB716A" w14:textId="77777777" w:rsidR="00A95862" w:rsidRPr="00B4724C" w:rsidRDefault="00A95862" w:rsidP="0083024B">
            <w:pPr>
              <w:spacing w:before="0" w:after="0" w:line="240" w:lineRule="auto"/>
              <w:jc w:val="center"/>
              <w:rPr>
                <w:rFonts w:ascii="Times New Roman" w:hAnsi="Times New Roman" w:cs="Times New Roman"/>
                <w:sz w:val="22"/>
                <w:szCs w:val="22"/>
              </w:rPr>
            </w:pPr>
            <w:r w:rsidRPr="00B4724C">
              <w:rPr>
                <w:rFonts w:ascii="Times New Roman" w:hAnsi="Times New Roman" w:cs="Times New Roman"/>
                <w:sz w:val="22"/>
                <w:szCs w:val="22"/>
              </w:rPr>
              <w:t>на 01.01.2019</w:t>
            </w:r>
          </w:p>
        </w:tc>
        <w:tc>
          <w:tcPr>
            <w:tcW w:w="2062" w:type="dxa"/>
            <w:tcBorders>
              <w:top w:val="single" w:sz="4" w:space="0" w:color="auto"/>
              <w:left w:val="single" w:sz="4" w:space="0" w:color="auto"/>
              <w:bottom w:val="double" w:sz="4" w:space="0" w:color="auto"/>
              <w:right w:val="single" w:sz="4" w:space="0" w:color="auto"/>
            </w:tcBorders>
            <w:shd w:val="clear" w:color="auto" w:fill="CCCCCC"/>
            <w:vAlign w:val="center"/>
            <w:hideMark/>
          </w:tcPr>
          <w:p w14:paraId="2D6AE3B9" w14:textId="77777777" w:rsidR="00A95862" w:rsidRPr="00B4724C" w:rsidRDefault="00A95862" w:rsidP="0083024B">
            <w:pPr>
              <w:spacing w:before="0" w:after="0" w:line="240" w:lineRule="auto"/>
              <w:jc w:val="center"/>
              <w:rPr>
                <w:rFonts w:ascii="Times New Roman" w:hAnsi="Times New Roman" w:cs="Times New Roman"/>
                <w:sz w:val="22"/>
                <w:szCs w:val="22"/>
              </w:rPr>
            </w:pPr>
            <w:r w:rsidRPr="00B4724C">
              <w:rPr>
                <w:rFonts w:ascii="Times New Roman" w:hAnsi="Times New Roman" w:cs="Times New Roman"/>
                <w:sz w:val="22"/>
                <w:szCs w:val="22"/>
              </w:rPr>
              <w:t>на 01.01.2020</w:t>
            </w:r>
          </w:p>
        </w:tc>
      </w:tr>
      <w:tr w:rsidR="00A95862" w:rsidRPr="00B4724C" w14:paraId="4379013A" w14:textId="77777777" w:rsidTr="0083024B">
        <w:trPr>
          <w:trHeight w:val="114"/>
        </w:trPr>
        <w:tc>
          <w:tcPr>
            <w:tcW w:w="5529" w:type="dxa"/>
            <w:tcBorders>
              <w:top w:val="double" w:sz="4" w:space="0" w:color="auto"/>
              <w:left w:val="single" w:sz="4" w:space="0" w:color="auto"/>
              <w:bottom w:val="single" w:sz="4" w:space="0" w:color="auto"/>
              <w:right w:val="single" w:sz="4" w:space="0" w:color="auto"/>
            </w:tcBorders>
            <w:vAlign w:val="center"/>
            <w:hideMark/>
          </w:tcPr>
          <w:p w14:paraId="6C8BF244" w14:textId="77777777" w:rsidR="00A95862" w:rsidRPr="00B4724C" w:rsidRDefault="00A95862" w:rsidP="0083024B">
            <w:pPr>
              <w:spacing w:before="0" w:after="0" w:line="240" w:lineRule="auto"/>
              <w:ind w:firstLine="179"/>
              <w:jc w:val="both"/>
              <w:rPr>
                <w:rFonts w:ascii="Times New Roman" w:hAnsi="Times New Roman" w:cs="Times New Roman"/>
                <w:sz w:val="22"/>
                <w:szCs w:val="22"/>
              </w:rPr>
            </w:pPr>
            <w:r w:rsidRPr="00B4724C">
              <w:rPr>
                <w:rFonts w:ascii="Times New Roman" w:hAnsi="Times New Roman" w:cs="Times New Roman"/>
                <w:sz w:val="22"/>
                <w:szCs w:val="22"/>
              </w:rPr>
              <w:t xml:space="preserve">Коммерческие банки (действующие) </w:t>
            </w:r>
          </w:p>
        </w:tc>
        <w:tc>
          <w:tcPr>
            <w:tcW w:w="2048" w:type="dxa"/>
            <w:tcBorders>
              <w:top w:val="double" w:sz="4" w:space="0" w:color="auto"/>
              <w:left w:val="single" w:sz="4" w:space="0" w:color="auto"/>
              <w:bottom w:val="single" w:sz="4" w:space="0" w:color="auto"/>
              <w:right w:val="single" w:sz="4" w:space="0" w:color="auto"/>
            </w:tcBorders>
            <w:vAlign w:val="center"/>
            <w:hideMark/>
          </w:tcPr>
          <w:p w14:paraId="4FD9F9C9"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3</w:t>
            </w:r>
          </w:p>
        </w:tc>
        <w:tc>
          <w:tcPr>
            <w:tcW w:w="2062" w:type="dxa"/>
            <w:tcBorders>
              <w:top w:val="double" w:sz="4" w:space="0" w:color="auto"/>
              <w:left w:val="single" w:sz="4" w:space="0" w:color="auto"/>
              <w:bottom w:val="single" w:sz="4" w:space="0" w:color="auto"/>
              <w:right w:val="single" w:sz="4" w:space="0" w:color="auto"/>
            </w:tcBorders>
            <w:vAlign w:val="center"/>
            <w:hideMark/>
          </w:tcPr>
          <w:p w14:paraId="78508130"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3</w:t>
            </w:r>
          </w:p>
        </w:tc>
      </w:tr>
      <w:tr w:rsidR="00A95862" w:rsidRPr="00B4724C" w14:paraId="4F16A78A" w14:textId="77777777" w:rsidTr="0083024B">
        <w:trPr>
          <w:trHeight w:val="96"/>
        </w:trPr>
        <w:tc>
          <w:tcPr>
            <w:tcW w:w="5529" w:type="dxa"/>
            <w:tcBorders>
              <w:top w:val="nil"/>
              <w:left w:val="single" w:sz="4" w:space="0" w:color="auto"/>
              <w:bottom w:val="nil"/>
              <w:right w:val="single" w:sz="4" w:space="0" w:color="auto"/>
            </w:tcBorders>
            <w:vAlign w:val="center"/>
            <w:hideMark/>
          </w:tcPr>
          <w:p w14:paraId="1430F267" w14:textId="77777777" w:rsidR="00A95862" w:rsidRPr="00B4724C" w:rsidRDefault="00A95862" w:rsidP="0083024B">
            <w:pPr>
              <w:spacing w:before="0" w:after="0" w:line="240" w:lineRule="auto"/>
              <w:ind w:firstLine="179"/>
              <w:jc w:val="both"/>
              <w:rPr>
                <w:rFonts w:ascii="Times New Roman" w:hAnsi="Times New Roman" w:cs="Times New Roman"/>
                <w:sz w:val="22"/>
                <w:szCs w:val="22"/>
              </w:rPr>
            </w:pPr>
            <w:r w:rsidRPr="00B4724C">
              <w:rPr>
                <w:rFonts w:ascii="Times New Roman" w:hAnsi="Times New Roman" w:cs="Times New Roman"/>
                <w:sz w:val="22"/>
                <w:szCs w:val="22"/>
              </w:rPr>
              <w:t>из них:</w:t>
            </w:r>
          </w:p>
        </w:tc>
        <w:tc>
          <w:tcPr>
            <w:tcW w:w="2048" w:type="dxa"/>
            <w:tcBorders>
              <w:top w:val="nil"/>
              <w:left w:val="single" w:sz="4" w:space="0" w:color="auto"/>
              <w:bottom w:val="nil"/>
              <w:right w:val="single" w:sz="4" w:space="0" w:color="auto"/>
            </w:tcBorders>
            <w:vAlign w:val="center"/>
          </w:tcPr>
          <w:p w14:paraId="34D01536"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p>
        </w:tc>
        <w:tc>
          <w:tcPr>
            <w:tcW w:w="2062" w:type="dxa"/>
            <w:tcBorders>
              <w:top w:val="nil"/>
              <w:left w:val="single" w:sz="4" w:space="0" w:color="auto"/>
              <w:bottom w:val="nil"/>
              <w:right w:val="single" w:sz="4" w:space="0" w:color="auto"/>
            </w:tcBorders>
            <w:vAlign w:val="center"/>
          </w:tcPr>
          <w:p w14:paraId="2DCA9082"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p>
        </w:tc>
      </w:tr>
      <w:tr w:rsidR="00A95862" w:rsidRPr="00B4724C" w14:paraId="6B96ABC0" w14:textId="77777777" w:rsidTr="0083024B">
        <w:trPr>
          <w:trHeight w:val="96"/>
        </w:trPr>
        <w:tc>
          <w:tcPr>
            <w:tcW w:w="5529" w:type="dxa"/>
            <w:tcBorders>
              <w:top w:val="nil"/>
              <w:left w:val="single" w:sz="4" w:space="0" w:color="auto"/>
              <w:bottom w:val="nil"/>
              <w:right w:val="single" w:sz="4" w:space="0" w:color="auto"/>
            </w:tcBorders>
            <w:vAlign w:val="center"/>
            <w:hideMark/>
          </w:tcPr>
          <w:p w14:paraId="33262A95" w14:textId="77777777" w:rsidR="00A95862" w:rsidRPr="00B4724C" w:rsidRDefault="00A95862" w:rsidP="0083024B">
            <w:pPr>
              <w:spacing w:before="0" w:after="0" w:line="240" w:lineRule="auto"/>
              <w:ind w:firstLine="179"/>
              <w:jc w:val="both"/>
              <w:rPr>
                <w:rFonts w:ascii="Times New Roman" w:hAnsi="Times New Roman" w:cs="Times New Roman"/>
                <w:sz w:val="22"/>
                <w:szCs w:val="22"/>
              </w:rPr>
            </w:pPr>
            <w:r w:rsidRPr="00B4724C">
              <w:rPr>
                <w:rFonts w:ascii="Times New Roman" w:hAnsi="Times New Roman" w:cs="Times New Roman"/>
                <w:sz w:val="22"/>
                <w:szCs w:val="22"/>
              </w:rPr>
              <w:t>- с государственным участием</w:t>
            </w:r>
          </w:p>
        </w:tc>
        <w:tc>
          <w:tcPr>
            <w:tcW w:w="2048" w:type="dxa"/>
            <w:tcBorders>
              <w:top w:val="nil"/>
              <w:left w:val="single" w:sz="4" w:space="0" w:color="auto"/>
              <w:bottom w:val="nil"/>
              <w:right w:val="single" w:sz="4" w:space="0" w:color="auto"/>
            </w:tcBorders>
            <w:vAlign w:val="center"/>
            <w:hideMark/>
          </w:tcPr>
          <w:p w14:paraId="5A3C5A9D"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2</w:t>
            </w:r>
          </w:p>
        </w:tc>
        <w:tc>
          <w:tcPr>
            <w:tcW w:w="2062" w:type="dxa"/>
            <w:tcBorders>
              <w:top w:val="nil"/>
              <w:left w:val="single" w:sz="4" w:space="0" w:color="auto"/>
              <w:bottom w:val="nil"/>
              <w:right w:val="single" w:sz="4" w:space="0" w:color="auto"/>
            </w:tcBorders>
            <w:vAlign w:val="center"/>
            <w:hideMark/>
          </w:tcPr>
          <w:p w14:paraId="586D139F"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2</w:t>
            </w:r>
          </w:p>
        </w:tc>
      </w:tr>
      <w:tr w:rsidR="00A95862" w:rsidRPr="00B4724C" w14:paraId="4AB7F57C" w14:textId="77777777" w:rsidTr="0083024B">
        <w:trPr>
          <w:trHeight w:val="62"/>
        </w:trPr>
        <w:tc>
          <w:tcPr>
            <w:tcW w:w="5529" w:type="dxa"/>
            <w:tcBorders>
              <w:top w:val="nil"/>
              <w:left w:val="single" w:sz="4" w:space="0" w:color="auto"/>
              <w:bottom w:val="single" w:sz="4" w:space="0" w:color="auto"/>
              <w:right w:val="single" w:sz="4" w:space="0" w:color="auto"/>
            </w:tcBorders>
            <w:vAlign w:val="center"/>
            <w:hideMark/>
          </w:tcPr>
          <w:p w14:paraId="0E47E1A9" w14:textId="77777777" w:rsidR="00A95862" w:rsidRPr="00B4724C" w:rsidRDefault="00A95862" w:rsidP="0083024B">
            <w:pPr>
              <w:spacing w:before="0" w:after="0" w:line="240" w:lineRule="auto"/>
              <w:ind w:firstLine="179"/>
              <w:jc w:val="both"/>
              <w:rPr>
                <w:rFonts w:ascii="Times New Roman" w:hAnsi="Times New Roman" w:cs="Times New Roman"/>
                <w:sz w:val="22"/>
                <w:szCs w:val="22"/>
              </w:rPr>
            </w:pPr>
            <w:r w:rsidRPr="00B4724C">
              <w:rPr>
                <w:rFonts w:ascii="Times New Roman" w:hAnsi="Times New Roman" w:cs="Times New Roman"/>
                <w:sz w:val="22"/>
                <w:szCs w:val="22"/>
              </w:rPr>
              <w:t>- с иностранным участием</w:t>
            </w:r>
          </w:p>
        </w:tc>
        <w:tc>
          <w:tcPr>
            <w:tcW w:w="2048" w:type="dxa"/>
            <w:tcBorders>
              <w:top w:val="nil"/>
              <w:left w:val="single" w:sz="4" w:space="0" w:color="auto"/>
              <w:bottom w:val="single" w:sz="4" w:space="0" w:color="auto"/>
              <w:right w:val="single" w:sz="4" w:space="0" w:color="auto"/>
            </w:tcBorders>
            <w:vAlign w:val="center"/>
            <w:hideMark/>
          </w:tcPr>
          <w:p w14:paraId="76A8BC13"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w:t>
            </w:r>
          </w:p>
        </w:tc>
        <w:tc>
          <w:tcPr>
            <w:tcW w:w="2062" w:type="dxa"/>
            <w:tcBorders>
              <w:top w:val="nil"/>
              <w:left w:val="single" w:sz="4" w:space="0" w:color="auto"/>
              <w:bottom w:val="single" w:sz="4" w:space="0" w:color="auto"/>
              <w:right w:val="single" w:sz="4" w:space="0" w:color="auto"/>
            </w:tcBorders>
            <w:vAlign w:val="center"/>
            <w:hideMark/>
          </w:tcPr>
          <w:p w14:paraId="42442122"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w:t>
            </w:r>
          </w:p>
        </w:tc>
      </w:tr>
      <w:tr w:rsidR="00A95862" w:rsidRPr="00B4724C" w14:paraId="6521F7B2" w14:textId="77777777" w:rsidTr="0083024B">
        <w:trPr>
          <w:trHeight w:val="284"/>
        </w:trPr>
        <w:tc>
          <w:tcPr>
            <w:tcW w:w="5529" w:type="dxa"/>
            <w:tcBorders>
              <w:top w:val="single" w:sz="4" w:space="0" w:color="auto"/>
              <w:left w:val="single" w:sz="4" w:space="0" w:color="auto"/>
              <w:bottom w:val="single" w:sz="4" w:space="0" w:color="auto"/>
              <w:right w:val="single" w:sz="4" w:space="0" w:color="auto"/>
            </w:tcBorders>
            <w:vAlign w:val="center"/>
            <w:hideMark/>
          </w:tcPr>
          <w:p w14:paraId="0E51719D" w14:textId="77777777" w:rsidR="00A95862" w:rsidRPr="00B4724C" w:rsidRDefault="00A95862" w:rsidP="0083024B">
            <w:pPr>
              <w:spacing w:before="0" w:after="0" w:line="240" w:lineRule="auto"/>
              <w:ind w:firstLine="179"/>
              <w:jc w:val="both"/>
              <w:rPr>
                <w:rFonts w:ascii="Times New Roman" w:hAnsi="Times New Roman" w:cs="Times New Roman"/>
                <w:sz w:val="22"/>
                <w:szCs w:val="22"/>
                <w:lang w:val="en-US"/>
              </w:rPr>
            </w:pPr>
            <w:r w:rsidRPr="00B4724C">
              <w:rPr>
                <w:rFonts w:ascii="Times New Roman" w:hAnsi="Times New Roman" w:cs="Times New Roman"/>
                <w:sz w:val="22"/>
                <w:szCs w:val="22"/>
              </w:rPr>
              <w:t>Филиалы коммерч</w:t>
            </w:r>
            <w:r w:rsidRPr="00B4724C">
              <w:rPr>
                <w:rFonts w:ascii="Times New Roman" w:hAnsi="Times New Roman" w:cs="Times New Roman"/>
                <w:sz w:val="22"/>
                <w:szCs w:val="22"/>
                <w:lang w:val="en-US"/>
              </w:rPr>
              <w:t>еских банков</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5804629"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14</w:t>
            </w:r>
          </w:p>
        </w:tc>
        <w:tc>
          <w:tcPr>
            <w:tcW w:w="2062" w:type="dxa"/>
            <w:tcBorders>
              <w:top w:val="single" w:sz="4" w:space="0" w:color="auto"/>
              <w:left w:val="single" w:sz="4" w:space="0" w:color="auto"/>
              <w:bottom w:val="single" w:sz="4" w:space="0" w:color="auto"/>
              <w:right w:val="single" w:sz="4" w:space="0" w:color="auto"/>
            </w:tcBorders>
            <w:vAlign w:val="center"/>
            <w:hideMark/>
          </w:tcPr>
          <w:p w14:paraId="05108098"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14</w:t>
            </w:r>
          </w:p>
        </w:tc>
      </w:tr>
      <w:tr w:rsidR="00A95862" w:rsidRPr="00B4724C" w14:paraId="330DF142" w14:textId="77777777" w:rsidTr="0083024B">
        <w:trPr>
          <w:trHeight w:val="54"/>
        </w:trPr>
        <w:tc>
          <w:tcPr>
            <w:tcW w:w="5529" w:type="dxa"/>
            <w:tcBorders>
              <w:top w:val="single" w:sz="4" w:space="0" w:color="auto"/>
              <w:left w:val="single" w:sz="4" w:space="0" w:color="auto"/>
              <w:bottom w:val="single" w:sz="4" w:space="0" w:color="auto"/>
              <w:right w:val="single" w:sz="4" w:space="0" w:color="auto"/>
            </w:tcBorders>
            <w:vAlign w:val="center"/>
            <w:hideMark/>
          </w:tcPr>
          <w:p w14:paraId="63285582" w14:textId="77777777" w:rsidR="00A95862" w:rsidRPr="00B4724C" w:rsidRDefault="00A95862" w:rsidP="0083024B">
            <w:pPr>
              <w:spacing w:before="0" w:after="0" w:line="240" w:lineRule="auto"/>
              <w:ind w:firstLine="179"/>
              <w:jc w:val="both"/>
              <w:rPr>
                <w:rFonts w:ascii="Times New Roman" w:hAnsi="Times New Roman" w:cs="Times New Roman"/>
                <w:sz w:val="22"/>
                <w:szCs w:val="22"/>
                <w:lang w:val="en-US"/>
              </w:rPr>
            </w:pPr>
            <w:r w:rsidRPr="00B4724C">
              <w:rPr>
                <w:rFonts w:ascii="Times New Roman" w:hAnsi="Times New Roman" w:cs="Times New Roman"/>
                <w:sz w:val="22"/>
                <w:szCs w:val="22"/>
                <w:lang w:val="en-US"/>
              </w:rPr>
              <w:t>Отделения коммерческих банков</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D654102"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219</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07BA8F7" w14:textId="77777777" w:rsidR="00A95862" w:rsidRPr="00B4724C" w:rsidRDefault="00A95862" w:rsidP="00882BBF">
            <w:pPr>
              <w:spacing w:before="0" w:after="0" w:line="240" w:lineRule="auto"/>
              <w:ind w:right="666" w:firstLine="25"/>
              <w:jc w:val="right"/>
              <w:rPr>
                <w:rFonts w:ascii="Times New Roman" w:hAnsi="Times New Roman" w:cs="Times New Roman"/>
                <w:sz w:val="22"/>
                <w:szCs w:val="22"/>
              </w:rPr>
            </w:pPr>
            <w:r w:rsidRPr="00B4724C">
              <w:rPr>
                <w:rFonts w:ascii="Times New Roman" w:hAnsi="Times New Roman" w:cs="Times New Roman"/>
                <w:sz w:val="22"/>
                <w:szCs w:val="22"/>
              </w:rPr>
              <w:t>219</w:t>
            </w:r>
          </w:p>
        </w:tc>
      </w:tr>
      <w:tr w:rsidR="00A95862" w:rsidRPr="00B4724C" w14:paraId="1B4DB676" w14:textId="77777777" w:rsidTr="0083024B">
        <w:trPr>
          <w:trHeight w:val="214"/>
        </w:trPr>
        <w:tc>
          <w:tcPr>
            <w:tcW w:w="5529" w:type="dxa"/>
            <w:tcBorders>
              <w:top w:val="single" w:sz="4" w:space="0" w:color="auto"/>
              <w:left w:val="single" w:sz="4" w:space="0" w:color="auto"/>
              <w:bottom w:val="single" w:sz="4" w:space="0" w:color="auto"/>
              <w:right w:val="single" w:sz="4" w:space="0" w:color="auto"/>
            </w:tcBorders>
            <w:vAlign w:val="center"/>
            <w:hideMark/>
          </w:tcPr>
          <w:p w14:paraId="38ED4F89" w14:textId="77777777" w:rsidR="00A95862" w:rsidRPr="00B4724C" w:rsidRDefault="00A95862" w:rsidP="0083024B">
            <w:pPr>
              <w:spacing w:before="0" w:after="0" w:line="240" w:lineRule="auto"/>
              <w:ind w:right="-92" w:firstLine="179"/>
              <w:rPr>
                <w:rFonts w:ascii="Times New Roman" w:hAnsi="Times New Roman" w:cs="Times New Roman"/>
                <w:sz w:val="22"/>
                <w:szCs w:val="22"/>
              </w:rPr>
            </w:pPr>
            <w:r w:rsidRPr="00B4724C">
              <w:rPr>
                <w:rFonts w:ascii="Times New Roman" w:hAnsi="Times New Roman" w:cs="Times New Roman"/>
                <w:sz w:val="22"/>
                <w:szCs w:val="22"/>
              </w:rPr>
              <w:t xml:space="preserve">Небанковские кредитные организации (действующие) </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3111D74" w14:textId="77777777" w:rsidR="00A95862" w:rsidRPr="00B4724C" w:rsidRDefault="00A95862" w:rsidP="00882BBF">
            <w:pPr>
              <w:spacing w:before="0" w:after="0" w:line="240" w:lineRule="auto"/>
              <w:ind w:right="666"/>
              <w:jc w:val="right"/>
              <w:rPr>
                <w:rFonts w:ascii="Times New Roman" w:hAnsi="Times New Roman" w:cs="Times New Roman"/>
                <w:sz w:val="22"/>
                <w:szCs w:val="22"/>
              </w:rPr>
            </w:pPr>
            <w:r w:rsidRPr="00B4724C">
              <w:rPr>
                <w:rFonts w:ascii="Times New Roman" w:hAnsi="Times New Roman" w:cs="Times New Roman"/>
                <w:sz w:val="22"/>
                <w:szCs w:val="22"/>
              </w:rPr>
              <w:t>1</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2A3A715" w14:textId="77777777" w:rsidR="00A95862" w:rsidRPr="00B4724C" w:rsidRDefault="00A95862" w:rsidP="00882BBF">
            <w:pPr>
              <w:spacing w:before="0" w:after="0" w:line="240" w:lineRule="auto"/>
              <w:ind w:right="666"/>
              <w:jc w:val="right"/>
              <w:rPr>
                <w:rFonts w:ascii="Times New Roman" w:hAnsi="Times New Roman" w:cs="Times New Roman"/>
                <w:sz w:val="22"/>
                <w:szCs w:val="22"/>
              </w:rPr>
            </w:pPr>
            <w:r w:rsidRPr="00B4724C">
              <w:rPr>
                <w:rFonts w:ascii="Times New Roman" w:hAnsi="Times New Roman" w:cs="Times New Roman"/>
                <w:sz w:val="22"/>
                <w:szCs w:val="22"/>
              </w:rPr>
              <w:t>1</w:t>
            </w:r>
          </w:p>
        </w:tc>
      </w:tr>
      <w:tr w:rsidR="00A95862" w:rsidRPr="00B4724C" w14:paraId="0E5D8BF5" w14:textId="77777777" w:rsidTr="0083024B">
        <w:trPr>
          <w:trHeight w:val="52"/>
        </w:trPr>
        <w:tc>
          <w:tcPr>
            <w:tcW w:w="5529" w:type="dxa"/>
            <w:tcBorders>
              <w:top w:val="single" w:sz="4" w:space="0" w:color="auto"/>
              <w:left w:val="single" w:sz="4" w:space="0" w:color="auto"/>
              <w:bottom w:val="single" w:sz="4" w:space="0" w:color="auto"/>
              <w:right w:val="single" w:sz="4" w:space="0" w:color="auto"/>
            </w:tcBorders>
            <w:vAlign w:val="center"/>
            <w:hideMark/>
          </w:tcPr>
          <w:p w14:paraId="0F5D9194" w14:textId="77777777" w:rsidR="00A95862" w:rsidRPr="00B4724C" w:rsidRDefault="00A95862" w:rsidP="0083024B">
            <w:pPr>
              <w:spacing w:before="0" w:after="0" w:line="240" w:lineRule="auto"/>
              <w:ind w:firstLine="179"/>
              <w:jc w:val="both"/>
              <w:rPr>
                <w:rFonts w:ascii="Times New Roman" w:hAnsi="Times New Roman" w:cs="Times New Roman"/>
                <w:sz w:val="22"/>
                <w:szCs w:val="22"/>
              </w:rPr>
            </w:pPr>
            <w:r w:rsidRPr="00B4724C">
              <w:rPr>
                <w:rFonts w:ascii="Times New Roman" w:hAnsi="Times New Roman" w:cs="Times New Roman"/>
                <w:sz w:val="22"/>
                <w:szCs w:val="22"/>
              </w:rPr>
              <w:t xml:space="preserve"> - из них с иностранным участием</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3A6A3E6" w14:textId="77777777" w:rsidR="00A95862" w:rsidRPr="00B4724C" w:rsidRDefault="00A95862" w:rsidP="00882BBF">
            <w:pPr>
              <w:spacing w:before="0" w:after="0" w:line="240" w:lineRule="auto"/>
              <w:ind w:right="666"/>
              <w:jc w:val="right"/>
              <w:rPr>
                <w:rFonts w:ascii="Times New Roman" w:hAnsi="Times New Roman" w:cs="Times New Roman"/>
                <w:sz w:val="22"/>
                <w:szCs w:val="22"/>
              </w:rPr>
            </w:pPr>
            <w:r w:rsidRPr="00B4724C">
              <w:rPr>
                <w:rFonts w:ascii="Times New Roman" w:hAnsi="Times New Roman" w:cs="Times New Roman"/>
                <w:sz w:val="22"/>
                <w:szCs w:val="22"/>
              </w:rPr>
              <w:t>-</w:t>
            </w:r>
          </w:p>
        </w:tc>
        <w:tc>
          <w:tcPr>
            <w:tcW w:w="2062" w:type="dxa"/>
            <w:tcBorders>
              <w:top w:val="single" w:sz="4" w:space="0" w:color="auto"/>
              <w:left w:val="single" w:sz="4" w:space="0" w:color="auto"/>
              <w:bottom w:val="single" w:sz="4" w:space="0" w:color="auto"/>
              <w:right w:val="single" w:sz="4" w:space="0" w:color="auto"/>
            </w:tcBorders>
            <w:vAlign w:val="center"/>
            <w:hideMark/>
          </w:tcPr>
          <w:p w14:paraId="7AEA6CD1" w14:textId="77777777" w:rsidR="00A95862" w:rsidRPr="00B4724C" w:rsidRDefault="00A95862" w:rsidP="00882BBF">
            <w:pPr>
              <w:spacing w:before="0" w:after="0" w:line="240" w:lineRule="auto"/>
              <w:ind w:right="666"/>
              <w:jc w:val="right"/>
              <w:rPr>
                <w:rFonts w:ascii="Times New Roman" w:hAnsi="Times New Roman" w:cs="Times New Roman"/>
                <w:sz w:val="22"/>
                <w:szCs w:val="22"/>
              </w:rPr>
            </w:pPr>
            <w:r w:rsidRPr="00B4724C">
              <w:rPr>
                <w:rFonts w:ascii="Times New Roman" w:hAnsi="Times New Roman" w:cs="Times New Roman"/>
                <w:sz w:val="22"/>
                <w:szCs w:val="22"/>
              </w:rPr>
              <w:t>-</w:t>
            </w:r>
          </w:p>
        </w:tc>
      </w:tr>
    </w:tbl>
    <w:p w14:paraId="60E242B2" w14:textId="5FA88CB4" w:rsidR="00A95862" w:rsidRPr="00892F8A" w:rsidRDefault="00A95862" w:rsidP="0083024B">
      <w:pPr>
        <w:spacing w:before="12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Суммарная величина зарегистрированного уставного капитала действующих банков на </w:t>
      </w:r>
      <w:r w:rsidR="0083024B">
        <w:rPr>
          <w:rFonts w:ascii="Times New Roman" w:hAnsi="Times New Roman" w:cs="Times New Roman"/>
          <w:sz w:val="24"/>
          <w:szCs w:val="24"/>
        </w:rPr>
        <w:br/>
      </w:r>
      <w:r w:rsidRPr="00170B9B">
        <w:rPr>
          <w:rFonts w:ascii="Times New Roman" w:hAnsi="Times New Roman" w:cs="Times New Roman"/>
          <w:sz w:val="24"/>
          <w:szCs w:val="24"/>
        </w:rPr>
        <w:t>1</w:t>
      </w:r>
      <w:r w:rsidR="0083024B">
        <w:rPr>
          <w:rFonts w:ascii="Times New Roman" w:hAnsi="Times New Roman" w:cs="Times New Roman"/>
          <w:sz w:val="24"/>
          <w:szCs w:val="24"/>
        </w:rPr>
        <w:t xml:space="preserve"> января </w:t>
      </w:r>
      <w:r w:rsidRPr="00170B9B">
        <w:rPr>
          <w:rFonts w:ascii="Times New Roman" w:hAnsi="Times New Roman" w:cs="Times New Roman"/>
          <w:sz w:val="24"/>
          <w:szCs w:val="24"/>
        </w:rPr>
        <w:t xml:space="preserve">2020 </w:t>
      </w:r>
      <w:r w:rsidR="0083024B">
        <w:rPr>
          <w:rFonts w:ascii="Times New Roman" w:hAnsi="Times New Roman" w:cs="Times New Roman"/>
          <w:sz w:val="24"/>
          <w:szCs w:val="24"/>
        </w:rPr>
        <w:t xml:space="preserve">года </w:t>
      </w:r>
      <w:r w:rsidRPr="00170B9B">
        <w:rPr>
          <w:rFonts w:ascii="Times New Roman" w:hAnsi="Times New Roman" w:cs="Times New Roman"/>
          <w:sz w:val="24"/>
          <w:szCs w:val="24"/>
        </w:rPr>
        <w:t xml:space="preserve">составила 1 664,8 млн руб., что на 226,7 млн руб. больше показателя на начало 2019 года. Данный рост был обеспечен дополнительной эмиссией акций </w:t>
      </w:r>
      <w:r w:rsidRPr="00892F8A">
        <w:rPr>
          <w:rFonts w:ascii="Times New Roman" w:hAnsi="Times New Roman" w:cs="Times New Roman"/>
          <w:sz w:val="24"/>
          <w:szCs w:val="24"/>
        </w:rPr>
        <w:t>ОАО «Эксимбанк».</w:t>
      </w:r>
    </w:p>
    <w:p w14:paraId="6325882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Приднестровским республиканским банком осуществлена проверка, по результатам которой составлен акт, подтверждающий полноту и правомерность оплаты уставного капитала </w:t>
      </w:r>
      <w:r w:rsidRPr="00892F8A">
        <w:rPr>
          <w:rFonts w:ascii="Times New Roman" w:hAnsi="Times New Roman" w:cs="Times New Roman"/>
          <w:sz w:val="24"/>
          <w:szCs w:val="24"/>
        </w:rPr>
        <w:t xml:space="preserve">ОАО «Эксимбанк» </w:t>
      </w:r>
      <w:r w:rsidRPr="00170B9B">
        <w:rPr>
          <w:rFonts w:ascii="Times New Roman" w:hAnsi="Times New Roman" w:cs="Times New Roman"/>
          <w:sz w:val="24"/>
          <w:szCs w:val="24"/>
        </w:rPr>
        <w:t>в связи с его увеличением.</w:t>
      </w:r>
    </w:p>
    <w:p w14:paraId="31E4D958"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течение 2019 года функционировала одна небанковская кредитная организация, действующая на основании лицензии на право совершения отдельных банковских операций. Величина зарегистрированного её уставного капитала не изменилась</w:t>
      </w:r>
      <w:r>
        <w:rPr>
          <w:rFonts w:ascii="Times New Roman" w:hAnsi="Times New Roman" w:cs="Times New Roman"/>
          <w:sz w:val="24"/>
          <w:szCs w:val="24"/>
        </w:rPr>
        <w:t xml:space="preserve"> и</w:t>
      </w:r>
      <w:r w:rsidRPr="00170B9B">
        <w:rPr>
          <w:rFonts w:ascii="Times New Roman" w:hAnsi="Times New Roman" w:cs="Times New Roman"/>
          <w:sz w:val="24"/>
          <w:szCs w:val="24"/>
        </w:rPr>
        <w:t xml:space="preserve"> на 1 января 2020 года </w:t>
      </w:r>
      <w:r>
        <w:rPr>
          <w:rFonts w:ascii="Times New Roman" w:hAnsi="Times New Roman" w:cs="Times New Roman"/>
          <w:sz w:val="24"/>
          <w:szCs w:val="24"/>
        </w:rPr>
        <w:t xml:space="preserve">составила </w:t>
      </w:r>
      <w:r w:rsidRPr="00170B9B">
        <w:rPr>
          <w:rFonts w:ascii="Times New Roman" w:hAnsi="Times New Roman" w:cs="Times New Roman"/>
          <w:sz w:val="24"/>
          <w:szCs w:val="24"/>
        </w:rPr>
        <w:t xml:space="preserve">9,5 млн руб. </w:t>
      </w:r>
    </w:p>
    <w:p w14:paraId="3372E00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коммерческими банками было открыто 8 отделений, закрыто – 8 отделений. Процедуру перерегистрации прошло 373 отделений. Таким образом, количество отделений коммерческих банков не изменилось</w:t>
      </w:r>
      <w:r>
        <w:rPr>
          <w:rFonts w:ascii="Times New Roman" w:hAnsi="Times New Roman" w:cs="Times New Roman"/>
          <w:sz w:val="24"/>
          <w:szCs w:val="24"/>
        </w:rPr>
        <w:t>, составив</w:t>
      </w:r>
      <w:r w:rsidRPr="00170B9B">
        <w:rPr>
          <w:rFonts w:ascii="Times New Roman" w:hAnsi="Times New Roman" w:cs="Times New Roman"/>
          <w:sz w:val="24"/>
          <w:szCs w:val="24"/>
        </w:rPr>
        <w:t xml:space="preserve"> 219 единиц. Кроме того, коммерческими банками и небанковской кредитной организацией было открыто 20 и закрыто 23 обменных пункта. Процедуру перерегистрации прошёл 251 обменный пункт. В итоге на 1 января </w:t>
      </w:r>
      <w:r w:rsidR="00BA5EFA">
        <w:rPr>
          <w:rFonts w:ascii="Times New Roman" w:hAnsi="Times New Roman" w:cs="Times New Roman"/>
          <w:sz w:val="24"/>
          <w:szCs w:val="24"/>
        </w:rPr>
        <w:br/>
      </w:r>
      <w:r w:rsidRPr="00170B9B">
        <w:rPr>
          <w:rFonts w:ascii="Times New Roman" w:hAnsi="Times New Roman" w:cs="Times New Roman"/>
          <w:sz w:val="24"/>
          <w:szCs w:val="24"/>
        </w:rPr>
        <w:t>2020 года действ</w:t>
      </w:r>
      <w:r>
        <w:rPr>
          <w:rFonts w:ascii="Times New Roman" w:hAnsi="Times New Roman" w:cs="Times New Roman"/>
          <w:sz w:val="24"/>
          <w:szCs w:val="24"/>
        </w:rPr>
        <w:t>овало</w:t>
      </w:r>
      <w:r w:rsidRPr="00170B9B">
        <w:rPr>
          <w:rFonts w:ascii="Times New Roman" w:hAnsi="Times New Roman" w:cs="Times New Roman"/>
          <w:sz w:val="24"/>
          <w:szCs w:val="24"/>
        </w:rPr>
        <w:t xml:space="preserve"> 319 обменных пункт</w:t>
      </w:r>
      <w:r>
        <w:rPr>
          <w:rFonts w:ascii="Times New Roman" w:hAnsi="Times New Roman" w:cs="Times New Roman"/>
          <w:sz w:val="24"/>
          <w:szCs w:val="24"/>
        </w:rPr>
        <w:t>ов</w:t>
      </w:r>
      <w:r w:rsidRPr="00170B9B">
        <w:rPr>
          <w:rFonts w:ascii="Times New Roman" w:hAnsi="Times New Roman" w:cs="Times New Roman"/>
          <w:sz w:val="24"/>
          <w:szCs w:val="24"/>
        </w:rPr>
        <w:t xml:space="preserve"> (322 – на 1 января 2019 года).</w:t>
      </w:r>
    </w:p>
    <w:p w14:paraId="59087ACD"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Зарегистрированы изменения и дополнения ряда документов, ранее представленных ОАО «Эксимбанк», ЗАО «Приднестровский Сбербанк» и ЗАО «Агропромбанк» для целей </w:t>
      </w:r>
      <w:r w:rsidRPr="00170B9B">
        <w:rPr>
          <w:rFonts w:ascii="Times New Roman" w:hAnsi="Times New Roman" w:cs="Times New Roman"/>
          <w:sz w:val="24"/>
          <w:szCs w:val="24"/>
        </w:rPr>
        <w:lastRenderedPageBreak/>
        <w:t>регистрации в качестве банка</w:t>
      </w:r>
      <w:r>
        <w:rPr>
          <w:rFonts w:ascii="Times New Roman" w:hAnsi="Times New Roman" w:cs="Times New Roman"/>
          <w:sz w:val="24"/>
          <w:szCs w:val="24"/>
        </w:rPr>
        <w:t>-</w:t>
      </w:r>
      <w:r w:rsidRPr="00170B9B">
        <w:rPr>
          <w:rFonts w:ascii="Times New Roman" w:hAnsi="Times New Roman" w:cs="Times New Roman"/>
          <w:sz w:val="24"/>
          <w:szCs w:val="24"/>
        </w:rPr>
        <w:t>эмитента и банка</w:t>
      </w:r>
      <w:r>
        <w:rPr>
          <w:rFonts w:ascii="Times New Roman" w:hAnsi="Times New Roman" w:cs="Times New Roman"/>
          <w:sz w:val="24"/>
          <w:szCs w:val="24"/>
        </w:rPr>
        <w:t>-</w:t>
      </w:r>
      <w:r w:rsidRPr="00170B9B">
        <w:rPr>
          <w:rFonts w:ascii="Times New Roman" w:hAnsi="Times New Roman" w:cs="Times New Roman"/>
          <w:sz w:val="24"/>
          <w:szCs w:val="24"/>
        </w:rPr>
        <w:t>эквайрера пластиковых карт. Соответствующие записи внесены в Реестр банков-эмитентов и банков-эквайреров.</w:t>
      </w:r>
    </w:p>
    <w:p w14:paraId="355BEEA7"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связи с изменением местонахождения и почтового адреса была переоформлена лицензия одной кредитной организации. </w:t>
      </w:r>
    </w:p>
    <w:p w14:paraId="22DF50E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Во исполнение законодательно установленных функций в сфере регистрации и лицензирования Приднестровским республиканским банком были также приняты: </w:t>
      </w:r>
    </w:p>
    <w:p w14:paraId="6C2EF498"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5 решений о государственной регистрации изменений в учредительных документах кредитных организаций;</w:t>
      </w:r>
    </w:p>
    <w:p w14:paraId="606A6D2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8 решений о согласовании в должности руководителей кредитных организаций.</w:t>
      </w:r>
    </w:p>
    <w:p w14:paraId="6DE9FD1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449EE3E6" w14:textId="77777777" w:rsidR="00A95862" w:rsidRPr="00450764" w:rsidRDefault="00A95862" w:rsidP="00A95862">
      <w:pPr>
        <w:pStyle w:val="2"/>
        <w:spacing w:before="0" w:line="240" w:lineRule="auto"/>
        <w:rPr>
          <w:b/>
          <w:noProof/>
        </w:rPr>
      </w:pPr>
      <w:r w:rsidRPr="00450764">
        <w:rPr>
          <w:b/>
          <w:noProof/>
        </w:rPr>
        <w:t>Дистанционный надзор</w:t>
      </w:r>
    </w:p>
    <w:p w14:paraId="1E99BD4F"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0B002F8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ходе осуществления дистанционного (документарного) надзора, основанного на проверке и анализе отчётности, предоставляемой кредитными организациями на постоянной основе в центральный банк, проводился мониторинг уровня рисков, принятых в конкретном банке, а также соблюдения банком пруденциальных норм деятельности; выявлялась адекватность проводимой кредитными организациями политики внешним и внутренним условиям функционирования. </w:t>
      </w:r>
    </w:p>
    <w:p w14:paraId="212B3D5C"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течение 2019 года в деятельности кредитных организаций имели место нарушения действующего законодательства республики, в том числе нормативных актов Приднестровского республиканского банка. По данным фактам составлены и направлены </w:t>
      </w:r>
      <w:r w:rsidRPr="00170B9B">
        <w:rPr>
          <w:rFonts w:ascii="Times New Roman" w:hAnsi="Times New Roman" w:cs="Times New Roman"/>
          <w:sz w:val="24"/>
          <w:szCs w:val="24"/>
        </w:rPr>
        <w:br/>
        <w:t xml:space="preserve">35 актов и 10 предписаний по устранению выявленных нарушений. </w:t>
      </w:r>
    </w:p>
    <w:p w14:paraId="12DDAF91"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892F8A">
        <w:rPr>
          <w:rFonts w:ascii="Times New Roman" w:hAnsi="Times New Roman" w:cs="Times New Roman"/>
          <w:sz w:val="24"/>
          <w:szCs w:val="24"/>
        </w:rPr>
        <w:t>В течение 2019 года в результате проведения камерального надзора (контроля) в сфере регистрации и лицензирования по фактам нарушения действующего законодательства, в том числе нормативно-правовых актов Приднестровского республиканского банка, были составлены и направлены кредитным организациям 5 актов и 1 предписание.</w:t>
      </w:r>
      <w:r w:rsidRPr="00170B9B">
        <w:rPr>
          <w:rFonts w:ascii="Times New Roman" w:hAnsi="Times New Roman" w:cs="Times New Roman"/>
          <w:sz w:val="24"/>
          <w:szCs w:val="24"/>
        </w:rPr>
        <w:t xml:space="preserve"> </w:t>
      </w:r>
    </w:p>
    <w:p w14:paraId="5DA5098B"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На основе собранных данных определялись приоритеты в распределении надзорных ресурсов и планировании инспекционных проверок. В ходе осуществления дистанционного надзора была выявлена необходимость внесения дополнений и изменений в нормативные акты Приднестровского республиканского банка, направленных на совершенствование регулирования банковской деятельности. </w:t>
      </w:r>
    </w:p>
    <w:p w14:paraId="1F6BF85C" w14:textId="77777777" w:rsidR="00F07DAB" w:rsidRDefault="00F07DAB" w:rsidP="00A95862">
      <w:pPr>
        <w:spacing w:before="0" w:after="0" w:line="240" w:lineRule="auto"/>
        <w:ind w:firstLine="425"/>
        <w:jc w:val="both"/>
        <w:rPr>
          <w:rFonts w:ascii="Times New Roman" w:hAnsi="Times New Roman" w:cs="Times New Roman"/>
          <w:sz w:val="24"/>
          <w:szCs w:val="24"/>
        </w:rPr>
      </w:pPr>
    </w:p>
    <w:p w14:paraId="0C239341" w14:textId="77777777" w:rsidR="00A95862" w:rsidRPr="00450764" w:rsidRDefault="00A95862" w:rsidP="00A95862">
      <w:pPr>
        <w:pStyle w:val="2"/>
        <w:spacing w:before="0" w:line="240" w:lineRule="auto"/>
        <w:rPr>
          <w:b/>
          <w:noProof/>
        </w:rPr>
      </w:pPr>
      <w:r w:rsidRPr="00450764">
        <w:rPr>
          <w:b/>
          <w:noProof/>
        </w:rPr>
        <w:t>Банковское регулирование</w:t>
      </w:r>
    </w:p>
    <w:p w14:paraId="4BD4D012"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3E3F29DE"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4F5043">
        <w:rPr>
          <w:rFonts w:ascii="Times New Roman" w:hAnsi="Times New Roman" w:cs="Times New Roman"/>
          <w:sz w:val="24"/>
          <w:szCs w:val="24"/>
        </w:rPr>
        <w:t xml:space="preserve">В 2019 году в рамках повышения финансовой устойчивости кредитных организаций и </w:t>
      </w:r>
      <w:r w:rsidRPr="00170B9B">
        <w:rPr>
          <w:rFonts w:ascii="Times New Roman" w:hAnsi="Times New Roman" w:cs="Times New Roman"/>
          <w:sz w:val="24"/>
          <w:szCs w:val="24"/>
        </w:rPr>
        <w:t>реализации предусмотренных законодательством целей, защиты интересов кредиторов и вкладчиков была продолжена работа по совершенствованию банковского регулирования.</w:t>
      </w:r>
    </w:p>
    <w:p w14:paraId="1835EFA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течение 2019 года был внесён ряд изменений и дополнений в нормативные акты центрального банка, регулирующие банковские риски, необходимость которых была выявлена в ходе практического применения:</w:t>
      </w:r>
    </w:p>
    <w:p w14:paraId="6836E65A" w14:textId="77777777" w:rsidR="00A95862" w:rsidRPr="00170B9B" w:rsidRDefault="00A95862" w:rsidP="00A95862">
      <w:pPr>
        <w:numPr>
          <w:ilvl w:val="0"/>
          <w:numId w:val="12"/>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В Положение ПРБ от 10 ноября 2009 года № 91-П «О порядке формирования и использования кредитными организациями фонда риска», а также Инструкцию ПРБ от 9 ноября 2007 года № 22-И «О порядке регулирования деятельности кредитных организаций», были внесены изменения, согласно которым:</w:t>
      </w:r>
    </w:p>
    <w:p w14:paraId="1D2FF5FF" w14:textId="77777777" w:rsidR="00A95862" w:rsidRPr="00170B9B"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исключена норма учитывать рейтинги международных рейтинговых агентств, присвоенные до 1 марта 2014 года;</w:t>
      </w:r>
    </w:p>
    <w:p w14:paraId="53FCEF4F" w14:textId="77777777" w:rsidR="00A95862" w:rsidRPr="00170B9B"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в отношении российских объектов рейтинга разрешено использовать рейтинги российских рейтинговых агентств (Акционерное общество «Рейтинговое агентство </w:t>
      </w:r>
      <w:r w:rsidRPr="00170B9B">
        <w:rPr>
          <w:rFonts w:ascii="Times New Roman" w:hAnsi="Times New Roman" w:cs="Times New Roman"/>
          <w:sz w:val="24"/>
          <w:szCs w:val="24"/>
        </w:rPr>
        <w:lastRenderedPageBreak/>
        <w:t xml:space="preserve">«Эксперт РА» и Акционерное общество «Аналитическое Кредитное Рейтинговое Агентство»). Ранее в отношении всех иностранных объектов рейтинга использовались рейтинги, присвоенные международными рейтинговыми агентствами: Standard&amp;Poor's, Fitch, Moody's Investors Service; </w:t>
      </w:r>
    </w:p>
    <w:p w14:paraId="297581F7" w14:textId="77777777" w:rsidR="00A95862" w:rsidRPr="00170B9B"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в связи с ростом потребительского кредитования повышена нагрузка на банки республики в части формирования фонда риска по кредитам, предоставленным физическим лицам.</w:t>
      </w:r>
    </w:p>
    <w:p w14:paraId="1C07B986"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Также в Положение № 91-П внесено изменение, </w:t>
      </w:r>
      <w:r w:rsidR="00F07DAB" w:rsidRPr="00170B9B">
        <w:rPr>
          <w:rFonts w:ascii="Times New Roman" w:hAnsi="Times New Roman" w:cs="Times New Roman"/>
          <w:sz w:val="24"/>
          <w:szCs w:val="24"/>
        </w:rPr>
        <w:t>обусловлен</w:t>
      </w:r>
      <w:r w:rsidR="00F07DAB">
        <w:rPr>
          <w:rFonts w:ascii="Times New Roman" w:hAnsi="Times New Roman" w:cs="Times New Roman"/>
          <w:sz w:val="24"/>
          <w:szCs w:val="24"/>
        </w:rPr>
        <w:t>ное</w:t>
      </w:r>
      <w:r w:rsidR="00F07DAB" w:rsidRPr="00170B9B">
        <w:rPr>
          <w:rFonts w:ascii="Times New Roman" w:hAnsi="Times New Roman" w:cs="Times New Roman"/>
          <w:sz w:val="24"/>
          <w:szCs w:val="24"/>
        </w:rPr>
        <w:t xml:space="preserve"> необходимостью защиты интересов заёмщиков – физических лиц посредством ограничения их долговой нагрузки, а также в целях сокращения рисков банков, связанных с кредитованием населения </w:t>
      </w:r>
      <w:r w:rsidR="00F07DAB">
        <w:rPr>
          <w:rFonts w:ascii="Times New Roman" w:hAnsi="Times New Roman" w:cs="Times New Roman"/>
          <w:sz w:val="24"/>
          <w:szCs w:val="24"/>
        </w:rPr>
        <w:t>(</w:t>
      </w:r>
      <w:r w:rsidRPr="00170B9B">
        <w:rPr>
          <w:rFonts w:ascii="Times New Roman" w:hAnsi="Times New Roman" w:cs="Times New Roman"/>
          <w:sz w:val="24"/>
          <w:szCs w:val="24"/>
        </w:rPr>
        <w:t>вступило в силу 01.01.2020</w:t>
      </w:r>
      <w:r w:rsidR="00F07DAB">
        <w:rPr>
          <w:rFonts w:ascii="Times New Roman" w:hAnsi="Times New Roman" w:cs="Times New Roman"/>
          <w:sz w:val="24"/>
          <w:szCs w:val="24"/>
        </w:rPr>
        <w:t>).</w:t>
      </w:r>
      <w:r w:rsidRPr="00170B9B">
        <w:rPr>
          <w:rFonts w:ascii="Times New Roman" w:hAnsi="Times New Roman" w:cs="Times New Roman"/>
          <w:sz w:val="24"/>
          <w:szCs w:val="24"/>
        </w:rPr>
        <w:t xml:space="preserve"> </w:t>
      </w:r>
      <w:r w:rsidR="00F07DAB" w:rsidRPr="00170B9B">
        <w:rPr>
          <w:rFonts w:ascii="Times New Roman" w:hAnsi="Times New Roman" w:cs="Times New Roman"/>
          <w:sz w:val="24"/>
          <w:szCs w:val="24"/>
        </w:rPr>
        <w:t xml:space="preserve">В </w:t>
      </w:r>
      <w:r w:rsidRPr="00170B9B">
        <w:rPr>
          <w:rFonts w:ascii="Times New Roman" w:hAnsi="Times New Roman" w:cs="Times New Roman"/>
          <w:sz w:val="24"/>
          <w:szCs w:val="24"/>
        </w:rPr>
        <w:t xml:space="preserve">соответствии с </w:t>
      </w:r>
      <w:r w:rsidR="00F07DAB">
        <w:rPr>
          <w:rFonts w:ascii="Times New Roman" w:hAnsi="Times New Roman" w:cs="Times New Roman"/>
          <w:sz w:val="24"/>
          <w:szCs w:val="24"/>
        </w:rPr>
        <w:t>данным изменением</w:t>
      </w:r>
      <w:r w:rsidRPr="00170B9B">
        <w:rPr>
          <w:rFonts w:ascii="Times New Roman" w:hAnsi="Times New Roman" w:cs="Times New Roman"/>
          <w:sz w:val="24"/>
          <w:szCs w:val="24"/>
        </w:rPr>
        <w:t xml:space="preserve"> кредитным организациям при классификации кредитов, предоставленных физическим лицам, необходимо учитывать,</w:t>
      </w:r>
      <w:r w:rsidR="00F07DAB">
        <w:rPr>
          <w:rFonts w:ascii="Times New Roman" w:hAnsi="Times New Roman" w:cs="Times New Roman"/>
          <w:sz w:val="24"/>
          <w:szCs w:val="24"/>
        </w:rPr>
        <w:t xml:space="preserve"> что</w:t>
      </w:r>
      <w:r w:rsidRPr="00170B9B">
        <w:rPr>
          <w:rFonts w:ascii="Times New Roman" w:hAnsi="Times New Roman" w:cs="Times New Roman"/>
          <w:sz w:val="24"/>
          <w:szCs w:val="24"/>
        </w:rPr>
        <w:t xml:space="preserve"> обслуживание долга по кредиту не может быть признано хорошим, если при предоставлении физическому лицу отдельных частей (траншей) кредита в рамках открытой кредитной линии происходит увеличение срока возврата основного долга по кредиту, то есть фактически происходит пролонгация кредита.</w:t>
      </w:r>
    </w:p>
    <w:p w14:paraId="6F650685" w14:textId="2FCBF58F" w:rsidR="00A95862" w:rsidRPr="00AD420D" w:rsidRDefault="00A95862" w:rsidP="00A95862">
      <w:pPr>
        <w:pStyle w:val="aff4"/>
        <w:numPr>
          <w:ilvl w:val="0"/>
          <w:numId w:val="12"/>
        </w:numPr>
        <w:spacing w:before="0" w:after="0" w:line="240" w:lineRule="auto"/>
        <w:ind w:left="0" w:firstLine="426"/>
        <w:jc w:val="both"/>
        <w:rPr>
          <w:rFonts w:ascii="Times New Roman" w:hAnsi="Times New Roman" w:cs="Times New Roman"/>
          <w:sz w:val="24"/>
          <w:szCs w:val="24"/>
        </w:rPr>
      </w:pPr>
      <w:r w:rsidRPr="00AD420D">
        <w:rPr>
          <w:rFonts w:ascii="Times New Roman" w:hAnsi="Times New Roman" w:cs="Times New Roman"/>
          <w:sz w:val="24"/>
          <w:szCs w:val="24"/>
        </w:rPr>
        <w:t>В Инструкцию П</w:t>
      </w:r>
      <w:r w:rsidR="00EE1F84">
        <w:rPr>
          <w:rFonts w:ascii="Times New Roman" w:hAnsi="Times New Roman" w:cs="Times New Roman"/>
          <w:sz w:val="24"/>
          <w:szCs w:val="24"/>
        </w:rPr>
        <w:t>риднестровского республиканского банка</w:t>
      </w:r>
      <w:r w:rsidRPr="00AD420D">
        <w:rPr>
          <w:rFonts w:ascii="Times New Roman" w:hAnsi="Times New Roman" w:cs="Times New Roman"/>
          <w:sz w:val="24"/>
          <w:szCs w:val="24"/>
        </w:rPr>
        <w:t xml:space="preserve"> от 21</w:t>
      </w:r>
      <w:r w:rsidR="00EE1F84">
        <w:rPr>
          <w:rFonts w:ascii="Times New Roman" w:hAnsi="Times New Roman" w:cs="Times New Roman"/>
          <w:sz w:val="24"/>
          <w:szCs w:val="24"/>
        </w:rPr>
        <w:t xml:space="preserve"> ноября </w:t>
      </w:r>
      <w:r w:rsidRPr="00AD420D">
        <w:rPr>
          <w:rFonts w:ascii="Times New Roman" w:hAnsi="Times New Roman" w:cs="Times New Roman"/>
          <w:sz w:val="24"/>
          <w:szCs w:val="24"/>
        </w:rPr>
        <w:t>2006</w:t>
      </w:r>
      <w:r w:rsidR="00EE1F84">
        <w:rPr>
          <w:rFonts w:ascii="Times New Roman" w:hAnsi="Times New Roman" w:cs="Times New Roman"/>
          <w:sz w:val="24"/>
          <w:szCs w:val="24"/>
        </w:rPr>
        <w:t xml:space="preserve"> года</w:t>
      </w:r>
      <w:r w:rsidRPr="00AD420D">
        <w:rPr>
          <w:rFonts w:ascii="Times New Roman" w:hAnsi="Times New Roman" w:cs="Times New Roman"/>
          <w:sz w:val="24"/>
          <w:szCs w:val="24"/>
        </w:rPr>
        <w:t xml:space="preserve"> №18-И «О регулировании размера валютного риска в кредитных организациях ПМР» внесены изменения, в соответствии с которыми лимит совокупной балансовой позиции в отдельной иностранной валюте (драгоценном металле) и лимит совокупной позиции по условным счетам в отдельной иностранной валюте (драгоценном металле) в настоящее время носят рекомендательный характер.</w:t>
      </w:r>
    </w:p>
    <w:p w14:paraId="11B8090A" w14:textId="376C8EB1" w:rsidR="00A95862" w:rsidRPr="00AD420D" w:rsidRDefault="00A95862" w:rsidP="00A95862">
      <w:pPr>
        <w:pStyle w:val="aff4"/>
        <w:numPr>
          <w:ilvl w:val="0"/>
          <w:numId w:val="12"/>
        </w:numPr>
        <w:spacing w:before="0" w:after="0" w:line="240" w:lineRule="auto"/>
        <w:ind w:left="0" w:firstLine="426"/>
        <w:jc w:val="both"/>
        <w:rPr>
          <w:rFonts w:ascii="Times New Roman" w:hAnsi="Times New Roman" w:cs="Times New Roman"/>
          <w:sz w:val="24"/>
          <w:szCs w:val="24"/>
        </w:rPr>
      </w:pPr>
      <w:r w:rsidRPr="00AD420D">
        <w:rPr>
          <w:rFonts w:ascii="Times New Roman" w:hAnsi="Times New Roman" w:cs="Times New Roman"/>
          <w:sz w:val="24"/>
          <w:szCs w:val="24"/>
        </w:rPr>
        <w:t xml:space="preserve">В Положение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риднестровского республиканского банка</w:t>
      </w:r>
      <w:r w:rsidRPr="00AD420D">
        <w:rPr>
          <w:rFonts w:ascii="Times New Roman" w:hAnsi="Times New Roman" w:cs="Times New Roman"/>
          <w:sz w:val="24"/>
          <w:szCs w:val="24"/>
        </w:rPr>
        <w:t xml:space="preserve"> от 14</w:t>
      </w:r>
      <w:r w:rsidR="00EE1F84">
        <w:rPr>
          <w:rFonts w:ascii="Times New Roman" w:hAnsi="Times New Roman" w:cs="Times New Roman"/>
          <w:sz w:val="24"/>
          <w:szCs w:val="24"/>
        </w:rPr>
        <w:t xml:space="preserve"> августа </w:t>
      </w:r>
      <w:r w:rsidRPr="00AD420D">
        <w:rPr>
          <w:rFonts w:ascii="Times New Roman" w:hAnsi="Times New Roman" w:cs="Times New Roman"/>
          <w:sz w:val="24"/>
          <w:szCs w:val="24"/>
        </w:rPr>
        <w:t>2007</w:t>
      </w:r>
      <w:r w:rsidR="00EE1F84">
        <w:rPr>
          <w:rFonts w:ascii="Times New Roman" w:hAnsi="Times New Roman" w:cs="Times New Roman"/>
          <w:sz w:val="24"/>
          <w:szCs w:val="24"/>
        </w:rPr>
        <w:t xml:space="preserve"> года</w:t>
      </w:r>
      <w:r w:rsidRPr="00AD420D">
        <w:rPr>
          <w:rFonts w:ascii="Times New Roman" w:hAnsi="Times New Roman" w:cs="Times New Roman"/>
          <w:sz w:val="24"/>
          <w:szCs w:val="24"/>
        </w:rPr>
        <w:t xml:space="preserve"> № 80-П «Об обязательных резервах кредитных организаций» внесены изменения, в соответствии с которыми:</w:t>
      </w:r>
    </w:p>
    <w:p w14:paraId="5C3F8DB0" w14:textId="6A0D3740" w:rsidR="00A95862" w:rsidRPr="00170B9B"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кредитные организации получили возможность не включать в состав резервируемых обязательств кредитной организации для исчисления обязательных резервов, подлежащих депонированию в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риднестровском республиканском банке</w:t>
      </w:r>
      <w:r w:rsidRPr="00170B9B">
        <w:rPr>
          <w:rFonts w:ascii="Times New Roman" w:hAnsi="Times New Roman" w:cs="Times New Roman"/>
          <w:sz w:val="24"/>
          <w:szCs w:val="24"/>
        </w:rPr>
        <w:t xml:space="preserve">, обязательства кредитной организации по поставке иностранной валюты клиентам по операциям продажи иностранной валюты; </w:t>
      </w:r>
    </w:p>
    <w:p w14:paraId="0D2B769A" w14:textId="056323E2" w:rsidR="00A95862" w:rsidRPr="00170B9B"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исключены балансовые счета, участвующие в расчёте резервируемых обязательств кредитной организации, что обусловлено вступлением в силу с 1</w:t>
      </w:r>
      <w:r w:rsidR="00EE1F84">
        <w:rPr>
          <w:rFonts w:ascii="Times New Roman" w:hAnsi="Times New Roman" w:cs="Times New Roman"/>
          <w:sz w:val="24"/>
          <w:szCs w:val="24"/>
        </w:rPr>
        <w:t xml:space="preserve"> января </w:t>
      </w:r>
      <w:r w:rsidRPr="00170B9B">
        <w:rPr>
          <w:rFonts w:ascii="Times New Roman" w:hAnsi="Times New Roman" w:cs="Times New Roman"/>
          <w:sz w:val="24"/>
          <w:szCs w:val="24"/>
        </w:rPr>
        <w:t xml:space="preserve">2019 года Указания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от 27</w:t>
      </w:r>
      <w:r w:rsidR="00EE1F84">
        <w:rPr>
          <w:rFonts w:ascii="Times New Roman" w:hAnsi="Times New Roman" w:cs="Times New Roman"/>
          <w:sz w:val="24"/>
          <w:szCs w:val="24"/>
        </w:rPr>
        <w:t xml:space="preserve"> февраля </w:t>
      </w:r>
      <w:r w:rsidRPr="00170B9B">
        <w:rPr>
          <w:rFonts w:ascii="Times New Roman" w:hAnsi="Times New Roman" w:cs="Times New Roman"/>
          <w:sz w:val="24"/>
          <w:szCs w:val="24"/>
        </w:rPr>
        <w:t xml:space="preserve">2018 года </w:t>
      </w:r>
      <w:r w:rsidR="00EE1F84">
        <w:rPr>
          <w:rFonts w:ascii="Times New Roman" w:hAnsi="Times New Roman" w:cs="Times New Roman"/>
          <w:sz w:val="24"/>
          <w:szCs w:val="24"/>
        </w:rPr>
        <w:br/>
      </w:r>
      <w:r w:rsidRPr="00170B9B">
        <w:rPr>
          <w:rFonts w:ascii="Times New Roman" w:hAnsi="Times New Roman" w:cs="Times New Roman"/>
          <w:sz w:val="24"/>
          <w:szCs w:val="24"/>
        </w:rPr>
        <w:t xml:space="preserve">№1047-У «О внесении изменений в Положение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от 21</w:t>
      </w:r>
      <w:r w:rsidR="00EE1F84">
        <w:rPr>
          <w:rFonts w:ascii="Times New Roman" w:hAnsi="Times New Roman" w:cs="Times New Roman"/>
          <w:sz w:val="24"/>
          <w:szCs w:val="24"/>
        </w:rPr>
        <w:t xml:space="preserve"> января </w:t>
      </w:r>
      <w:r w:rsidRPr="00170B9B">
        <w:rPr>
          <w:rFonts w:ascii="Times New Roman" w:hAnsi="Times New Roman" w:cs="Times New Roman"/>
          <w:sz w:val="24"/>
          <w:szCs w:val="24"/>
        </w:rPr>
        <w:t>2015 года №118-П «О плане счетов бухгалтерского учёта в кредитных организациях, расположенных на территории ПМР».</w:t>
      </w:r>
    </w:p>
    <w:p w14:paraId="5771A75E" w14:textId="2BBCC01B" w:rsidR="00A95862" w:rsidRPr="00AD420D" w:rsidRDefault="00A95862" w:rsidP="00A95862">
      <w:pPr>
        <w:pStyle w:val="aff4"/>
        <w:numPr>
          <w:ilvl w:val="0"/>
          <w:numId w:val="12"/>
        </w:numPr>
        <w:spacing w:before="0" w:after="0" w:line="240" w:lineRule="auto"/>
        <w:ind w:left="0" w:firstLine="426"/>
        <w:jc w:val="both"/>
        <w:rPr>
          <w:rFonts w:ascii="Times New Roman" w:hAnsi="Times New Roman" w:cs="Times New Roman"/>
          <w:sz w:val="24"/>
          <w:szCs w:val="24"/>
        </w:rPr>
      </w:pPr>
      <w:r w:rsidRPr="00AD420D">
        <w:rPr>
          <w:rFonts w:ascii="Times New Roman" w:hAnsi="Times New Roman" w:cs="Times New Roman"/>
          <w:sz w:val="24"/>
          <w:szCs w:val="24"/>
        </w:rPr>
        <w:t xml:space="preserve">В Инструкцию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риднестровского республиканского банка</w:t>
      </w:r>
      <w:r w:rsidRPr="00AD420D">
        <w:rPr>
          <w:rFonts w:ascii="Times New Roman" w:hAnsi="Times New Roman" w:cs="Times New Roman"/>
          <w:sz w:val="24"/>
          <w:szCs w:val="24"/>
        </w:rPr>
        <w:t xml:space="preserve"> от 9</w:t>
      </w:r>
      <w:r w:rsidR="00EE1F84">
        <w:rPr>
          <w:rFonts w:ascii="Times New Roman" w:hAnsi="Times New Roman" w:cs="Times New Roman"/>
          <w:sz w:val="24"/>
          <w:szCs w:val="24"/>
        </w:rPr>
        <w:t xml:space="preserve"> ноября </w:t>
      </w:r>
      <w:r w:rsidRPr="00AD420D">
        <w:rPr>
          <w:rFonts w:ascii="Times New Roman" w:hAnsi="Times New Roman" w:cs="Times New Roman"/>
          <w:sz w:val="24"/>
          <w:szCs w:val="24"/>
        </w:rPr>
        <w:t>2007</w:t>
      </w:r>
      <w:r>
        <w:rPr>
          <w:rFonts w:ascii="Times New Roman" w:hAnsi="Times New Roman" w:cs="Times New Roman"/>
          <w:sz w:val="24"/>
          <w:szCs w:val="24"/>
        </w:rPr>
        <w:t xml:space="preserve"> года</w:t>
      </w:r>
      <w:r w:rsidRPr="00AD420D">
        <w:rPr>
          <w:rFonts w:ascii="Times New Roman" w:hAnsi="Times New Roman" w:cs="Times New Roman"/>
          <w:sz w:val="24"/>
          <w:szCs w:val="24"/>
        </w:rPr>
        <w:t xml:space="preserve"> № 22-И «О порядке регулирования деятельности кредитных организаций», внесены изменения и дополнения, необходимость внесения которых обусловлена:</w:t>
      </w:r>
    </w:p>
    <w:p w14:paraId="3E2EAE8B" w14:textId="06AE43E0" w:rsidR="00A95862" w:rsidRPr="00170B9B"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оптимизацией отчётности, представляемой кредитными организациями в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риднестровский республиканский банк</w:t>
      </w:r>
      <w:r w:rsidRPr="00170B9B">
        <w:rPr>
          <w:rFonts w:ascii="Times New Roman" w:hAnsi="Times New Roman" w:cs="Times New Roman"/>
          <w:sz w:val="24"/>
          <w:szCs w:val="24"/>
        </w:rPr>
        <w:t>. В частности, усовершенствован отчёт «Сведения о кредитном портфеле кредитной организации»;</w:t>
      </w:r>
    </w:p>
    <w:p w14:paraId="1FEAEBD5" w14:textId="02B07B78" w:rsidR="00A95862" w:rsidRPr="00FB4E41" w:rsidRDefault="00A95862" w:rsidP="00A95862">
      <w:pPr>
        <w:numPr>
          <w:ilvl w:val="0"/>
          <w:numId w:val="13"/>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внесением дополнений и изменений в Инструкцию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от 8 августа 2006 года №17-И «О порядке открытия, ведения, переоформления и закрытия счетов в банках ПМР», а именно, Инструкция № 22-И и Положение № 80-П дополняются балансовым счётом </w:t>
      </w:r>
      <w:r w:rsidRPr="00FB4E41">
        <w:rPr>
          <w:rFonts w:ascii="Times New Roman" w:hAnsi="Times New Roman" w:cs="Times New Roman"/>
          <w:sz w:val="24"/>
          <w:szCs w:val="24"/>
        </w:rPr>
        <w:t xml:space="preserve">№ 2216 «Карточный счёт». </w:t>
      </w:r>
    </w:p>
    <w:p w14:paraId="1265FBFC" w14:textId="77777777" w:rsidR="00A95862" w:rsidRPr="00FB4E41" w:rsidRDefault="00A95862" w:rsidP="00A95862">
      <w:pPr>
        <w:spacing w:before="0" w:after="0" w:line="240" w:lineRule="auto"/>
        <w:ind w:firstLine="426"/>
        <w:jc w:val="both"/>
        <w:rPr>
          <w:rFonts w:ascii="Times New Roman" w:hAnsi="Times New Roman" w:cs="Times New Roman"/>
          <w:sz w:val="24"/>
          <w:szCs w:val="24"/>
        </w:rPr>
      </w:pPr>
      <w:r w:rsidRPr="00FB4E41">
        <w:rPr>
          <w:rFonts w:ascii="Times New Roman" w:hAnsi="Times New Roman" w:cs="Times New Roman"/>
          <w:sz w:val="24"/>
          <w:szCs w:val="24"/>
        </w:rPr>
        <w:t xml:space="preserve">С целью повышения открытости и обеспечения добросовестности функционирования субъектов финансового рынка Приднестровья, учитывающих законные права и интересы всех вовлечённых лиц, были задекларированы «Основные принципы добросовестного поведения </w:t>
      </w:r>
      <w:r w:rsidRPr="00FB4E41">
        <w:rPr>
          <w:rFonts w:ascii="Times New Roman" w:hAnsi="Times New Roman" w:cs="Times New Roman"/>
          <w:sz w:val="24"/>
          <w:szCs w:val="24"/>
        </w:rPr>
        <w:lastRenderedPageBreak/>
        <w:t xml:space="preserve">на финансовом рынке (Кодекс добросовестного поведения)», к которым присоединились все субъекты финансового рынка. </w:t>
      </w:r>
    </w:p>
    <w:p w14:paraId="6D80AF76" w14:textId="10881F10" w:rsidR="00A95862" w:rsidRPr="00FB4E41" w:rsidRDefault="00A95862" w:rsidP="00A95862">
      <w:pPr>
        <w:spacing w:before="0" w:after="0" w:line="240" w:lineRule="auto"/>
        <w:ind w:firstLine="425"/>
        <w:jc w:val="both"/>
        <w:rPr>
          <w:rFonts w:ascii="Times New Roman" w:hAnsi="Times New Roman" w:cs="Times New Roman"/>
          <w:sz w:val="24"/>
          <w:szCs w:val="24"/>
        </w:rPr>
      </w:pPr>
      <w:r w:rsidRPr="00694059">
        <w:rPr>
          <w:rFonts w:ascii="Times New Roman" w:hAnsi="Times New Roman" w:cs="Times New Roman"/>
          <w:sz w:val="24"/>
          <w:szCs w:val="24"/>
        </w:rPr>
        <w:t>Приднестровский республиканский банк в 2019 году проводил работу в направлении совершенствования нормативной базы, приведения её к международным стандартам. С целью внедрения рекомендаций Базеля III использовался российский опыт с учётом сложившейся в настоящее время ситуации в приднестровском банковском секторе. Для изучения возможности перехода приднестровских банков на Базельские стандарты кредитным организациям был направлен проект изменений в Инструкцию</w:t>
      </w:r>
      <w:r w:rsidR="00EE1F84" w:rsidRPr="00EE1F84">
        <w:rPr>
          <w:rFonts w:ascii="Times New Roman" w:hAnsi="Times New Roman" w:cs="Times New Roman"/>
          <w:sz w:val="24"/>
          <w:szCs w:val="24"/>
        </w:rPr>
        <w:t xml:space="preserve"> </w:t>
      </w:r>
      <w:r w:rsidR="00EE1F84" w:rsidRPr="00AD420D">
        <w:rPr>
          <w:rFonts w:ascii="Times New Roman" w:hAnsi="Times New Roman" w:cs="Times New Roman"/>
          <w:sz w:val="24"/>
          <w:szCs w:val="24"/>
        </w:rPr>
        <w:t>П</w:t>
      </w:r>
      <w:r w:rsidR="00EE1F84">
        <w:rPr>
          <w:rFonts w:ascii="Times New Roman" w:hAnsi="Times New Roman" w:cs="Times New Roman"/>
          <w:sz w:val="24"/>
          <w:szCs w:val="24"/>
        </w:rPr>
        <w:t>риднестровского республиканского банка</w:t>
      </w:r>
      <w:r w:rsidRPr="00694059">
        <w:rPr>
          <w:rFonts w:ascii="Times New Roman" w:hAnsi="Times New Roman" w:cs="Times New Roman"/>
          <w:sz w:val="24"/>
          <w:szCs w:val="24"/>
        </w:rPr>
        <w:t xml:space="preserve"> </w:t>
      </w:r>
      <w:r w:rsidR="00EE1F84" w:rsidRPr="00694059">
        <w:rPr>
          <w:rFonts w:ascii="Times New Roman" w:hAnsi="Times New Roman" w:cs="Times New Roman"/>
          <w:sz w:val="24"/>
          <w:szCs w:val="24"/>
        </w:rPr>
        <w:t xml:space="preserve">от 9 ноября 2007 года </w:t>
      </w:r>
      <w:r w:rsidRPr="00694059">
        <w:rPr>
          <w:rFonts w:ascii="Times New Roman" w:hAnsi="Times New Roman" w:cs="Times New Roman"/>
          <w:sz w:val="24"/>
          <w:szCs w:val="24"/>
        </w:rPr>
        <w:t>№22-И «О порядке регулирования деятельности кредитных организаций»</w:t>
      </w:r>
      <w:r w:rsidR="00EE1F84" w:rsidRPr="00EE1F84">
        <w:rPr>
          <w:rFonts w:ascii="Times New Roman" w:hAnsi="Times New Roman" w:cs="Times New Roman"/>
          <w:sz w:val="24"/>
          <w:szCs w:val="24"/>
        </w:rPr>
        <w:t xml:space="preserve"> </w:t>
      </w:r>
      <w:r w:rsidR="00EE1F84" w:rsidRPr="00694059">
        <w:rPr>
          <w:rFonts w:ascii="Times New Roman" w:hAnsi="Times New Roman" w:cs="Times New Roman"/>
          <w:sz w:val="24"/>
          <w:szCs w:val="24"/>
        </w:rPr>
        <w:t>(САЗ 07-52)</w:t>
      </w:r>
      <w:r w:rsidRPr="00694059">
        <w:rPr>
          <w:rFonts w:ascii="Times New Roman" w:hAnsi="Times New Roman" w:cs="Times New Roman"/>
          <w:sz w:val="24"/>
          <w:szCs w:val="24"/>
        </w:rPr>
        <w:t>, который предусматривал повышение требований к достаточности капитала кредитных организаций, меры по ограничению уровня рисков, в том числе операционного риска. Результаты исследований перехода на новые требования показали, что данный процесс должен идти поэтапно, и с учётом текущей ситуации в банковском секторе Приднестровья требуется определённое время для перехода на международные стандарты.</w:t>
      </w:r>
    </w:p>
    <w:p w14:paraId="7CD8358E"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0D8B73D0" w14:textId="77777777" w:rsidR="00A95862" w:rsidRPr="00450764" w:rsidRDefault="00A95862" w:rsidP="00A95862">
      <w:pPr>
        <w:pStyle w:val="2"/>
        <w:spacing w:before="0" w:line="240" w:lineRule="auto"/>
        <w:rPr>
          <w:b/>
          <w:noProof/>
        </w:rPr>
      </w:pPr>
      <w:r w:rsidRPr="00450764">
        <w:rPr>
          <w:b/>
          <w:noProof/>
        </w:rPr>
        <w:t>Инспектирование кредитных и страховых организаций</w:t>
      </w:r>
    </w:p>
    <w:p w14:paraId="39E6A357"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601523F5" w14:textId="57485E9F"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Реализуя функцию контроля соблюдения банками действующего законодательства Приднестровской Молдавской Республики, Приднестровский республиканский</w:t>
      </w:r>
      <w:r w:rsidR="00EE1F84">
        <w:rPr>
          <w:rFonts w:ascii="Times New Roman" w:hAnsi="Times New Roman" w:cs="Times New Roman"/>
          <w:sz w:val="24"/>
          <w:szCs w:val="24"/>
        </w:rPr>
        <w:t xml:space="preserve"> банк</w:t>
      </w:r>
      <w:r w:rsidRPr="00170B9B">
        <w:rPr>
          <w:rFonts w:ascii="Times New Roman" w:hAnsi="Times New Roman" w:cs="Times New Roman"/>
          <w:sz w:val="24"/>
          <w:szCs w:val="24"/>
        </w:rPr>
        <w:t xml:space="preserve"> проводил инспекционные проверки как на плановой, так и внеплановой основе. В целом за год было проведено </w:t>
      </w:r>
      <w:r>
        <w:rPr>
          <w:rFonts w:ascii="Times New Roman" w:hAnsi="Times New Roman" w:cs="Times New Roman"/>
          <w:sz w:val="24"/>
          <w:szCs w:val="24"/>
        </w:rPr>
        <w:t>девять</w:t>
      </w:r>
      <w:r w:rsidRPr="00170B9B">
        <w:rPr>
          <w:rFonts w:ascii="Times New Roman" w:hAnsi="Times New Roman" w:cs="Times New Roman"/>
          <w:sz w:val="24"/>
          <w:szCs w:val="24"/>
        </w:rPr>
        <w:t xml:space="preserve"> проверок банков, небанковских кредитных и страховых организаций</w:t>
      </w:r>
      <w:r w:rsidR="000B7EA0" w:rsidRPr="000B7EA0">
        <w:rPr>
          <w:rFonts w:ascii="Times New Roman" w:hAnsi="Times New Roman" w:cs="Times New Roman"/>
          <w:sz w:val="24"/>
          <w:szCs w:val="24"/>
        </w:rPr>
        <w:t xml:space="preserve"> </w:t>
      </w:r>
      <w:r w:rsidR="000B7EA0" w:rsidRPr="00170B9B">
        <w:rPr>
          <w:rFonts w:ascii="Times New Roman" w:hAnsi="Times New Roman" w:cs="Times New Roman"/>
          <w:sz w:val="24"/>
          <w:szCs w:val="24"/>
        </w:rPr>
        <w:t>Приднестровской Молдавской Республики</w:t>
      </w:r>
      <w:r w:rsidRPr="00170B9B">
        <w:rPr>
          <w:rFonts w:ascii="Times New Roman" w:hAnsi="Times New Roman" w:cs="Times New Roman"/>
          <w:sz w:val="24"/>
          <w:szCs w:val="24"/>
        </w:rPr>
        <w:t>, в том числе:</w:t>
      </w:r>
    </w:p>
    <w:p w14:paraId="261168A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170B9B">
        <w:rPr>
          <w:rFonts w:ascii="Times New Roman" w:hAnsi="Times New Roman" w:cs="Times New Roman"/>
          <w:sz w:val="24"/>
          <w:szCs w:val="24"/>
        </w:rPr>
        <w:t xml:space="preserve">1 плановая тематическая; </w:t>
      </w:r>
    </w:p>
    <w:p w14:paraId="04E90280"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170B9B">
        <w:rPr>
          <w:rFonts w:ascii="Times New Roman" w:hAnsi="Times New Roman" w:cs="Times New Roman"/>
          <w:sz w:val="24"/>
          <w:szCs w:val="24"/>
        </w:rPr>
        <w:t xml:space="preserve">1 проверка соблюдения нормативно-правовых актов; </w:t>
      </w:r>
    </w:p>
    <w:p w14:paraId="7A119993"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170B9B">
        <w:rPr>
          <w:rFonts w:ascii="Times New Roman" w:hAnsi="Times New Roman" w:cs="Times New Roman"/>
          <w:sz w:val="24"/>
          <w:szCs w:val="24"/>
        </w:rPr>
        <w:t>4 ревизионные проверки финансово-хозяйственной деятельности;</w:t>
      </w:r>
    </w:p>
    <w:p w14:paraId="103D9BA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170B9B">
        <w:rPr>
          <w:rFonts w:ascii="Times New Roman" w:hAnsi="Times New Roman" w:cs="Times New Roman"/>
          <w:sz w:val="24"/>
          <w:szCs w:val="24"/>
        </w:rPr>
        <w:t>3 внеплановых</w:t>
      </w:r>
      <w:r>
        <w:rPr>
          <w:rFonts w:ascii="Times New Roman" w:hAnsi="Times New Roman" w:cs="Times New Roman"/>
          <w:sz w:val="24"/>
          <w:szCs w:val="24"/>
        </w:rPr>
        <w:t xml:space="preserve"> (</w:t>
      </w:r>
      <w:r w:rsidRPr="00170B9B">
        <w:rPr>
          <w:rFonts w:ascii="Times New Roman" w:hAnsi="Times New Roman" w:cs="Times New Roman"/>
          <w:sz w:val="24"/>
          <w:szCs w:val="24"/>
        </w:rPr>
        <w:t>1 тематическая проверка</w:t>
      </w:r>
      <w:r>
        <w:rPr>
          <w:rFonts w:ascii="Times New Roman" w:hAnsi="Times New Roman" w:cs="Times New Roman"/>
          <w:sz w:val="24"/>
          <w:szCs w:val="24"/>
        </w:rPr>
        <w:t xml:space="preserve"> и</w:t>
      </w:r>
      <w:r w:rsidRPr="00170B9B">
        <w:rPr>
          <w:rFonts w:ascii="Times New Roman" w:hAnsi="Times New Roman" w:cs="Times New Roman"/>
          <w:sz w:val="24"/>
          <w:szCs w:val="24"/>
        </w:rPr>
        <w:t xml:space="preserve"> 2 ревизионные проверки</w:t>
      </w:r>
      <w:r>
        <w:rPr>
          <w:rFonts w:ascii="Times New Roman" w:hAnsi="Times New Roman" w:cs="Times New Roman"/>
          <w:sz w:val="24"/>
          <w:szCs w:val="24"/>
        </w:rPr>
        <w:t>)</w:t>
      </w:r>
      <w:r w:rsidRPr="00170B9B">
        <w:rPr>
          <w:rFonts w:ascii="Times New Roman" w:hAnsi="Times New Roman" w:cs="Times New Roman"/>
          <w:sz w:val="24"/>
          <w:szCs w:val="24"/>
        </w:rPr>
        <w:t>.</w:t>
      </w:r>
    </w:p>
    <w:p w14:paraId="268859D0"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По результатам проведённых проверок в адрес банков и небанковских кредитных организаций </w:t>
      </w:r>
      <w:r w:rsidR="000B7EA0" w:rsidRPr="00170B9B">
        <w:rPr>
          <w:rFonts w:ascii="Times New Roman" w:hAnsi="Times New Roman" w:cs="Times New Roman"/>
          <w:sz w:val="24"/>
          <w:szCs w:val="24"/>
        </w:rPr>
        <w:t xml:space="preserve">Приднестровской Молдавской Республики </w:t>
      </w:r>
      <w:r w:rsidRPr="00170B9B">
        <w:rPr>
          <w:rFonts w:ascii="Times New Roman" w:hAnsi="Times New Roman" w:cs="Times New Roman"/>
          <w:sz w:val="24"/>
          <w:szCs w:val="24"/>
        </w:rPr>
        <w:t xml:space="preserve">направлялись акты и предписания с требованием об устранении выявленных нарушений. </w:t>
      </w:r>
    </w:p>
    <w:p w14:paraId="57EA50BC" w14:textId="77777777" w:rsidR="00A95862" w:rsidRPr="00170B9B" w:rsidRDefault="00A95862" w:rsidP="00A95862">
      <w:pPr>
        <w:spacing w:before="0" w:after="0" w:line="240" w:lineRule="auto"/>
        <w:ind w:firstLine="425"/>
        <w:jc w:val="both"/>
        <w:rPr>
          <w:rFonts w:ascii="Times New Roman" w:hAnsi="Times New Roman" w:cs="Times New Roman"/>
          <w:i/>
          <w:iCs/>
          <w:sz w:val="24"/>
          <w:szCs w:val="24"/>
        </w:rPr>
      </w:pPr>
    </w:p>
    <w:p w14:paraId="532823C6" w14:textId="77777777" w:rsidR="00A95862" w:rsidRPr="00450764" w:rsidRDefault="00A95862" w:rsidP="00A95862">
      <w:pPr>
        <w:pStyle w:val="2"/>
        <w:spacing w:before="0" w:line="240" w:lineRule="auto"/>
        <w:rPr>
          <w:b/>
          <w:noProof/>
        </w:rPr>
      </w:pPr>
      <w:r w:rsidRPr="00450764">
        <w:rPr>
          <w:b/>
          <w:noProof/>
        </w:rPr>
        <w:t>Регулирование страхового рынка</w:t>
      </w:r>
    </w:p>
    <w:p w14:paraId="45F136D9"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51D20D7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продолжилась разработка и внедрение нормативно-правовой базы, ка</w:t>
      </w:r>
      <w:r>
        <w:rPr>
          <w:rFonts w:ascii="Times New Roman" w:hAnsi="Times New Roman" w:cs="Times New Roman"/>
          <w:sz w:val="24"/>
          <w:szCs w:val="24"/>
        </w:rPr>
        <w:t>сающейся страховой деятельности</w:t>
      </w:r>
      <w:r w:rsidRPr="00170B9B">
        <w:rPr>
          <w:rFonts w:ascii="Times New Roman" w:hAnsi="Times New Roman" w:cs="Times New Roman"/>
          <w:sz w:val="24"/>
          <w:szCs w:val="24"/>
        </w:rPr>
        <w:t xml:space="preserve">. Разработка велась с учётом российского и молдавского опыта. В частности, разработаны и находятся на стадии согласования проекты </w:t>
      </w:r>
      <w:r>
        <w:rPr>
          <w:rFonts w:ascii="Times New Roman" w:hAnsi="Times New Roman" w:cs="Times New Roman"/>
          <w:sz w:val="24"/>
          <w:szCs w:val="24"/>
        </w:rPr>
        <w:t>пяти</w:t>
      </w:r>
      <w:r w:rsidRPr="00170B9B">
        <w:rPr>
          <w:rFonts w:ascii="Times New Roman" w:hAnsi="Times New Roman" w:cs="Times New Roman"/>
          <w:sz w:val="24"/>
          <w:szCs w:val="24"/>
        </w:rPr>
        <w:t xml:space="preserve"> нормативных актов</w:t>
      </w:r>
      <w:r>
        <w:rPr>
          <w:rFonts w:ascii="Times New Roman" w:hAnsi="Times New Roman" w:cs="Times New Roman"/>
          <w:sz w:val="24"/>
          <w:szCs w:val="24"/>
        </w:rPr>
        <w:t>;</w:t>
      </w:r>
      <w:r w:rsidRPr="00170B9B">
        <w:rPr>
          <w:rFonts w:ascii="Times New Roman" w:hAnsi="Times New Roman" w:cs="Times New Roman"/>
          <w:sz w:val="24"/>
          <w:szCs w:val="24"/>
        </w:rPr>
        <w:t xml:space="preserve"> 19 нормативных актов прошли государственную регистрацию в Министерств</w:t>
      </w:r>
      <w:r>
        <w:rPr>
          <w:rFonts w:ascii="Times New Roman" w:hAnsi="Times New Roman" w:cs="Times New Roman"/>
          <w:sz w:val="24"/>
          <w:szCs w:val="24"/>
        </w:rPr>
        <w:t>е</w:t>
      </w:r>
      <w:r w:rsidRPr="00170B9B">
        <w:rPr>
          <w:rFonts w:ascii="Times New Roman" w:hAnsi="Times New Roman" w:cs="Times New Roman"/>
          <w:sz w:val="24"/>
          <w:szCs w:val="24"/>
        </w:rPr>
        <w:t xml:space="preserve"> юстиции </w:t>
      </w:r>
      <w:r w:rsidR="000B7EA0" w:rsidRPr="00170B9B">
        <w:rPr>
          <w:rFonts w:ascii="Times New Roman" w:hAnsi="Times New Roman" w:cs="Times New Roman"/>
          <w:sz w:val="24"/>
          <w:szCs w:val="24"/>
        </w:rPr>
        <w:t>Приднестровской Молдавской Республики</w:t>
      </w:r>
      <w:r w:rsidRPr="00170B9B">
        <w:rPr>
          <w:rFonts w:ascii="Times New Roman" w:hAnsi="Times New Roman" w:cs="Times New Roman"/>
          <w:sz w:val="24"/>
          <w:szCs w:val="24"/>
        </w:rPr>
        <w:t>.</w:t>
      </w:r>
    </w:p>
    <w:p w14:paraId="025B0731"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w:t>
      </w:r>
      <w:r>
        <w:rPr>
          <w:rFonts w:ascii="Times New Roman" w:hAnsi="Times New Roman" w:cs="Times New Roman"/>
          <w:sz w:val="24"/>
          <w:szCs w:val="24"/>
        </w:rPr>
        <w:t>отчётном периоде</w:t>
      </w:r>
      <w:r w:rsidRPr="00170B9B">
        <w:rPr>
          <w:rFonts w:ascii="Times New Roman" w:hAnsi="Times New Roman" w:cs="Times New Roman"/>
          <w:sz w:val="24"/>
          <w:szCs w:val="24"/>
        </w:rPr>
        <w:t xml:space="preserve"> центральным банком продолжена масштабная работа по реализации отдельных изменений и внедрению глобальных усовершенствований в сфере страхового надзора</w:t>
      </w:r>
      <w:r>
        <w:rPr>
          <w:rFonts w:ascii="Times New Roman" w:hAnsi="Times New Roman" w:cs="Times New Roman"/>
          <w:sz w:val="24"/>
          <w:szCs w:val="24"/>
        </w:rPr>
        <w:t>. В частности</w:t>
      </w:r>
      <w:r w:rsidRPr="00170B9B">
        <w:rPr>
          <w:rFonts w:ascii="Times New Roman" w:hAnsi="Times New Roman" w:cs="Times New Roman"/>
          <w:sz w:val="24"/>
          <w:szCs w:val="24"/>
        </w:rPr>
        <w:t>:</w:t>
      </w:r>
    </w:p>
    <w:p w14:paraId="792F936D"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введён в действие порядок, устанавливающий формы, сроки и порядок составления и представления отчётности страховыми организациями;</w:t>
      </w:r>
    </w:p>
    <w:p w14:paraId="3137B862"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разработан радикально новый порядок, регламентирующий план счетов правила ведения бухгалтерского учёта субъектов страхового дела;</w:t>
      </w:r>
    </w:p>
    <w:p w14:paraId="41A954DA"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усовершенствован подход к порядку формирования страховых резервов по страхованию иному, чем страхование жизни;</w:t>
      </w:r>
    </w:p>
    <w:p w14:paraId="18291374"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lastRenderedPageBreak/>
        <w:t>утверждена методология расчёта базовой страховой премии для обязательного страхования гражданской ответственности владельцев транспортных средств;</w:t>
      </w:r>
    </w:p>
    <w:p w14:paraId="7ADBFDF6"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изменён подход к определению размера расходов на восстановительный ремонт в отношении поврежд</w:t>
      </w:r>
      <w:r>
        <w:rPr>
          <w:rFonts w:ascii="Times New Roman" w:hAnsi="Times New Roman" w:cs="Times New Roman"/>
          <w:sz w:val="24"/>
          <w:szCs w:val="24"/>
        </w:rPr>
        <w:t>ё</w:t>
      </w:r>
      <w:r w:rsidRPr="00170B9B">
        <w:rPr>
          <w:rFonts w:ascii="Times New Roman" w:hAnsi="Times New Roman" w:cs="Times New Roman"/>
          <w:sz w:val="24"/>
          <w:szCs w:val="24"/>
        </w:rPr>
        <w:t>нного транспортного средства путём переработки методики (находится на завершающей стадии);</w:t>
      </w:r>
    </w:p>
    <w:p w14:paraId="64AAC8BE"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проведена аттестация лиц, желающих получить квалификационный аттестат страхового актуария, квалификационные экзамены сданы успешно; </w:t>
      </w:r>
    </w:p>
    <w:p w14:paraId="06E3FCF7"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закреплены требования в отношении определения единого порядка заключения договора обязательного страхования гражданской ответственности владельцев транспортных средств в ПМР в виде электронного документа; </w:t>
      </w:r>
    </w:p>
    <w:p w14:paraId="736C3E55"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утверждена новая форма полиса обязательного страхования гражданской ответственности владельцев транспортных средств;</w:t>
      </w:r>
    </w:p>
    <w:p w14:paraId="1AA04256"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утверждены требования к соглашению о прямом возмещении убытков и порядку расчётов между его участниками; </w:t>
      </w:r>
    </w:p>
    <w:p w14:paraId="111D8FAC" w14:textId="77777777" w:rsidR="00A95862" w:rsidRPr="00170B9B" w:rsidRDefault="00A95862" w:rsidP="001D426F">
      <w:pPr>
        <w:numPr>
          <w:ilvl w:val="0"/>
          <w:numId w:val="1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смягчены требования к порядку формирования страховыми организациями резервов на возможные потери по сомнительной дебиторской задолженности;</w:t>
      </w:r>
    </w:p>
    <w:p w14:paraId="361D765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23513AE0"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Проводилась работа по контролю (надзору) за деятельностью субъектов страхового дела. В результате выявленных нарушений норм действующего законодательства были составлены и направлены в адрес страховых организаций 10 актов и 7 предписаний об их устранении.</w:t>
      </w:r>
    </w:p>
    <w:p w14:paraId="7E4C6C5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ЗАО «СК «Арион»» был приобретён 100% пакет акций ЗАО «</w:t>
      </w:r>
      <w:r>
        <w:rPr>
          <w:rFonts w:ascii="Times New Roman" w:hAnsi="Times New Roman" w:cs="Times New Roman"/>
          <w:sz w:val="24"/>
          <w:szCs w:val="24"/>
        </w:rPr>
        <w:t>СБ-</w:t>
      </w:r>
      <w:r w:rsidRPr="006B4955">
        <w:rPr>
          <w:rFonts w:ascii="Times New Roman" w:hAnsi="Times New Roman" w:cs="Times New Roman"/>
          <w:sz w:val="24"/>
          <w:szCs w:val="24"/>
        </w:rPr>
        <w:t>Универсальные системы страхования</w:t>
      </w:r>
      <w:r w:rsidRPr="00170B9B">
        <w:rPr>
          <w:rFonts w:ascii="Times New Roman" w:hAnsi="Times New Roman" w:cs="Times New Roman"/>
          <w:sz w:val="24"/>
          <w:szCs w:val="24"/>
        </w:rPr>
        <w:t>», 25 сентября 2019 года ЗАО «СБ-УСС» было исключено из Единого государственного реестра юридических лиц, а 2 октября 2019 года – из Единого государственного реестра субъектов страхового дела.</w:t>
      </w:r>
    </w:p>
    <w:p w14:paraId="54E5B5C0" w14:textId="5EE0C319"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w:t>
      </w:r>
      <w:r w:rsidRPr="00170B9B">
        <w:rPr>
          <w:rFonts w:ascii="Times New Roman" w:hAnsi="Times New Roman" w:cs="Times New Roman"/>
          <w:sz w:val="24"/>
          <w:szCs w:val="24"/>
          <w:lang w:val="en-US"/>
        </w:rPr>
        <w:t>I</w:t>
      </w:r>
      <w:r w:rsidRPr="00170B9B">
        <w:rPr>
          <w:rFonts w:ascii="Times New Roman" w:hAnsi="Times New Roman" w:cs="Times New Roman"/>
          <w:sz w:val="24"/>
          <w:szCs w:val="24"/>
        </w:rPr>
        <w:t xml:space="preserve"> квартале 2019 года в соответствии с Положением </w:t>
      </w:r>
      <w:r w:rsidR="00116BA3" w:rsidRPr="00AD420D">
        <w:rPr>
          <w:rFonts w:ascii="Times New Roman" w:hAnsi="Times New Roman" w:cs="Times New Roman"/>
          <w:sz w:val="24"/>
          <w:szCs w:val="24"/>
        </w:rPr>
        <w:t>П</w:t>
      </w:r>
      <w:r w:rsidR="00116BA3">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w:t>
      </w:r>
      <w:r w:rsidR="00116BA3">
        <w:rPr>
          <w:rFonts w:ascii="Times New Roman" w:hAnsi="Times New Roman" w:cs="Times New Roman"/>
          <w:sz w:val="24"/>
          <w:szCs w:val="24"/>
        </w:rPr>
        <w:t xml:space="preserve">от 11 июня </w:t>
      </w:r>
      <w:r w:rsidRPr="00170B9B">
        <w:rPr>
          <w:rFonts w:ascii="Times New Roman" w:hAnsi="Times New Roman" w:cs="Times New Roman"/>
          <w:sz w:val="24"/>
          <w:szCs w:val="24"/>
        </w:rPr>
        <w:t>2018 </w:t>
      </w:r>
      <w:r w:rsidR="00116BA3">
        <w:rPr>
          <w:rFonts w:ascii="Times New Roman" w:hAnsi="Times New Roman" w:cs="Times New Roman"/>
          <w:sz w:val="24"/>
          <w:szCs w:val="24"/>
        </w:rPr>
        <w:t xml:space="preserve">года </w:t>
      </w:r>
      <w:r w:rsidRPr="00170B9B">
        <w:rPr>
          <w:rFonts w:ascii="Times New Roman" w:hAnsi="Times New Roman" w:cs="Times New Roman"/>
          <w:sz w:val="24"/>
          <w:szCs w:val="24"/>
        </w:rPr>
        <w:t>№ 127-П</w:t>
      </w:r>
      <w:r w:rsidR="00116BA3">
        <w:rPr>
          <w:rFonts w:ascii="Times New Roman" w:hAnsi="Times New Roman" w:cs="Times New Roman"/>
          <w:sz w:val="24"/>
          <w:szCs w:val="24"/>
        </w:rPr>
        <w:t xml:space="preserve"> </w:t>
      </w:r>
      <w:r w:rsidRPr="00170B9B">
        <w:rPr>
          <w:rFonts w:ascii="Times New Roman" w:hAnsi="Times New Roman" w:cs="Times New Roman"/>
          <w:sz w:val="24"/>
          <w:szCs w:val="24"/>
        </w:rPr>
        <w:t>«О порядке проведения аттестации лиц, желающих получить квалификационный аттестат страхового актуария, выдачи и аннулирования квалификационных аттестатов страховых актуариев» провед</w:t>
      </w:r>
      <w:r>
        <w:rPr>
          <w:rFonts w:ascii="Times New Roman" w:hAnsi="Times New Roman" w:cs="Times New Roman"/>
          <w:sz w:val="24"/>
          <w:szCs w:val="24"/>
        </w:rPr>
        <w:t>ё</w:t>
      </w:r>
      <w:r w:rsidRPr="00170B9B">
        <w:rPr>
          <w:rFonts w:ascii="Times New Roman" w:hAnsi="Times New Roman" w:cs="Times New Roman"/>
          <w:sz w:val="24"/>
          <w:szCs w:val="24"/>
        </w:rPr>
        <w:t>н квалификационный экзамен, выдан квалификационный аттестат.</w:t>
      </w:r>
    </w:p>
    <w:p w14:paraId="0B7A66BD"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На постоянной основе проводилась работа с Ассоциацией страховщиков автотранспортных средств (АСАС) и страховыми организациями по вопросам составления отчетности страховых организаций, рассмотрения, согласования и регистрации их внутренних документов (положений о резервах, правил страхования, правил профессиональной деятельности АСАС, методик о порядке расч</w:t>
      </w:r>
      <w:r>
        <w:rPr>
          <w:rFonts w:ascii="Times New Roman" w:hAnsi="Times New Roman" w:cs="Times New Roman"/>
          <w:sz w:val="24"/>
          <w:szCs w:val="24"/>
        </w:rPr>
        <w:t>ё</w:t>
      </w:r>
      <w:r w:rsidRPr="00170B9B">
        <w:rPr>
          <w:rFonts w:ascii="Times New Roman" w:hAnsi="Times New Roman" w:cs="Times New Roman"/>
          <w:sz w:val="24"/>
          <w:szCs w:val="24"/>
        </w:rPr>
        <w:t>та чистых активов страховой организации, по порядку сос</w:t>
      </w:r>
      <w:r>
        <w:rPr>
          <w:rFonts w:ascii="Times New Roman" w:hAnsi="Times New Roman" w:cs="Times New Roman"/>
          <w:sz w:val="24"/>
          <w:szCs w:val="24"/>
        </w:rPr>
        <w:t>тавления отчё</w:t>
      </w:r>
      <w:r w:rsidRPr="00170B9B">
        <w:rPr>
          <w:rFonts w:ascii="Times New Roman" w:hAnsi="Times New Roman" w:cs="Times New Roman"/>
          <w:sz w:val="24"/>
          <w:szCs w:val="24"/>
        </w:rPr>
        <w:t xml:space="preserve">тности страховых организаций). </w:t>
      </w:r>
    </w:p>
    <w:p w14:paraId="71C407E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На протяжении 2019 года проводились совещания и встречи с субъектами страхового дела по вопросам электронного страхового полиса ОСАГО, по вопросам норм страхового законодательства, обсуждения правил различных видов страхования, разработки новых видов страхования, осуществлялось оказание консультационной и методологической помощи страховым организациям. </w:t>
      </w:r>
    </w:p>
    <w:p w14:paraId="0870C978" w14:textId="66513DFD"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Велась работа, связанная с рассмотрением и урегулированием жалоб клиентов страховых компаний, поступающих в адрес </w:t>
      </w:r>
      <w:r w:rsidR="00116BA3" w:rsidRPr="00AD420D">
        <w:rPr>
          <w:rFonts w:ascii="Times New Roman" w:hAnsi="Times New Roman" w:cs="Times New Roman"/>
          <w:sz w:val="24"/>
          <w:szCs w:val="24"/>
        </w:rPr>
        <w:t>П</w:t>
      </w:r>
      <w:r w:rsidR="00116BA3">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В процессе разработки нормативных актов проводились совещания с заинтересованными сторонами в части вопросов, возникающих при ознакомлении их с проектами нормативных актов </w:t>
      </w:r>
      <w:r w:rsidR="00116BA3" w:rsidRPr="00AD420D">
        <w:rPr>
          <w:rFonts w:ascii="Times New Roman" w:hAnsi="Times New Roman" w:cs="Times New Roman"/>
          <w:sz w:val="24"/>
          <w:szCs w:val="24"/>
        </w:rPr>
        <w:t>П</w:t>
      </w:r>
      <w:r w:rsidR="00116BA3">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Проводилась работа с законопроектами, касающимися изменений в Закон об ОСАГО, Закон о страховом деле, Закон о центральном банке.</w:t>
      </w:r>
      <w:r w:rsidR="00C822ED">
        <w:rPr>
          <w:rFonts w:ascii="Times New Roman" w:hAnsi="Times New Roman" w:cs="Times New Roman"/>
          <w:sz w:val="24"/>
          <w:szCs w:val="24"/>
        </w:rPr>
        <w:t xml:space="preserve"> </w:t>
      </w:r>
    </w:p>
    <w:p w14:paraId="55C40CAB" w14:textId="77777777" w:rsidR="00FE3A7F" w:rsidRDefault="00FE3A7F" w:rsidP="00A95862">
      <w:pPr>
        <w:spacing w:before="0" w:after="0" w:line="240" w:lineRule="auto"/>
        <w:ind w:firstLine="425"/>
        <w:jc w:val="both"/>
        <w:rPr>
          <w:rFonts w:ascii="Times New Roman" w:hAnsi="Times New Roman" w:cs="Times New Roman"/>
          <w:sz w:val="24"/>
          <w:szCs w:val="24"/>
        </w:rPr>
      </w:pPr>
    </w:p>
    <w:p w14:paraId="6201C71A" w14:textId="77777777" w:rsidR="00A95862" w:rsidRPr="004F5043" w:rsidRDefault="00A95862" w:rsidP="00A95862">
      <w:pPr>
        <w:pStyle w:val="1"/>
        <w:widowControl w:val="0"/>
        <w:spacing w:before="0" w:line="240" w:lineRule="auto"/>
        <w:rPr>
          <w:b/>
          <w:bCs/>
          <w:noProof/>
          <w:sz w:val="24"/>
          <w:szCs w:val="24"/>
        </w:rPr>
      </w:pPr>
      <w:r w:rsidRPr="004F5043">
        <w:rPr>
          <w:b/>
          <w:bCs/>
          <w:noProof/>
          <w:sz w:val="24"/>
          <w:szCs w:val="24"/>
        </w:rPr>
        <w:lastRenderedPageBreak/>
        <w:t xml:space="preserve"> </w:t>
      </w:r>
      <w:r>
        <w:rPr>
          <w:b/>
          <w:bCs/>
          <w:noProof/>
          <w:sz w:val="24"/>
          <w:szCs w:val="24"/>
        </w:rPr>
        <w:t xml:space="preserve">2.4. </w:t>
      </w:r>
      <w:r w:rsidRPr="004F5043">
        <w:rPr>
          <w:b/>
          <w:bCs/>
          <w:noProof/>
          <w:sz w:val="24"/>
          <w:szCs w:val="24"/>
        </w:rPr>
        <w:t>ВАЛЮТНОЕ РЕГУЛИРОВАНИЕ И ВАЛЮТНЫЙ КОНТРОЛЬ</w:t>
      </w:r>
    </w:p>
    <w:p w14:paraId="79401D03"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2BA603DD"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рамках валютной политики центральный банк действовал в соответствии с нормами законодательства и полномочи</w:t>
      </w:r>
      <w:r>
        <w:rPr>
          <w:rFonts w:ascii="Times New Roman" w:hAnsi="Times New Roman" w:cs="Times New Roman"/>
          <w:sz w:val="24"/>
          <w:szCs w:val="24"/>
        </w:rPr>
        <w:t>ями</w:t>
      </w:r>
      <w:r w:rsidRPr="00170B9B">
        <w:rPr>
          <w:rFonts w:ascii="Times New Roman" w:hAnsi="Times New Roman" w:cs="Times New Roman"/>
          <w:sz w:val="24"/>
          <w:szCs w:val="24"/>
        </w:rPr>
        <w:t xml:space="preserve"> по установлению размера и порядка обязательной продажи части валютной выручки резидентов в валютный резерв Приднестровской Молдавской Республики, по продлению сроков репатриации и снятию с валютного контроля сумм безнадёжной задолженности в случаях представления резидентом документального подтверждения фактов, оговоренных законом, свидетельствующих о невозможности взыскания или возврата причитающихся им сумм, а также полномочиями по рассмотрению административных дел за невыполнение обязанности по получению в установленный срок экспортной валютной выручки, равно как и обязанности возврата авансовых платежей за неосуществлённый импорт или ввоза в установленный срок импортных товаров, выполнения работ, оказания услуг. </w:t>
      </w:r>
    </w:p>
    <w:p w14:paraId="1AEEEDDC"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Норма обязательной продажи части валютной выручки, установленная действующим законодательством, в отчётном году составила 25%, за исключением: </w:t>
      </w:r>
    </w:p>
    <w:p w14:paraId="5B27C9B7"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валютной выручки, получаемой от реализации товаров, работ, услуг на территории Приднестровской Молдавской Республики за наличную иностранную валюту на основании лицензий, выданных Приднестровским республиканским банком. Норма обязательной продажи по данной части валютной выручки соответствовала 10%;</w:t>
      </w:r>
    </w:p>
    <w:p w14:paraId="2072658C"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денежных средств, полученных в иностранной валюте субъектом инновационной деятельности в результате реализации инновационного проекта, от реализации готовой продукции за пределы Приднестровской Молдавской Республики при осуществлении инновационного проекта. Данные субъекты производили обязательную продажу в размере 3% от суммы валютной выручки;</w:t>
      </w:r>
    </w:p>
    <w:p w14:paraId="5FAE6D3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денежных средств, полученных резидентами и нерезидентами в иностранной валюте от экспорта электрической энергии из Приднестровской Молдавской Республики, которые подлежат обязательной продаже в размере 95%;</w:t>
      </w:r>
    </w:p>
    <w:p w14:paraId="419FFFFD"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 - </w:t>
      </w:r>
      <w:r>
        <w:rPr>
          <w:rFonts w:ascii="Times New Roman" w:hAnsi="Times New Roman" w:cs="Times New Roman"/>
          <w:sz w:val="24"/>
          <w:szCs w:val="24"/>
        </w:rPr>
        <w:t xml:space="preserve">валютной выручки, получаемой </w:t>
      </w:r>
      <w:r w:rsidRPr="00170B9B">
        <w:rPr>
          <w:rFonts w:ascii="Times New Roman" w:hAnsi="Times New Roman" w:cs="Times New Roman"/>
          <w:sz w:val="24"/>
          <w:szCs w:val="24"/>
        </w:rPr>
        <w:t>организаци</w:t>
      </w:r>
      <w:r>
        <w:rPr>
          <w:rFonts w:ascii="Times New Roman" w:hAnsi="Times New Roman" w:cs="Times New Roman"/>
          <w:sz w:val="24"/>
          <w:szCs w:val="24"/>
        </w:rPr>
        <w:t>ями</w:t>
      </w:r>
      <w:r w:rsidRPr="00170B9B">
        <w:rPr>
          <w:rFonts w:ascii="Times New Roman" w:hAnsi="Times New Roman" w:cs="Times New Roman"/>
          <w:sz w:val="24"/>
          <w:szCs w:val="24"/>
        </w:rPr>
        <w:t xml:space="preserve"> чёрной металлургии, осуществивши</w:t>
      </w:r>
      <w:r>
        <w:rPr>
          <w:rFonts w:ascii="Times New Roman" w:hAnsi="Times New Roman" w:cs="Times New Roman"/>
          <w:sz w:val="24"/>
          <w:szCs w:val="24"/>
        </w:rPr>
        <w:t>ми</w:t>
      </w:r>
      <w:r w:rsidRPr="00170B9B">
        <w:rPr>
          <w:rFonts w:ascii="Times New Roman" w:hAnsi="Times New Roman" w:cs="Times New Roman"/>
          <w:sz w:val="24"/>
          <w:szCs w:val="24"/>
        </w:rPr>
        <w:t xml:space="preserve"> за предшествующий календарный месяц обязательную продажу части валютной выручки в объёме</w:t>
      </w:r>
      <w:r>
        <w:rPr>
          <w:rFonts w:ascii="Times New Roman" w:hAnsi="Times New Roman" w:cs="Times New Roman"/>
          <w:sz w:val="24"/>
          <w:szCs w:val="24"/>
        </w:rPr>
        <w:t>,</w:t>
      </w:r>
      <w:r w:rsidRPr="00170B9B">
        <w:rPr>
          <w:rFonts w:ascii="Times New Roman" w:hAnsi="Times New Roman" w:cs="Times New Roman"/>
          <w:sz w:val="24"/>
          <w:szCs w:val="24"/>
        </w:rPr>
        <w:t xml:space="preserve"> равном или превышающем в эквиваленте один миллион долларов США</w:t>
      </w:r>
      <w:r>
        <w:rPr>
          <w:rFonts w:ascii="Times New Roman" w:hAnsi="Times New Roman" w:cs="Times New Roman"/>
          <w:sz w:val="24"/>
          <w:szCs w:val="24"/>
        </w:rPr>
        <w:t>. Данные организации</w:t>
      </w:r>
      <w:r w:rsidRPr="00170B9B">
        <w:rPr>
          <w:rFonts w:ascii="Times New Roman" w:hAnsi="Times New Roman" w:cs="Times New Roman"/>
          <w:sz w:val="24"/>
          <w:szCs w:val="24"/>
        </w:rPr>
        <w:t xml:space="preserve"> производили обязательную продажу в размере 18% от суммы валютной выручки, получаемой в течение текущего календарного месяца.</w:t>
      </w:r>
    </w:p>
    <w:p w14:paraId="322C6B2C"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0C6A96">
        <w:rPr>
          <w:rFonts w:ascii="Times New Roman" w:hAnsi="Times New Roman" w:cs="Times New Roman"/>
          <w:sz w:val="24"/>
          <w:szCs w:val="24"/>
        </w:rPr>
        <w:t xml:space="preserve">В соответствии с Указанием Приднестровского республиканского банка от 10 апреля 2019 года </w:t>
      </w:r>
      <w:r>
        <w:rPr>
          <w:rFonts w:ascii="Times New Roman" w:hAnsi="Times New Roman" w:cs="Times New Roman"/>
          <w:sz w:val="24"/>
          <w:szCs w:val="24"/>
        </w:rPr>
        <w:t>№</w:t>
      </w:r>
      <w:r w:rsidRPr="000C6A96">
        <w:rPr>
          <w:rFonts w:ascii="Times New Roman" w:hAnsi="Times New Roman" w:cs="Times New Roman"/>
          <w:sz w:val="24"/>
          <w:szCs w:val="24"/>
        </w:rPr>
        <w:t xml:space="preserve"> 1150-У «О внесении изменения и дополнения в Положение Приднестровского республиканского банка от 19 июня 2007 года </w:t>
      </w:r>
      <w:r>
        <w:rPr>
          <w:rFonts w:ascii="Times New Roman" w:hAnsi="Times New Roman" w:cs="Times New Roman"/>
          <w:sz w:val="24"/>
          <w:szCs w:val="24"/>
        </w:rPr>
        <w:t>№</w:t>
      </w:r>
      <w:r w:rsidRPr="000C6A96">
        <w:rPr>
          <w:rFonts w:ascii="Times New Roman" w:hAnsi="Times New Roman" w:cs="Times New Roman"/>
          <w:sz w:val="24"/>
          <w:szCs w:val="24"/>
        </w:rPr>
        <w:t xml:space="preserve"> 75-П «Об осуществлении обязательной продажи части валютной выручки» с 12 апреля 2019 года допускается</w:t>
      </w:r>
      <w:r w:rsidRPr="00A554E7">
        <w:rPr>
          <w:rFonts w:ascii="Times New Roman" w:hAnsi="Times New Roman" w:cs="Times New Roman"/>
          <w:sz w:val="24"/>
          <w:szCs w:val="24"/>
        </w:rPr>
        <w:t xml:space="preserve"> осуществление обязательной продажи части валютной выручки, фактически поступившей на транзитный счёт, вне зависимости от валюты зачисления, в долларах США в соответствующем объёме валютной выручки, подлежащей обязательной продаже, по официальному курсу Приднестровского республиканского банка на дату осуществления обязательной продажи.</w:t>
      </w:r>
    </w:p>
    <w:p w14:paraId="6D183DC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результате в 2019 году объём поступлений в рамках обязательной продажи части валютной выручки в долларовом эквиваленте состави</w:t>
      </w:r>
      <w:r w:rsidR="00C822ED">
        <w:rPr>
          <w:rFonts w:ascii="Times New Roman" w:hAnsi="Times New Roman" w:cs="Times New Roman"/>
          <w:sz w:val="24"/>
          <w:szCs w:val="24"/>
        </w:rPr>
        <w:t>л 251,0 млн долл</w:t>
      </w:r>
      <w:r w:rsidRPr="00A554E7">
        <w:rPr>
          <w:rFonts w:ascii="Times New Roman" w:hAnsi="Times New Roman" w:cs="Times New Roman"/>
          <w:sz w:val="24"/>
          <w:szCs w:val="24"/>
        </w:rPr>
        <w:t>.</w:t>
      </w:r>
    </w:p>
    <w:p w14:paraId="5607612C"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рамках валютного контроля осуществлялась проверка выполнения резидентами обязательств по репатриации валютной выручки на территорию Приднестровской Молдавской Республики, а также обязательств по продаже её части на внутреннем валютном рынке, определялась обоснованность платежей в иностранной валюте, оценивалась полнота и объективность учёта и отчётности по валютным операциям, соответствие проводимых </w:t>
      </w:r>
      <w:r w:rsidRPr="00170B9B">
        <w:rPr>
          <w:rFonts w:ascii="Times New Roman" w:hAnsi="Times New Roman" w:cs="Times New Roman"/>
          <w:sz w:val="24"/>
          <w:szCs w:val="24"/>
        </w:rPr>
        <w:lastRenderedPageBreak/>
        <w:t xml:space="preserve">валютных операций действующему законодательству Приднестровской Молдавской Республики. </w:t>
      </w:r>
    </w:p>
    <w:p w14:paraId="7427B94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Валютный контроль за соблюдением резидентами сроков репатриации валютной выручки и ввоза товаров по экспортно-импортным сделкам осуществляется совместно с таможенными органами Приднестровской Молдавской Республики.</w:t>
      </w:r>
    </w:p>
    <w:p w14:paraId="32FD1438" w14:textId="77777777" w:rsidR="005C0110"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2019 году протоколами об административном правонарушении было зафиксировано </w:t>
      </w:r>
      <w:r w:rsidRPr="00170B9B">
        <w:rPr>
          <w:rFonts w:ascii="Times New Roman" w:hAnsi="Times New Roman" w:cs="Times New Roman"/>
          <w:sz w:val="24"/>
          <w:szCs w:val="24"/>
        </w:rPr>
        <w:br/>
        <w:t>148 случаев нарушения сроков репатриации валютной выручки, возврата авансовых платежей по импортным операциям, не сопровождающи</w:t>
      </w:r>
      <w:r>
        <w:rPr>
          <w:rFonts w:ascii="Times New Roman" w:hAnsi="Times New Roman" w:cs="Times New Roman"/>
          <w:sz w:val="24"/>
          <w:szCs w:val="24"/>
        </w:rPr>
        <w:t>м</w:t>
      </w:r>
      <w:r w:rsidRPr="00170B9B">
        <w:rPr>
          <w:rFonts w:ascii="Times New Roman" w:hAnsi="Times New Roman" w:cs="Times New Roman"/>
          <w:sz w:val="24"/>
          <w:szCs w:val="24"/>
        </w:rPr>
        <w:t>ся поставками товаров (работ, услуг)</w:t>
      </w:r>
      <w:r>
        <w:rPr>
          <w:rFonts w:ascii="Times New Roman" w:hAnsi="Times New Roman" w:cs="Times New Roman"/>
          <w:sz w:val="24"/>
          <w:szCs w:val="24"/>
        </w:rPr>
        <w:t>,</w:t>
      </w:r>
      <w:r w:rsidRPr="00170B9B">
        <w:rPr>
          <w:rFonts w:ascii="Times New Roman" w:hAnsi="Times New Roman" w:cs="Times New Roman"/>
          <w:sz w:val="24"/>
          <w:szCs w:val="24"/>
        </w:rPr>
        <w:t xml:space="preserve"> и вынесено 90 Постановлений о назначении административного наказания. Общая сумма наложенных административных штрафов составила в долларовом эквиваленте 562,8 тыс. долл., уплаченных штрафов – в эквиваленте 15,8 тыс. </w:t>
      </w:r>
      <w:r w:rsidRPr="00053953">
        <w:rPr>
          <w:rFonts w:ascii="Times New Roman" w:hAnsi="Times New Roman" w:cs="Times New Roman"/>
          <w:sz w:val="24"/>
          <w:szCs w:val="24"/>
        </w:rPr>
        <w:t>долл.</w:t>
      </w:r>
      <w:r w:rsidR="00BC09B5" w:rsidRPr="00053953">
        <w:rPr>
          <w:rFonts w:ascii="Times New Roman" w:hAnsi="Times New Roman" w:cs="Times New Roman"/>
          <w:sz w:val="24"/>
          <w:szCs w:val="24"/>
        </w:rPr>
        <w:t xml:space="preserve"> </w:t>
      </w:r>
      <w:r w:rsidR="00F11FAC" w:rsidRPr="00053953">
        <w:rPr>
          <w:rFonts w:ascii="Times New Roman" w:hAnsi="Times New Roman" w:cs="Times New Roman"/>
          <w:sz w:val="24"/>
          <w:szCs w:val="24"/>
        </w:rPr>
        <w:t xml:space="preserve">Разница </w:t>
      </w:r>
      <w:r w:rsidR="00BC09B5" w:rsidRPr="00053953">
        <w:rPr>
          <w:rFonts w:ascii="Times New Roman" w:hAnsi="Times New Roman" w:cs="Times New Roman"/>
          <w:sz w:val="24"/>
          <w:szCs w:val="24"/>
        </w:rPr>
        <w:t xml:space="preserve">между начисленными и уплаченными суммами связана с </w:t>
      </w:r>
      <w:r w:rsidR="005C0110" w:rsidRPr="00053953">
        <w:rPr>
          <w:rFonts w:ascii="Times New Roman" w:hAnsi="Times New Roman" w:cs="Times New Roman"/>
          <w:sz w:val="24"/>
          <w:szCs w:val="24"/>
        </w:rPr>
        <w:t>действием норм статьи 33.2 КоАП ПМР, в соответствии с которой максимальный срок уплаты составляет 30 месяцев со дня вступления постановления о наложении административного штрафа в законную силу</w:t>
      </w:r>
      <w:r w:rsidR="00F11FAC" w:rsidRPr="00053953">
        <w:rPr>
          <w:rFonts w:ascii="Times New Roman" w:hAnsi="Times New Roman" w:cs="Times New Roman"/>
          <w:sz w:val="24"/>
          <w:szCs w:val="24"/>
        </w:rPr>
        <w:t>, а в случае, если до окончания выплаты всей суммы начисленного штрафа обязанность по репатриации будет исполнена в полном объеме, выплаты административного штрафа не подлежат взысканию, а ранее взысканные суммы штрафа не подлежат возврату.</w:t>
      </w:r>
      <w:r w:rsidR="005C0110" w:rsidRPr="005C0110">
        <w:rPr>
          <w:rFonts w:ascii="Times New Roman" w:hAnsi="Times New Roman" w:cs="Times New Roman"/>
          <w:sz w:val="24"/>
          <w:szCs w:val="24"/>
        </w:rPr>
        <w:t xml:space="preserve"> </w:t>
      </w:r>
    </w:p>
    <w:p w14:paraId="31FD8063"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рамках регистрации валютных операций, связанных с движением капитала, Приднестровским республиканским банком в 2019 году было зафиксировано получение юридическими лицами иностранной валюты в сумме, эквивалентной 57,7 млн долл., в том числе 7,7 млн долл. по операциям, связанным с использованием юридическими лицами - резидентами вексельной формы расчётов с нерезидентами (передача векселей в качестве средства платежа по договорам).</w:t>
      </w:r>
    </w:p>
    <w:p w14:paraId="653319D9"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отчётном году было принято положительное решение о выдаче юридическим лицам - резидентам Приднестровской Молдавской Республики разрешений на осуществление валютных операций, связанных с движением капитала</w:t>
      </w:r>
      <w:r>
        <w:rPr>
          <w:rFonts w:ascii="Times New Roman" w:hAnsi="Times New Roman" w:cs="Times New Roman"/>
          <w:sz w:val="24"/>
          <w:szCs w:val="24"/>
        </w:rPr>
        <w:t>,</w:t>
      </w:r>
      <w:r w:rsidRPr="00170B9B">
        <w:rPr>
          <w:rFonts w:ascii="Times New Roman" w:hAnsi="Times New Roman" w:cs="Times New Roman"/>
          <w:sz w:val="24"/>
          <w:szCs w:val="24"/>
        </w:rPr>
        <w:t xml:space="preserve"> в сумме, эквивалентной </w:t>
      </w:r>
      <w:r w:rsidRPr="00170B9B">
        <w:rPr>
          <w:rFonts w:ascii="Times New Roman" w:hAnsi="Times New Roman" w:cs="Times New Roman"/>
          <w:sz w:val="24"/>
          <w:szCs w:val="24"/>
        </w:rPr>
        <w:br/>
        <w:t>26,9 млн долл., в том числе по операциям, связанным с использованием юридическими лицами - резидентами вексельной формы расчётов с нерезидентами (принятие векселей в качестве оплаты по договорам), – 25,7 млн долл.</w:t>
      </w:r>
    </w:p>
    <w:p w14:paraId="74738966"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По выданным Приднестровским республиканским банком лицензиям на право реализации физическим лицам на территории Приднестровской Молдавской Республики товаров (работ, услуг) за наличную и (или) безналичную иностранную валюту, в том числе с использованием банковских (платёжных) карт по состоянию на начало </w:t>
      </w:r>
      <w:r>
        <w:rPr>
          <w:rFonts w:ascii="Times New Roman" w:hAnsi="Times New Roman" w:cs="Times New Roman"/>
          <w:sz w:val="24"/>
          <w:szCs w:val="24"/>
        </w:rPr>
        <w:t xml:space="preserve">отчётного </w:t>
      </w:r>
      <w:r w:rsidRPr="00170B9B">
        <w:rPr>
          <w:rFonts w:ascii="Times New Roman" w:hAnsi="Times New Roman" w:cs="Times New Roman"/>
          <w:sz w:val="24"/>
          <w:szCs w:val="24"/>
        </w:rPr>
        <w:t xml:space="preserve">года работало 20 юридических лиц, по состоянию на конец года – 17 юридических лиц. </w:t>
      </w:r>
    </w:p>
    <w:p w14:paraId="0F6AF9A8"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На основании соответствующих разрешений Приднестровского республиканского банка по состоянию на </w:t>
      </w:r>
      <w:r>
        <w:rPr>
          <w:rFonts w:ascii="Times New Roman" w:hAnsi="Times New Roman" w:cs="Times New Roman"/>
          <w:sz w:val="24"/>
          <w:szCs w:val="24"/>
        </w:rPr>
        <w:t xml:space="preserve">1 января 2020 года </w:t>
      </w:r>
      <w:r w:rsidRPr="00170B9B">
        <w:rPr>
          <w:rFonts w:ascii="Times New Roman" w:hAnsi="Times New Roman" w:cs="Times New Roman"/>
          <w:sz w:val="24"/>
          <w:szCs w:val="24"/>
        </w:rPr>
        <w:t>29</w:t>
      </w:r>
      <w:r>
        <w:rPr>
          <w:rFonts w:ascii="Times New Roman" w:hAnsi="Times New Roman" w:cs="Times New Roman"/>
          <w:sz w:val="24"/>
          <w:szCs w:val="24"/>
        </w:rPr>
        <w:t xml:space="preserve"> </w:t>
      </w:r>
      <w:r w:rsidRPr="00542C2E">
        <w:rPr>
          <w:rFonts w:ascii="Times New Roman" w:hAnsi="Times New Roman" w:cs="Times New Roman"/>
          <w:sz w:val="24"/>
          <w:szCs w:val="24"/>
        </w:rPr>
        <w:t>юридических лиц – резидентов проводили операции через открытые ими счета в банках за пределами Пр</w:t>
      </w:r>
      <w:r w:rsidRPr="00170B9B">
        <w:rPr>
          <w:rFonts w:ascii="Times New Roman" w:hAnsi="Times New Roman" w:cs="Times New Roman"/>
          <w:sz w:val="24"/>
          <w:szCs w:val="24"/>
        </w:rPr>
        <w:t>идне</w:t>
      </w:r>
      <w:r>
        <w:rPr>
          <w:rFonts w:ascii="Times New Roman" w:hAnsi="Times New Roman" w:cs="Times New Roman"/>
          <w:sz w:val="24"/>
          <w:szCs w:val="24"/>
        </w:rPr>
        <w:t>стровской Молдавской Республики.</w:t>
      </w:r>
    </w:p>
    <w:p w14:paraId="7203B8C2" w14:textId="245EF533" w:rsidR="00586266" w:rsidRDefault="00586266" w:rsidP="00A95862">
      <w:pPr>
        <w:spacing w:before="0" w:after="0" w:line="240" w:lineRule="auto"/>
        <w:ind w:firstLine="425"/>
        <w:jc w:val="both"/>
        <w:rPr>
          <w:rFonts w:ascii="Times New Roman" w:hAnsi="Times New Roman" w:cs="Times New Roman"/>
          <w:sz w:val="24"/>
          <w:szCs w:val="24"/>
        </w:rPr>
      </w:pPr>
    </w:p>
    <w:p w14:paraId="69F17A6B" w14:textId="77777777" w:rsidR="00B55541" w:rsidRPr="00170B9B" w:rsidRDefault="00B55541" w:rsidP="00A95862">
      <w:pPr>
        <w:spacing w:before="0" w:after="0" w:line="240" w:lineRule="auto"/>
        <w:ind w:firstLine="425"/>
        <w:jc w:val="both"/>
        <w:rPr>
          <w:rFonts w:ascii="Times New Roman" w:hAnsi="Times New Roman" w:cs="Times New Roman"/>
          <w:sz w:val="24"/>
          <w:szCs w:val="24"/>
        </w:rPr>
      </w:pPr>
    </w:p>
    <w:p w14:paraId="13D3EB22" w14:textId="77777777" w:rsidR="00A95862" w:rsidRPr="004F5043" w:rsidRDefault="00A95862" w:rsidP="00A95862">
      <w:pPr>
        <w:pStyle w:val="1"/>
        <w:widowControl w:val="0"/>
        <w:spacing w:before="0" w:line="240" w:lineRule="auto"/>
        <w:rPr>
          <w:b/>
          <w:bCs/>
          <w:noProof/>
          <w:sz w:val="24"/>
          <w:szCs w:val="24"/>
        </w:rPr>
      </w:pPr>
      <w:r>
        <w:rPr>
          <w:b/>
          <w:bCs/>
          <w:noProof/>
          <w:sz w:val="24"/>
          <w:szCs w:val="24"/>
        </w:rPr>
        <w:t xml:space="preserve">2.5. </w:t>
      </w:r>
      <w:r w:rsidRPr="004F5043">
        <w:rPr>
          <w:b/>
          <w:bCs/>
          <w:noProof/>
          <w:sz w:val="24"/>
          <w:szCs w:val="24"/>
        </w:rPr>
        <w:t xml:space="preserve">ПРОТИВОДЕЙСТВИЕ ЛЕГАЛИЗАЦИИ (ОТМЫВАНИЮ) ДОХОДОВ, ПОЛУЧЕННЫХ ПРЕСТУПНЫМ ПУТЁМ, И ФИНАНСИРОВАНИЮ ТЕРРОРИЗМА </w:t>
      </w:r>
    </w:p>
    <w:p w14:paraId="43F0262F"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6EF5A0B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отчётном году Приднестровским республиканским банком была продолжена работа по развитию системы противодействия легализации (отмыванию) доходов, полученных преступным путём, и финансированию терроризма (далее – ПОД/ФТ).</w:t>
      </w:r>
    </w:p>
    <w:p w14:paraId="60230C1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течение 2019 года реализация функций, предусмотренных статьёй 12 Закона Приднестровской Молдавской Республики от 6 апреля 2009 года № 704-З-IV «О противодействии легализации (отмыванию) доходов, полученных преступным путём, и </w:t>
      </w:r>
      <w:r w:rsidRPr="00170B9B">
        <w:rPr>
          <w:rFonts w:ascii="Times New Roman" w:hAnsi="Times New Roman" w:cs="Times New Roman"/>
          <w:sz w:val="24"/>
          <w:szCs w:val="24"/>
        </w:rPr>
        <w:lastRenderedPageBreak/>
        <w:t>финансированию терроризма» (далее – Закон), Приднестровским республиканским банком как уполномоченным органом в сфере ПОД/ФТ осуществлялась по следующим направлениям:</w:t>
      </w:r>
    </w:p>
    <w:p w14:paraId="3B94453F" w14:textId="77777777" w:rsidR="00A95862" w:rsidRPr="00170B9B" w:rsidRDefault="00A95862" w:rsidP="00A95862">
      <w:pPr>
        <w:numPr>
          <w:ilvl w:val="0"/>
          <w:numId w:val="4"/>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Поставлено на учёт </w:t>
      </w:r>
      <w:r>
        <w:rPr>
          <w:rFonts w:ascii="Times New Roman" w:hAnsi="Times New Roman" w:cs="Times New Roman"/>
          <w:sz w:val="24"/>
          <w:szCs w:val="24"/>
        </w:rPr>
        <w:t>три</w:t>
      </w:r>
      <w:r w:rsidRPr="00170B9B">
        <w:rPr>
          <w:rFonts w:ascii="Times New Roman" w:hAnsi="Times New Roman" w:cs="Times New Roman"/>
          <w:sz w:val="24"/>
          <w:szCs w:val="24"/>
        </w:rPr>
        <w:t xml:space="preserve"> субъекта финансового мониторинга: </w:t>
      </w:r>
    </w:p>
    <w:p w14:paraId="423148C5" w14:textId="77777777" w:rsidR="00A95862" w:rsidRPr="00170B9B" w:rsidRDefault="00A95862" w:rsidP="00A95862">
      <w:pPr>
        <w:numPr>
          <w:ilvl w:val="0"/>
          <w:numId w:val="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организация, оказывающая посреднические услуги при осуществлении сделок с недвижимым имуществом;</w:t>
      </w:r>
    </w:p>
    <w:p w14:paraId="77C180F5" w14:textId="77777777" w:rsidR="00A95862" w:rsidRPr="00170B9B" w:rsidRDefault="00A95862" w:rsidP="00A95862">
      <w:pPr>
        <w:numPr>
          <w:ilvl w:val="0"/>
          <w:numId w:val="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организация, осуществляющая игорную деятельность;</w:t>
      </w:r>
    </w:p>
    <w:p w14:paraId="557D3D93" w14:textId="77777777" w:rsidR="00A95862" w:rsidRPr="00170B9B" w:rsidRDefault="00A95862" w:rsidP="00A95862">
      <w:pPr>
        <w:numPr>
          <w:ilvl w:val="0"/>
          <w:numId w:val="9"/>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нотариус.</w:t>
      </w:r>
    </w:p>
    <w:p w14:paraId="40B012EF" w14:textId="77777777" w:rsidR="00A95862" w:rsidRPr="00170B9B" w:rsidRDefault="00A95862" w:rsidP="00A95862">
      <w:pPr>
        <w:numPr>
          <w:ilvl w:val="0"/>
          <w:numId w:val="4"/>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Рассмотрены и согласованы Правила внутреннего контроля (изменения и (или) дополнения), представленные на согласование </w:t>
      </w:r>
      <w:r>
        <w:rPr>
          <w:rFonts w:ascii="Times New Roman" w:hAnsi="Times New Roman" w:cs="Times New Roman"/>
          <w:sz w:val="24"/>
          <w:szCs w:val="24"/>
        </w:rPr>
        <w:t>шестью</w:t>
      </w:r>
      <w:r w:rsidRPr="00170B9B">
        <w:rPr>
          <w:rFonts w:ascii="Times New Roman" w:hAnsi="Times New Roman" w:cs="Times New Roman"/>
          <w:sz w:val="24"/>
          <w:szCs w:val="24"/>
        </w:rPr>
        <w:t xml:space="preserve"> организациями.</w:t>
      </w:r>
    </w:p>
    <w:p w14:paraId="3DD32F3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3. Посредством единой информационной системы в сфере ПОД/ФТ, функционирующей в Приднестровском республиканском банке, приняты и проанализированы 2 307 сообщений от организаций, осуществляющих операции (сделки) с денежными средствами или иным имуществом, в том числе: </w:t>
      </w:r>
    </w:p>
    <w:p w14:paraId="69C658DE" w14:textId="77777777" w:rsidR="00A95862" w:rsidRPr="00170B9B" w:rsidRDefault="00A95862" w:rsidP="00A95862">
      <w:pPr>
        <w:numPr>
          <w:ilvl w:val="0"/>
          <w:numId w:val="8"/>
        </w:numPr>
        <w:tabs>
          <w:tab w:val="clear" w:pos="1145"/>
        </w:tabs>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413 сообщений по операциям (сделкам), подлежащим государственному контролю;</w:t>
      </w:r>
    </w:p>
    <w:p w14:paraId="794C3654" w14:textId="77777777" w:rsidR="00A95862" w:rsidRPr="00170B9B" w:rsidRDefault="00A95862" w:rsidP="00A95862">
      <w:pPr>
        <w:numPr>
          <w:ilvl w:val="0"/>
          <w:numId w:val="8"/>
        </w:numPr>
        <w:tabs>
          <w:tab w:val="clear" w:pos="1145"/>
        </w:tabs>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1 894 сообщений по операциям (сделкам), в отношении которых возникли подозрения, что они связаны с легализацией (отмыванием) доходов, полученных преступным путём, и финансированием терроризма. </w:t>
      </w:r>
    </w:p>
    <w:p w14:paraId="7BCD341D"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4. По итогам анализа полученных сообщений, а также иной информации, имеющейся в распоряжении Приднестровского республиканского банка, в рамках межведомственного взаимодействия в правоохранительные, налоговые органы направлены 20 сообщений с информацией об операциях (сделках) с денежными средствами, в отношении которых имелись достаточные основания полагать, что они связаны с легализацией (отмыванием) доходов, полученных преступным путём, и финансированием терроризма. По результатам рассмотренных правоохранительными, налоговыми органами сообщений:</w:t>
      </w:r>
    </w:p>
    <w:p w14:paraId="0A5549A1"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 по </w:t>
      </w:r>
      <w:r>
        <w:rPr>
          <w:rFonts w:ascii="Times New Roman" w:hAnsi="Times New Roman" w:cs="Times New Roman"/>
          <w:sz w:val="24"/>
          <w:szCs w:val="24"/>
        </w:rPr>
        <w:t>двум</w:t>
      </w:r>
      <w:r w:rsidRPr="00170B9B">
        <w:rPr>
          <w:rFonts w:ascii="Times New Roman" w:hAnsi="Times New Roman" w:cs="Times New Roman"/>
          <w:sz w:val="24"/>
          <w:szCs w:val="24"/>
        </w:rPr>
        <w:t xml:space="preserve"> сообщениям возбуждены уголовные дела;</w:t>
      </w:r>
    </w:p>
    <w:p w14:paraId="04F65A2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 по </w:t>
      </w:r>
      <w:r>
        <w:rPr>
          <w:rFonts w:ascii="Times New Roman" w:hAnsi="Times New Roman" w:cs="Times New Roman"/>
          <w:sz w:val="24"/>
          <w:szCs w:val="24"/>
        </w:rPr>
        <w:t>одному</w:t>
      </w:r>
      <w:r w:rsidRPr="00170B9B">
        <w:rPr>
          <w:rFonts w:ascii="Times New Roman" w:hAnsi="Times New Roman" w:cs="Times New Roman"/>
          <w:sz w:val="24"/>
          <w:szCs w:val="24"/>
        </w:rPr>
        <w:t xml:space="preserve"> сообщению составлены </w:t>
      </w:r>
      <w:r>
        <w:rPr>
          <w:rFonts w:ascii="Times New Roman" w:hAnsi="Times New Roman" w:cs="Times New Roman"/>
          <w:sz w:val="24"/>
          <w:szCs w:val="24"/>
        </w:rPr>
        <w:t>четыре</w:t>
      </w:r>
      <w:r w:rsidRPr="00170B9B">
        <w:rPr>
          <w:rFonts w:ascii="Times New Roman" w:hAnsi="Times New Roman" w:cs="Times New Roman"/>
          <w:sz w:val="24"/>
          <w:szCs w:val="24"/>
        </w:rPr>
        <w:t xml:space="preserve"> административных протокола;</w:t>
      </w:r>
    </w:p>
    <w:p w14:paraId="79EDCB5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по трём</w:t>
      </w:r>
      <w:r w:rsidRPr="00170B9B">
        <w:rPr>
          <w:rFonts w:ascii="Times New Roman" w:hAnsi="Times New Roman" w:cs="Times New Roman"/>
          <w:sz w:val="24"/>
          <w:szCs w:val="24"/>
        </w:rPr>
        <w:t xml:space="preserve"> сообщениям не установлены признаки состава преступления, проверка прекращена.</w:t>
      </w:r>
    </w:p>
    <w:p w14:paraId="329E600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По остальным сообщениям правоохранительными органами проводится проверка.</w:t>
      </w:r>
    </w:p>
    <w:p w14:paraId="00D7F3B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Подготовлены ответы на </w:t>
      </w:r>
      <w:r>
        <w:rPr>
          <w:rFonts w:ascii="Times New Roman" w:hAnsi="Times New Roman" w:cs="Times New Roman"/>
          <w:sz w:val="24"/>
          <w:szCs w:val="24"/>
        </w:rPr>
        <w:t>три</w:t>
      </w:r>
      <w:r w:rsidRPr="00170B9B">
        <w:rPr>
          <w:rFonts w:ascii="Times New Roman" w:hAnsi="Times New Roman" w:cs="Times New Roman"/>
          <w:sz w:val="24"/>
          <w:szCs w:val="24"/>
        </w:rPr>
        <w:t xml:space="preserve"> запроса от правоохранительных органов.</w:t>
      </w:r>
    </w:p>
    <w:p w14:paraId="77AEA71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5. В рамках контроля за выполнением физическими и юридическими лицами законодательства Приднестровской Молдавской Республики в сфере </w:t>
      </w:r>
      <w:r>
        <w:rPr>
          <w:rFonts w:ascii="Times New Roman" w:hAnsi="Times New Roman" w:cs="Times New Roman"/>
          <w:sz w:val="24"/>
          <w:szCs w:val="24"/>
        </w:rPr>
        <w:t>ПОД/ФТ</w:t>
      </w:r>
      <w:r w:rsidRPr="00170B9B">
        <w:rPr>
          <w:rFonts w:ascii="Times New Roman" w:hAnsi="Times New Roman" w:cs="Times New Roman"/>
          <w:sz w:val="24"/>
          <w:szCs w:val="24"/>
        </w:rPr>
        <w:t xml:space="preserve"> за нарушение требований законодательства, в части сроков постановки на учёт в уполномоченном органе и за несогласование правил внутреннего контроля, привлечено к административной ответственности </w:t>
      </w:r>
      <w:r>
        <w:rPr>
          <w:rFonts w:ascii="Times New Roman" w:hAnsi="Times New Roman" w:cs="Times New Roman"/>
          <w:sz w:val="24"/>
          <w:szCs w:val="24"/>
        </w:rPr>
        <w:t>два</w:t>
      </w:r>
      <w:r w:rsidRPr="00170B9B">
        <w:rPr>
          <w:rFonts w:ascii="Times New Roman" w:hAnsi="Times New Roman" w:cs="Times New Roman"/>
          <w:sz w:val="24"/>
          <w:szCs w:val="24"/>
        </w:rPr>
        <w:t xml:space="preserve"> лица. </w:t>
      </w:r>
    </w:p>
    <w:p w14:paraId="024E4E1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На основании Постановлений должностного лица Приднестровского республиканского банка указанные лица за совершение административных правонарушений, предусмотренных пунктом 1 статьи 15.31 КоАП ПМР, привлечены к административной ответственности с применением наказания в виде штрафа 500 РУ МЗП (9200,00 руб. ПМР), а в отношении его должностного лица применено </w:t>
      </w:r>
      <w:r w:rsidRPr="00542C2E">
        <w:rPr>
          <w:rFonts w:ascii="Times New Roman" w:hAnsi="Times New Roman" w:cs="Times New Roman"/>
          <w:sz w:val="24"/>
          <w:szCs w:val="24"/>
        </w:rPr>
        <w:t>наказание в виде предупреждения</w:t>
      </w:r>
      <w:r w:rsidRPr="00170B9B">
        <w:rPr>
          <w:rFonts w:ascii="Times New Roman" w:hAnsi="Times New Roman" w:cs="Times New Roman"/>
          <w:sz w:val="24"/>
          <w:szCs w:val="24"/>
        </w:rPr>
        <w:t>.</w:t>
      </w:r>
    </w:p>
    <w:p w14:paraId="1115C6A8" w14:textId="3C88DB4B"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6. В рамках корреспондентских отношений с банками подготовлены и направлены документы, затрагивающие вопросы ПОД/ФТ.</w:t>
      </w:r>
    </w:p>
    <w:p w14:paraId="6951A82E" w14:textId="77777777" w:rsidR="00B55541" w:rsidRDefault="00B55541" w:rsidP="00A95862">
      <w:pPr>
        <w:spacing w:before="0" w:after="0" w:line="240" w:lineRule="auto"/>
        <w:ind w:firstLine="425"/>
        <w:jc w:val="both"/>
        <w:rPr>
          <w:rFonts w:ascii="Times New Roman" w:hAnsi="Times New Roman" w:cs="Times New Roman"/>
          <w:sz w:val="24"/>
          <w:szCs w:val="24"/>
        </w:rPr>
      </w:pPr>
    </w:p>
    <w:p w14:paraId="0B72E4C4" w14:textId="3FBE3158" w:rsidR="00A95862" w:rsidRDefault="00A95862" w:rsidP="00A95862">
      <w:pPr>
        <w:spacing w:before="0" w:after="0" w:line="240" w:lineRule="auto"/>
        <w:ind w:firstLine="425"/>
        <w:jc w:val="both"/>
        <w:rPr>
          <w:rFonts w:ascii="Times New Roman" w:hAnsi="Times New Roman" w:cs="Times New Roman"/>
          <w:sz w:val="24"/>
          <w:szCs w:val="24"/>
        </w:rPr>
      </w:pPr>
    </w:p>
    <w:p w14:paraId="7E77D827" w14:textId="27C48E78" w:rsidR="00B55541" w:rsidRDefault="00B55541" w:rsidP="00A95862">
      <w:pPr>
        <w:spacing w:before="0" w:after="0" w:line="240" w:lineRule="auto"/>
        <w:ind w:firstLine="425"/>
        <w:jc w:val="both"/>
        <w:rPr>
          <w:rFonts w:ascii="Times New Roman" w:hAnsi="Times New Roman" w:cs="Times New Roman"/>
          <w:sz w:val="24"/>
          <w:szCs w:val="24"/>
        </w:rPr>
      </w:pPr>
    </w:p>
    <w:p w14:paraId="3A9A4DC3" w14:textId="1D6D28D8" w:rsidR="00B55541" w:rsidRDefault="00B55541" w:rsidP="00A95862">
      <w:pPr>
        <w:spacing w:before="0" w:after="0" w:line="240" w:lineRule="auto"/>
        <w:ind w:firstLine="425"/>
        <w:jc w:val="both"/>
        <w:rPr>
          <w:rFonts w:ascii="Times New Roman" w:hAnsi="Times New Roman" w:cs="Times New Roman"/>
          <w:sz w:val="24"/>
          <w:szCs w:val="24"/>
        </w:rPr>
      </w:pPr>
    </w:p>
    <w:p w14:paraId="7FC4AF72" w14:textId="77777777" w:rsidR="00B55541" w:rsidRDefault="00B55541" w:rsidP="00A95862">
      <w:pPr>
        <w:spacing w:before="0" w:after="0" w:line="240" w:lineRule="auto"/>
        <w:ind w:firstLine="425"/>
        <w:jc w:val="both"/>
        <w:rPr>
          <w:rFonts w:ascii="Times New Roman" w:hAnsi="Times New Roman" w:cs="Times New Roman"/>
          <w:sz w:val="24"/>
          <w:szCs w:val="24"/>
        </w:rPr>
      </w:pPr>
    </w:p>
    <w:p w14:paraId="51BEF37E" w14:textId="77777777" w:rsidR="00A95862" w:rsidRPr="00F63414" w:rsidRDefault="00A95862" w:rsidP="00A95862">
      <w:pPr>
        <w:pStyle w:val="1"/>
        <w:widowControl w:val="0"/>
        <w:spacing w:before="0" w:line="240" w:lineRule="auto"/>
        <w:rPr>
          <w:b/>
          <w:bCs/>
          <w:noProof/>
          <w:sz w:val="24"/>
          <w:szCs w:val="24"/>
        </w:rPr>
      </w:pPr>
      <w:r w:rsidRPr="00F63414">
        <w:rPr>
          <w:b/>
          <w:bCs/>
          <w:noProof/>
          <w:sz w:val="24"/>
          <w:szCs w:val="24"/>
        </w:rPr>
        <w:lastRenderedPageBreak/>
        <w:t>2.6. ФУНКЦИОНИРОВАНИЕ ПЛАТЁЖНОЙ СИСТЕМЫ ПРИДНЕСТРОВСКОГО РЕСПУБЛИКАНСКОГО БАНКА</w:t>
      </w:r>
    </w:p>
    <w:p w14:paraId="258FFCC5"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1FE0DCCC" w14:textId="77777777" w:rsidR="00A95862" w:rsidRPr="00170B9B" w:rsidRDefault="00A95862" w:rsidP="001D426F">
      <w:pPr>
        <w:widowControl w:val="0"/>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отчётном году в процессе осуществления Приднестровским республиканским банком функции расчётно-кассового центра было проведено 1 810,1 тыс. транзакций, что на 9,3% больше, чем за 2018 год. При этом в суммарном выражении величина переведённых средств возросла на 4,3% и составила 37 165,5 млн руб. В среднем каждый день через Приднестровский республиканский банк проходило 4 959 платежей на сумму 101,8 млн руб.</w:t>
      </w:r>
    </w:p>
    <w:p w14:paraId="10833FAD"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структуре операций, осуществлённых через расчётно-кассовый центр центрального банка, большая часть пришлась на транзакции кредитных организаций. По собственным операциям Приднестровского республиканского банка, включая выполнение обязательств клиентов, в отчётном периоде фиксировалось увеличение числа осуществлённых транзакций </w:t>
      </w:r>
      <w:r>
        <w:rPr>
          <w:rFonts w:ascii="Times New Roman" w:hAnsi="Times New Roman" w:cs="Times New Roman"/>
          <w:sz w:val="24"/>
          <w:szCs w:val="24"/>
        </w:rPr>
        <w:t>на 1,7%</w:t>
      </w:r>
      <w:r w:rsidRPr="00170B9B">
        <w:rPr>
          <w:rFonts w:ascii="Times New Roman" w:hAnsi="Times New Roman" w:cs="Times New Roman"/>
          <w:sz w:val="24"/>
          <w:szCs w:val="24"/>
        </w:rPr>
        <w:t xml:space="preserve"> на фоне сохранения их общей суммы (12 873,3 млн руб.) на уровне 2018 года. </w:t>
      </w:r>
    </w:p>
    <w:p w14:paraId="162E80DB" w14:textId="12045D14"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По состоянию на 1 января 2020 года центральный банк продолжает сотрудничество с </w:t>
      </w:r>
      <w:r>
        <w:rPr>
          <w:rFonts w:ascii="Times New Roman" w:hAnsi="Times New Roman" w:cs="Times New Roman"/>
          <w:sz w:val="24"/>
          <w:szCs w:val="24"/>
        </w:rPr>
        <w:t xml:space="preserve">пятью </w:t>
      </w:r>
      <w:r w:rsidRPr="00170B9B">
        <w:rPr>
          <w:rFonts w:ascii="Times New Roman" w:hAnsi="Times New Roman" w:cs="Times New Roman"/>
          <w:sz w:val="24"/>
          <w:szCs w:val="24"/>
        </w:rPr>
        <w:t xml:space="preserve">зарубежными банками-корреспондентами. При проведении расчётных операций с ними в первую очередь учитывается кредитный рейтинг банка, а также условия ведения счёта, стоимость и скорость проведения операций, обеспечение наиболее оптимального пути прохождения клиентских платежей. Банки-корреспонденты обслуживают </w:t>
      </w:r>
      <w:r w:rsidR="00116BA3">
        <w:rPr>
          <w:rFonts w:ascii="Times New Roman" w:hAnsi="Times New Roman" w:cs="Times New Roman"/>
          <w:sz w:val="24"/>
          <w:szCs w:val="24"/>
        </w:rPr>
        <w:br/>
      </w:r>
      <w:r w:rsidRPr="00170B9B">
        <w:rPr>
          <w:rFonts w:ascii="Times New Roman" w:hAnsi="Times New Roman" w:cs="Times New Roman"/>
          <w:sz w:val="24"/>
          <w:szCs w:val="24"/>
        </w:rPr>
        <w:t xml:space="preserve">18 корреспондентских счетов Приднестровского республиканского банка. </w:t>
      </w:r>
    </w:p>
    <w:p w14:paraId="1111FD18"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Международные расчётные операции с банками-корреспондентами осуществляются по системам ТЕЛЕКС, «FineLine» ПАО Сбербанк, АСМП Национального банка Молдовы. </w:t>
      </w:r>
    </w:p>
    <w:p w14:paraId="7A2749A6"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 xml:space="preserve">В соответствии с государственной концепцией развития электронного документооборота в </w:t>
      </w:r>
      <w:r w:rsidRPr="00170B9B">
        <w:rPr>
          <w:rFonts w:ascii="Times New Roman" w:hAnsi="Times New Roman" w:cs="Times New Roman"/>
          <w:sz w:val="24"/>
          <w:szCs w:val="24"/>
        </w:rPr>
        <w:t>Приднестровской Молдавской Республике</w:t>
      </w:r>
      <w:r w:rsidRPr="00170B9B">
        <w:rPr>
          <w:rFonts w:ascii="Times New Roman" w:hAnsi="Times New Roman" w:cs="Times New Roman"/>
          <w:bCs/>
          <w:sz w:val="24"/>
          <w:szCs w:val="24"/>
        </w:rPr>
        <w:t xml:space="preserve"> Приднестровским республиканским банком в 2019 году </w:t>
      </w:r>
      <w:r w:rsidRPr="00170B9B">
        <w:rPr>
          <w:rFonts w:ascii="Times New Roman" w:hAnsi="Times New Roman" w:cs="Times New Roman"/>
          <w:sz w:val="24"/>
          <w:szCs w:val="24"/>
        </w:rPr>
        <w:t>завершена начатая в 2018 году работа с клиентами по переводу их на электронный формат взаимодействия с банком по системе Банк-Клиент по платежам в рублях ПМР.</w:t>
      </w:r>
    </w:p>
    <w:p w14:paraId="50414D87"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течение отчётного периода 22 клиента присоединились к Системе обмена информационными сообщениями и перешли на обслуживание по системе Банк-Клиент.</w:t>
      </w:r>
    </w:p>
    <w:p w14:paraId="7448275B"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Использование услуг дистанционного обслуживания обеспечило клиентам банка возможность существенно снизить вероятность ошибок при заполнении платёжных документов, проверять статусы обработки отправленных на исполнение банку платёжных документов, получать в режиме реального времени информацию о движении средств на счетах клиентов в рублях ПМР и иностранной валюте. Благодаря с</w:t>
      </w:r>
      <w:r>
        <w:rPr>
          <w:rFonts w:ascii="Times New Roman" w:hAnsi="Times New Roman" w:cs="Times New Roman"/>
          <w:bCs/>
          <w:sz w:val="24"/>
          <w:szCs w:val="24"/>
        </w:rPr>
        <w:t>овременным программным решениям</w:t>
      </w:r>
      <w:r w:rsidRPr="00170B9B">
        <w:rPr>
          <w:rFonts w:ascii="Times New Roman" w:hAnsi="Times New Roman" w:cs="Times New Roman"/>
          <w:bCs/>
          <w:sz w:val="24"/>
          <w:szCs w:val="24"/>
        </w:rPr>
        <w:t xml:space="preserve"> время, необходимое для обработки банком электронного платёжного документа, поступившего по системе Банк-Клиент, не превышает одной минуты.</w:t>
      </w:r>
    </w:p>
    <w:p w14:paraId="0F1ABCCE"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 xml:space="preserve">Для передачи информации и платёжных документов в рамках разработанного Приднестровским республиканским банком программного обеспечения используется </w:t>
      </w:r>
      <w:r w:rsidRPr="000C6A96">
        <w:rPr>
          <w:rFonts w:ascii="Times New Roman" w:hAnsi="Times New Roman" w:cs="Times New Roman"/>
          <w:bCs/>
          <w:sz w:val="24"/>
          <w:szCs w:val="24"/>
        </w:rPr>
        <w:t>Сеть передачи данных межведомственного электронного взаимодействия Приднестровской Молдавской Республики Государственной службы связи Приднестровской Молдавской Республики, которая обеспечивает целостность и конфиденциальность переда</w:t>
      </w:r>
      <w:r w:rsidRPr="00170B9B">
        <w:rPr>
          <w:rFonts w:ascii="Times New Roman" w:hAnsi="Times New Roman" w:cs="Times New Roman"/>
          <w:bCs/>
          <w:sz w:val="24"/>
          <w:szCs w:val="24"/>
        </w:rPr>
        <w:t xml:space="preserve">ваемой информации. В случае, если у клиента отсутствует точка доступа к </w:t>
      </w:r>
      <w:r>
        <w:rPr>
          <w:rFonts w:ascii="Times New Roman" w:hAnsi="Times New Roman" w:cs="Times New Roman"/>
          <w:bCs/>
          <w:sz w:val="24"/>
          <w:szCs w:val="24"/>
        </w:rPr>
        <w:t>данной с</w:t>
      </w:r>
      <w:r w:rsidRPr="00170B9B">
        <w:rPr>
          <w:rFonts w:ascii="Times New Roman" w:hAnsi="Times New Roman" w:cs="Times New Roman"/>
          <w:bCs/>
          <w:sz w:val="24"/>
          <w:szCs w:val="24"/>
        </w:rPr>
        <w:t>ети передачи данных, электронное взаимодействие с банком осуществляется через указанный канал связи вышестоящей организации либо через организованную Приднестровским республиканским банком виртуальную локальную сеть, соответствующую всем необходимым требованиям безопасности и конфиденциальности передачи данных.</w:t>
      </w:r>
    </w:p>
    <w:p w14:paraId="0FC9F04C"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 xml:space="preserve">Общее количество исполненных Приднестровским республиканским банком в течение 2019 года платежей в рублях ПМР, направленных клиентами по системе «Банк-Клиент», составило 95,9 тыс. ед., или 95,66% от общего количества исполненных платёжных поручений </w:t>
      </w:r>
      <w:r w:rsidRPr="00170B9B">
        <w:rPr>
          <w:rFonts w:ascii="Times New Roman" w:hAnsi="Times New Roman" w:cs="Times New Roman"/>
          <w:bCs/>
          <w:sz w:val="24"/>
          <w:szCs w:val="24"/>
        </w:rPr>
        <w:lastRenderedPageBreak/>
        <w:t xml:space="preserve">клиентов в рублях ПМР (100,3 тыс. ед.). Для сравнения, за 2018 год этот показатель составил лишь 34,8 тыс. ед., или 35,29% от общего количества (98,6 тыс. ед.). </w:t>
      </w:r>
    </w:p>
    <w:p w14:paraId="511455B2" w14:textId="3845D01D"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целях дополнения программного комплекса Банк-Клиент возможностью работы с электронными платёжными документами в иностранной валюте </w:t>
      </w:r>
      <w:r w:rsidRPr="00170B9B">
        <w:rPr>
          <w:rFonts w:ascii="Times New Roman" w:hAnsi="Times New Roman" w:cs="Times New Roman"/>
          <w:bCs/>
          <w:sz w:val="24"/>
          <w:szCs w:val="24"/>
        </w:rPr>
        <w:t>Приднестровский республиканский банк в отчётном году приступил к</w:t>
      </w:r>
      <w:r w:rsidRPr="00170B9B">
        <w:rPr>
          <w:rFonts w:ascii="Times New Roman" w:hAnsi="Times New Roman" w:cs="Times New Roman"/>
          <w:sz w:val="24"/>
          <w:szCs w:val="24"/>
        </w:rPr>
        <w:t xml:space="preserve"> разработке программного обеспечения, посредством которого клиенты смогут направлять в электронном виде на исполнение банку заявки на покупку/продажу/конвертацию валюты и платёжные поручения на перечисление средств в иностранной валюте. Завершение мероприятий по переводу клиентов на дистанционное обслуживание по валютным платежам запланировано на 2020 год.</w:t>
      </w:r>
    </w:p>
    <w:p w14:paraId="694DBB7B" w14:textId="77777777" w:rsidR="00FE3A7F" w:rsidRDefault="00FE3A7F" w:rsidP="00A95862">
      <w:pPr>
        <w:spacing w:before="0" w:after="0" w:line="240" w:lineRule="auto"/>
        <w:ind w:firstLine="425"/>
        <w:jc w:val="both"/>
        <w:rPr>
          <w:rFonts w:ascii="Times New Roman" w:hAnsi="Times New Roman" w:cs="Times New Roman"/>
          <w:sz w:val="24"/>
          <w:szCs w:val="24"/>
        </w:rPr>
      </w:pPr>
    </w:p>
    <w:p w14:paraId="14286F73"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6E4843D3" w14:textId="77777777" w:rsidR="00A95862" w:rsidRPr="00F63414" w:rsidRDefault="00A95862" w:rsidP="00A95862">
      <w:pPr>
        <w:pStyle w:val="1"/>
        <w:widowControl w:val="0"/>
        <w:spacing w:before="0" w:line="240" w:lineRule="auto"/>
        <w:rPr>
          <w:b/>
          <w:bCs/>
          <w:noProof/>
          <w:sz w:val="24"/>
          <w:szCs w:val="24"/>
        </w:rPr>
      </w:pPr>
      <w:r w:rsidRPr="00F63414">
        <w:rPr>
          <w:b/>
          <w:bCs/>
          <w:noProof/>
          <w:sz w:val="24"/>
          <w:szCs w:val="24"/>
        </w:rPr>
        <w:t xml:space="preserve"> </w:t>
      </w:r>
      <w:r>
        <w:rPr>
          <w:b/>
          <w:bCs/>
          <w:noProof/>
          <w:sz w:val="24"/>
          <w:szCs w:val="24"/>
        </w:rPr>
        <w:t xml:space="preserve">2.7. </w:t>
      </w:r>
      <w:r w:rsidRPr="00F63414">
        <w:rPr>
          <w:b/>
          <w:bCs/>
          <w:noProof/>
          <w:sz w:val="24"/>
          <w:szCs w:val="24"/>
        </w:rPr>
        <w:t>ОРГАНИЗАЦИЯ НАЛИЧНОГО ДЕНЕЖНОГО ОБРАЩЕНИЯ</w:t>
      </w:r>
    </w:p>
    <w:p w14:paraId="655EE691"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04C03EB1" w14:textId="77777777" w:rsidR="00A95862"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 рамках исполнения функции организации и регулирования наличного денежного обращения на территории Приднестровской Молдавской Республики центральный банк уделял особое внимание </w:t>
      </w:r>
      <w:r w:rsidRPr="00170B9B">
        <w:rPr>
          <w:rFonts w:ascii="Times New Roman" w:hAnsi="Times New Roman" w:cs="Times New Roman"/>
          <w:sz w:val="24"/>
          <w:szCs w:val="24"/>
        </w:rPr>
        <w:t>нормативно</w:t>
      </w:r>
      <w:r>
        <w:rPr>
          <w:rFonts w:ascii="Times New Roman" w:hAnsi="Times New Roman" w:cs="Times New Roman"/>
          <w:sz w:val="24"/>
          <w:szCs w:val="24"/>
        </w:rPr>
        <w:t>му</w:t>
      </w:r>
      <w:r w:rsidRPr="00170B9B">
        <w:rPr>
          <w:rFonts w:ascii="Times New Roman" w:hAnsi="Times New Roman" w:cs="Times New Roman"/>
          <w:sz w:val="24"/>
          <w:szCs w:val="24"/>
        </w:rPr>
        <w:t xml:space="preserve"> регулировани</w:t>
      </w:r>
      <w:r>
        <w:rPr>
          <w:rFonts w:ascii="Times New Roman" w:hAnsi="Times New Roman" w:cs="Times New Roman"/>
          <w:sz w:val="24"/>
          <w:szCs w:val="24"/>
        </w:rPr>
        <w:t>ю</w:t>
      </w:r>
      <w:r w:rsidRPr="00170B9B">
        <w:rPr>
          <w:rFonts w:ascii="Times New Roman" w:hAnsi="Times New Roman" w:cs="Times New Roman"/>
          <w:sz w:val="24"/>
          <w:szCs w:val="24"/>
        </w:rPr>
        <w:t xml:space="preserve"> данной сферы</w:t>
      </w:r>
      <w:r>
        <w:rPr>
          <w:rFonts w:ascii="Times New Roman" w:hAnsi="Times New Roman" w:cs="Times New Roman"/>
          <w:sz w:val="24"/>
          <w:szCs w:val="24"/>
        </w:rPr>
        <w:t>, а также</w:t>
      </w:r>
      <w:r w:rsidRPr="00170B9B">
        <w:rPr>
          <w:rFonts w:ascii="Times New Roman" w:hAnsi="Times New Roman" w:cs="Times New Roman"/>
          <w:sz w:val="24"/>
          <w:szCs w:val="24"/>
        </w:rPr>
        <w:t xml:space="preserve"> стабильно</w:t>
      </w:r>
      <w:r>
        <w:rPr>
          <w:rFonts w:ascii="Times New Roman" w:hAnsi="Times New Roman" w:cs="Times New Roman"/>
          <w:sz w:val="24"/>
          <w:szCs w:val="24"/>
        </w:rPr>
        <w:t>му</w:t>
      </w:r>
      <w:r w:rsidRPr="00170B9B">
        <w:rPr>
          <w:rFonts w:ascii="Times New Roman" w:hAnsi="Times New Roman" w:cs="Times New Roman"/>
          <w:sz w:val="24"/>
          <w:szCs w:val="24"/>
        </w:rPr>
        <w:t xml:space="preserve"> обеспечени</w:t>
      </w:r>
      <w:r>
        <w:rPr>
          <w:rFonts w:ascii="Times New Roman" w:hAnsi="Times New Roman" w:cs="Times New Roman"/>
          <w:sz w:val="24"/>
          <w:szCs w:val="24"/>
        </w:rPr>
        <w:t>ю</w:t>
      </w:r>
      <w:r w:rsidRPr="00170B9B">
        <w:rPr>
          <w:rFonts w:ascii="Times New Roman" w:hAnsi="Times New Roman" w:cs="Times New Roman"/>
          <w:sz w:val="24"/>
          <w:szCs w:val="24"/>
        </w:rPr>
        <w:t xml:space="preserve"> плат</w:t>
      </w:r>
      <w:r>
        <w:rPr>
          <w:rFonts w:ascii="Times New Roman" w:hAnsi="Times New Roman" w:cs="Times New Roman"/>
          <w:sz w:val="24"/>
          <w:szCs w:val="24"/>
        </w:rPr>
        <w:t>ё</w:t>
      </w:r>
      <w:r w:rsidRPr="00170B9B">
        <w:rPr>
          <w:rFonts w:ascii="Times New Roman" w:hAnsi="Times New Roman" w:cs="Times New Roman"/>
          <w:sz w:val="24"/>
          <w:szCs w:val="24"/>
        </w:rPr>
        <w:t>жного оборота банкнотами и монетой различных номиналов</w:t>
      </w:r>
      <w:r>
        <w:rPr>
          <w:rFonts w:ascii="Times New Roman" w:hAnsi="Times New Roman" w:cs="Times New Roman"/>
          <w:sz w:val="24"/>
          <w:szCs w:val="24"/>
        </w:rPr>
        <w:t xml:space="preserve">, поддержанию качества обращающейся наличности. С этой целью </w:t>
      </w:r>
      <w:r w:rsidRPr="00170B9B">
        <w:rPr>
          <w:rFonts w:ascii="Times New Roman" w:hAnsi="Times New Roman" w:cs="Times New Roman"/>
          <w:sz w:val="24"/>
          <w:szCs w:val="24"/>
        </w:rPr>
        <w:t>осуществлялись мониторинг состояния наличного денежного оборота, анализ купюрного состава наличной денежной массы, находящейся в обращении и в резервных фондах, его соответствия потребностям платёжного оборота. В 2019 году потребность экономики в наличных деньгах обеспечивалась полностью и своевременно.</w:t>
      </w:r>
    </w:p>
    <w:p w14:paraId="5E31C2FF"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81788F">
        <w:rPr>
          <w:rFonts w:ascii="Times New Roman" w:hAnsi="Times New Roman" w:cs="Times New Roman"/>
          <w:sz w:val="24"/>
          <w:szCs w:val="24"/>
        </w:rPr>
        <w:t>В соответствии с общегосударственной концепцией снижения теневого оборота наличных денег в экономике и стимулирования безналичных платежей на территории Приднестровской Молдавской Республики были внесены изменения в нормативные акты, касающиеся установления ограничений на расчёты наличными деньгами, также пересмотрен порядок расчёта размера лимита остатка наличных денег в кассах экономических агентов. В частности,</w:t>
      </w:r>
      <w:r>
        <w:rPr>
          <w:rFonts w:ascii="Times New Roman" w:hAnsi="Times New Roman" w:cs="Times New Roman"/>
          <w:sz w:val="24"/>
          <w:szCs w:val="24"/>
        </w:rPr>
        <w:t xml:space="preserve"> были изменены пределы расчётов наличными денежными средствами экономических агентов между собой и с физическими лицами при покупке у них товаров (оплате оказанных услуг, работ), а также исключительно в безналичный расчёт переведены операции по оплате экономическими агентами аренды и сделок купли-продажи недвижимости, по выплате дивидендов (части прибыли) и выдаче (возврату) займов и процентов по ним, а также операции с ценными бумагами. Комплексные меры, как регуляторного характера, предпринимаемые на государственном уровне, так и рыночного со стороны банков и ритейла, позволили значительно сократить долю наличности в общем объёме национальной денежной массы.</w:t>
      </w:r>
    </w:p>
    <w:p w14:paraId="3612A168" w14:textId="7E009111" w:rsidR="00A95862" w:rsidRPr="00170B9B"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При этом, с</w:t>
      </w:r>
      <w:r w:rsidRPr="00170B9B">
        <w:rPr>
          <w:rFonts w:ascii="Times New Roman" w:hAnsi="Times New Roman" w:cs="Times New Roman"/>
          <w:sz w:val="24"/>
          <w:szCs w:val="24"/>
        </w:rPr>
        <w:t>огласно данным денежной статистики, наличный денежный оборот</w:t>
      </w:r>
      <w:r w:rsidR="00F11FAC">
        <w:rPr>
          <w:rFonts w:ascii="Times New Roman" w:hAnsi="Times New Roman" w:cs="Times New Roman"/>
          <w:sz w:val="24"/>
          <w:szCs w:val="24"/>
        </w:rPr>
        <w:t xml:space="preserve"> с учётом </w:t>
      </w:r>
      <w:r w:rsidR="00795E43">
        <w:rPr>
          <w:rFonts w:ascii="Times New Roman" w:hAnsi="Times New Roman" w:cs="Times New Roman"/>
          <w:sz w:val="24"/>
          <w:szCs w:val="24"/>
        </w:rPr>
        <w:t>внутрибанковских</w:t>
      </w:r>
      <w:r w:rsidR="00F11FAC">
        <w:rPr>
          <w:rFonts w:ascii="Times New Roman" w:hAnsi="Times New Roman" w:cs="Times New Roman"/>
          <w:sz w:val="24"/>
          <w:szCs w:val="24"/>
        </w:rPr>
        <w:t xml:space="preserve"> </w:t>
      </w:r>
      <w:r w:rsidR="00795E43">
        <w:rPr>
          <w:rFonts w:ascii="Times New Roman" w:hAnsi="Times New Roman" w:cs="Times New Roman"/>
          <w:sz w:val="24"/>
          <w:szCs w:val="24"/>
        </w:rPr>
        <w:t>операций</w:t>
      </w:r>
      <w:r w:rsidR="00F11FAC">
        <w:rPr>
          <w:rFonts w:ascii="Times New Roman" w:hAnsi="Times New Roman" w:cs="Times New Roman"/>
          <w:sz w:val="24"/>
          <w:szCs w:val="24"/>
        </w:rPr>
        <w:t xml:space="preserve"> </w:t>
      </w:r>
      <w:r w:rsidR="00795E43">
        <w:rPr>
          <w:rFonts w:ascii="Times New Roman" w:hAnsi="Times New Roman" w:cs="Times New Roman"/>
          <w:sz w:val="24"/>
          <w:szCs w:val="24"/>
        </w:rPr>
        <w:t xml:space="preserve">в </w:t>
      </w:r>
      <w:r w:rsidRPr="00170B9B">
        <w:rPr>
          <w:rFonts w:ascii="Times New Roman" w:hAnsi="Times New Roman" w:cs="Times New Roman"/>
          <w:sz w:val="24"/>
          <w:szCs w:val="24"/>
        </w:rPr>
        <w:t>Приднестровской Молдавской Республик</w:t>
      </w:r>
      <w:r w:rsidR="00795E43">
        <w:rPr>
          <w:rFonts w:ascii="Times New Roman" w:hAnsi="Times New Roman" w:cs="Times New Roman"/>
          <w:sz w:val="24"/>
          <w:szCs w:val="24"/>
        </w:rPr>
        <w:t>е</w:t>
      </w:r>
      <w:r w:rsidRPr="00170B9B">
        <w:rPr>
          <w:rFonts w:ascii="Times New Roman" w:hAnsi="Times New Roman" w:cs="Times New Roman"/>
          <w:sz w:val="24"/>
          <w:szCs w:val="24"/>
        </w:rPr>
        <w:t xml:space="preserve"> за 2019 год увеличился на 7,8%</w:t>
      </w:r>
      <w:r w:rsidR="00F11FAC">
        <w:rPr>
          <w:rFonts w:ascii="Times New Roman" w:hAnsi="Times New Roman" w:cs="Times New Roman"/>
          <w:sz w:val="24"/>
          <w:szCs w:val="24"/>
        </w:rPr>
        <w:t>, до</w:t>
      </w:r>
      <w:r w:rsidRPr="00170B9B">
        <w:rPr>
          <w:rFonts w:ascii="Times New Roman" w:hAnsi="Times New Roman" w:cs="Times New Roman"/>
          <w:sz w:val="24"/>
          <w:szCs w:val="24"/>
        </w:rPr>
        <w:t xml:space="preserve"> 115 516,1 </w:t>
      </w:r>
      <w:r w:rsidR="005211EE">
        <w:rPr>
          <w:rFonts w:ascii="Times New Roman" w:hAnsi="Times New Roman" w:cs="Times New Roman"/>
          <w:sz w:val="24"/>
          <w:szCs w:val="24"/>
        </w:rPr>
        <w:t>млн руб</w:t>
      </w:r>
      <w:r w:rsidRPr="00170B9B">
        <w:rPr>
          <w:rFonts w:ascii="Times New Roman" w:hAnsi="Times New Roman" w:cs="Times New Roman"/>
          <w:sz w:val="24"/>
          <w:szCs w:val="24"/>
        </w:rPr>
        <w:t xml:space="preserve">. Совокупная величина поступлений денежной наличности в банковскую систему </w:t>
      </w:r>
      <w:r>
        <w:rPr>
          <w:rFonts w:ascii="Times New Roman" w:hAnsi="Times New Roman" w:cs="Times New Roman"/>
          <w:sz w:val="24"/>
          <w:szCs w:val="24"/>
        </w:rPr>
        <w:t xml:space="preserve">составила </w:t>
      </w:r>
      <w:r w:rsidRPr="00170B9B">
        <w:rPr>
          <w:rFonts w:ascii="Times New Roman" w:hAnsi="Times New Roman" w:cs="Times New Roman"/>
          <w:sz w:val="24"/>
          <w:szCs w:val="24"/>
        </w:rPr>
        <w:t>15 481,6 млн руб.</w:t>
      </w:r>
      <w:r>
        <w:rPr>
          <w:rFonts w:ascii="Times New Roman" w:hAnsi="Times New Roman" w:cs="Times New Roman"/>
          <w:sz w:val="24"/>
          <w:szCs w:val="24"/>
        </w:rPr>
        <w:t xml:space="preserve"> и </w:t>
      </w:r>
      <w:r w:rsidRPr="00170B9B">
        <w:rPr>
          <w:rFonts w:ascii="Times New Roman" w:hAnsi="Times New Roman" w:cs="Times New Roman"/>
          <w:sz w:val="24"/>
          <w:szCs w:val="24"/>
        </w:rPr>
        <w:t xml:space="preserve">по отношению к </w:t>
      </w:r>
      <w:r>
        <w:rPr>
          <w:rFonts w:ascii="Times New Roman" w:hAnsi="Times New Roman" w:cs="Times New Roman"/>
          <w:sz w:val="24"/>
          <w:szCs w:val="24"/>
        </w:rPr>
        <w:t xml:space="preserve">уровню </w:t>
      </w:r>
      <w:r w:rsidR="00116BA3">
        <w:rPr>
          <w:rFonts w:ascii="Times New Roman" w:hAnsi="Times New Roman" w:cs="Times New Roman"/>
          <w:sz w:val="24"/>
          <w:szCs w:val="24"/>
        </w:rPr>
        <w:br/>
      </w:r>
      <w:r>
        <w:rPr>
          <w:rFonts w:ascii="Times New Roman" w:hAnsi="Times New Roman" w:cs="Times New Roman"/>
          <w:sz w:val="24"/>
          <w:szCs w:val="24"/>
        </w:rPr>
        <w:t>2018 года</w:t>
      </w:r>
      <w:r w:rsidRPr="00170B9B">
        <w:rPr>
          <w:rFonts w:ascii="Times New Roman" w:hAnsi="Times New Roman" w:cs="Times New Roman"/>
          <w:sz w:val="24"/>
          <w:szCs w:val="24"/>
        </w:rPr>
        <w:t xml:space="preserve"> возросла на 8,8%</w:t>
      </w:r>
      <w:r>
        <w:rPr>
          <w:rFonts w:ascii="Times New Roman" w:hAnsi="Times New Roman" w:cs="Times New Roman"/>
          <w:sz w:val="24"/>
          <w:szCs w:val="24"/>
        </w:rPr>
        <w:t>.</w:t>
      </w:r>
      <w:r w:rsidRPr="00170B9B">
        <w:rPr>
          <w:rFonts w:ascii="Times New Roman" w:hAnsi="Times New Roman" w:cs="Times New Roman"/>
          <w:sz w:val="24"/>
          <w:szCs w:val="24"/>
        </w:rPr>
        <w:t xml:space="preserve"> В значительной степени данная динамика стала</w:t>
      </w:r>
      <w:r>
        <w:rPr>
          <w:rFonts w:ascii="Times New Roman" w:hAnsi="Times New Roman" w:cs="Times New Roman"/>
          <w:sz w:val="24"/>
          <w:szCs w:val="24"/>
        </w:rPr>
        <w:t xml:space="preserve"> отражением расширения потребительского спроса, в результате чего был отмечен рост поступлений</w:t>
      </w:r>
      <w:r w:rsidRPr="00170B9B">
        <w:rPr>
          <w:rFonts w:ascii="Times New Roman" w:hAnsi="Times New Roman" w:cs="Times New Roman"/>
          <w:sz w:val="24"/>
          <w:szCs w:val="24"/>
        </w:rPr>
        <w:t xml:space="preserve"> торговой выручки, полученной организациями республики в наличной форме</w:t>
      </w:r>
      <w:r>
        <w:rPr>
          <w:rFonts w:ascii="Times New Roman" w:hAnsi="Times New Roman" w:cs="Times New Roman"/>
          <w:sz w:val="24"/>
          <w:szCs w:val="24"/>
        </w:rPr>
        <w:t>, на 9,0%,</w:t>
      </w:r>
      <w:r w:rsidRPr="00170B9B">
        <w:rPr>
          <w:rFonts w:ascii="Times New Roman" w:hAnsi="Times New Roman" w:cs="Times New Roman"/>
          <w:sz w:val="24"/>
          <w:szCs w:val="24"/>
        </w:rPr>
        <w:t xml:space="preserve"> до 6 566,2 млн руб.</w:t>
      </w:r>
      <w:r>
        <w:rPr>
          <w:rFonts w:ascii="Times New Roman" w:hAnsi="Times New Roman" w:cs="Times New Roman"/>
          <w:sz w:val="24"/>
          <w:szCs w:val="24"/>
        </w:rPr>
        <w:t xml:space="preserve">, что составило 42,4% всех поступлений. Кроме того, продолжилось увеличение оборота средств по валютно-обменным операциям: в кассы кредитных организаций от продажи иностранной валюты поступило 4 371,0 млн руб. (+13,4%), или 28,2% прихода. </w:t>
      </w:r>
      <w:r w:rsidRPr="00170B9B">
        <w:rPr>
          <w:rFonts w:ascii="Times New Roman" w:hAnsi="Times New Roman" w:cs="Times New Roman"/>
          <w:sz w:val="24"/>
          <w:szCs w:val="24"/>
        </w:rPr>
        <w:t xml:space="preserve">В то же время </w:t>
      </w:r>
      <w:r>
        <w:rPr>
          <w:rFonts w:ascii="Times New Roman" w:hAnsi="Times New Roman" w:cs="Times New Roman"/>
          <w:sz w:val="24"/>
          <w:szCs w:val="24"/>
        </w:rPr>
        <w:t>на 1,6% сократилась сумма средств, вносимая гражданами в оплату жилищно-коммунальных услуг, что связано с развитием безналичных способов оплаты.</w:t>
      </w:r>
      <w:r w:rsidRPr="00170B9B">
        <w:rPr>
          <w:rFonts w:ascii="Times New Roman" w:hAnsi="Times New Roman" w:cs="Times New Roman"/>
          <w:sz w:val="24"/>
          <w:szCs w:val="24"/>
        </w:rPr>
        <w:t xml:space="preserve"> </w:t>
      </w:r>
    </w:p>
    <w:p w14:paraId="03C6D46C" w14:textId="77777777" w:rsidR="00A95862" w:rsidRDefault="00A95862" w:rsidP="00116BA3">
      <w:pPr>
        <w:widowControl w:val="0"/>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lastRenderedPageBreak/>
        <w:t xml:space="preserve">Совокупный расход наличных денег из касс кредитных организаций за отчётный год </w:t>
      </w:r>
      <w:r w:rsidRPr="0081788F">
        <w:rPr>
          <w:rFonts w:ascii="Times New Roman" w:hAnsi="Times New Roman" w:cs="Times New Roman"/>
          <w:sz w:val="24"/>
          <w:szCs w:val="24"/>
        </w:rPr>
        <w:t>увеличился на 9,3% (+1 331,0 млн руб.), до 15 569,6 млн руб. На фоне сокращения выдач наличных денег на выплату заработной платы, пенсий, пособий и других социальных выплат на 15,3%, до 2 232,5 млн руб., и сокращения их удельного веса в совокупном объёме выдач на 4,2 п.п., до 14,3%, отмечено увеличение выдач со счетов физических лиц на 14,3%, до</w:t>
      </w:r>
      <w:r w:rsidRPr="00170B9B">
        <w:rPr>
          <w:rFonts w:ascii="Times New Roman" w:hAnsi="Times New Roman" w:cs="Times New Roman"/>
          <w:sz w:val="24"/>
          <w:szCs w:val="24"/>
        </w:rPr>
        <w:t xml:space="preserve"> </w:t>
      </w:r>
      <w:r>
        <w:rPr>
          <w:rFonts w:ascii="Times New Roman" w:hAnsi="Times New Roman" w:cs="Times New Roman"/>
          <w:sz w:val="24"/>
          <w:szCs w:val="24"/>
        </w:rPr>
        <w:br/>
      </w:r>
      <w:r w:rsidRPr="00170B9B">
        <w:rPr>
          <w:rFonts w:ascii="Times New Roman" w:hAnsi="Times New Roman" w:cs="Times New Roman"/>
          <w:sz w:val="24"/>
          <w:szCs w:val="24"/>
        </w:rPr>
        <w:t>7 123,9 млн руб.</w:t>
      </w:r>
      <w:r>
        <w:rPr>
          <w:rFonts w:ascii="Times New Roman" w:hAnsi="Times New Roman" w:cs="Times New Roman"/>
          <w:sz w:val="24"/>
          <w:szCs w:val="24"/>
        </w:rPr>
        <w:t xml:space="preserve">, которые заняли превалирующую часть в расходовании наличности из касс кредитных организаций. Ростом характеризовалась и сумма средств, направленная на покупку иностранной валюты у населения – на </w:t>
      </w:r>
      <w:r w:rsidRPr="00170B9B">
        <w:rPr>
          <w:rFonts w:ascii="Times New Roman" w:hAnsi="Times New Roman" w:cs="Times New Roman"/>
          <w:sz w:val="24"/>
          <w:szCs w:val="24"/>
        </w:rPr>
        <w:t>17,3%, до 5 528,1 млн руб.</w:t>
      </w:r>
      <w:r>
        <w:rPr>
          <w:rFonts w:ascii="Times New Roman" w:hAnsi="Times New Roman" w:cs="Times New Roman"/>
          <w:sz w:val="24"/>
          <w:szCs w:val="24"/>
        </w:rPr>
        <w:t xml:space="preserve"> С учётом получения населением крупных сумм социальных трансфертов в конце отчётного года расход денежной наличности превысили приход на 88,0 млн руб.</w:t>
      </w:r>
    </w:p>
    <w:p w14:paraId="7DCFEB34"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Эмиссионно-кассовая работа </w:t>
      </w:r>
      <w:r>
        <w:rPr>
          <w:rFonts w:ascii="Times New Roman" w:hAnsi="Times New Roman" w:cs="Times New Roman"/>
          <w:sz w:val="24"/>
          <w:szCs w:val="24"/>
        </w:rPr>
        <w:t xml:space="preserve">центрального банка </w:t>
      </w:r>
      <w:r w:rsidRPr="00170B9B">
        <w:rPr>
          <w:rFonts w:ascii="Times New Roman" w:hAnsi="Times New Roman" w:cs="Times New Roman"/>
          <w:sz w:val="24"/>
          <w:szCs w:val="24"/>
        </w:rPr>
        <w:t>в 2019 году была направлена на дальнейшее улучшение кассового обслуживания кредитных организаций и других клиентов Приднестровского республиканского банка, рациональную организацию наличного денежного оборота, эффективное управление потоками наличных денег в республике</w:t>
      </w:r>
      <w:r>
        <w:rPr>
          <w:rFonts w:ascii="Times New Roman" w:hAnsi="Times New Roman" w:cs="Times New Roman"/>
          <w:sz w:val="24"/>
          <w:szCs w:val="24"/>
        </w:rPr>
        <w:t>, своевременным пополнением денежного оборота наличными деньгами, а также уничтожением ветхих, изношенных денежных знаков</w:t>
      </w:r>
      <w:r w:rsidRPr="00170B9B">
        <w:rPr>
          <w:rFonts w:ascii="Times New Roman" w:hAnsi="Times New Roman" w:cs="Times New Roman"/>
          <w:sz w:val="24"/>
          <w:szCs w:val="24"/>
        </w:rPr>
        <w:t xml:space="preserve">. </w:t>
      </w:r>
    </w:p>
    <w:p w14:paraId="2C7F1E08" w14:textId="40C48B66"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По данным эмиссионного баланса, за 2019 год совокупный выпуск в платёжный оборот наличных денежных средств составил 445,5 млн руб. Параллельно с этим производилось их изъятие из обращения по причинам изношенности, ветхости или дефектности, а также временной невостребованности на общую сумму 286,9 млн руб. В объёме изъятых из обращения сумма ветхих банкнот составила 121,2 млн руб. (2,6 млн штук) против 106,3 млн руб. в 2018 году. В результате объём выпущенных в оборот денежных знаков превысил величину изъятых на 158,6 млн руб.</w:t>
      </w:r>
      <w:r w:rsidR="005211EE">
        <w:rPr>
          <w:rFonts w:ascii="Times New Roman" w:hAnsi="Times New Roman" w:cs="Times New Roman"/>
          <w:sz w:val="24"/>
          <w:szCs w:val="24"/>
        </w:rPr>
        <w:t xml:space="preserve"> (часть из них находилась в кассах центрального и коммерческих банков)</w:t>
      </w:r>
      <w:r w:rsidRPr="00170B9B">
        <w:rPr>
          <w:rFonts w:ascii="Times New Roman" w:hAnsi="Times New Roman" w:cs="Times New Roman"/>
          <w:sz w:val="24"/>
          <w:szCs w:val="24"/>
        </w:rPr>
        <w:t>, что стало следствием возросшей в декабре 2019 года потребности в денежной наличности в целях обеспечения социальных выплат населению из средств поступивших из Российской Федерации трансфертов.</w:t>
      </w:r>
    </w:p>
    <w:p w14:paraId="23AFE15D" w14:textId="1E0FBD79"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По состоянию на 1 января 2020 года в обращении, включая остатки в кассах кредитных организаций, находилось денежных знаков Приднестровского республиканского банка на сумму 1 628,7 млн руб., в том числе банкнот – 1 585,5 млн руб. (27,9 млн штук), разменной монеты – 21,5 млн руб. (132,3 млн штук), юбилейных, памятных монет и банкнот – </w:t>
      </w:r>
      <w:r w:rsidR="00116BA3">
        <w:rPr>
          <w:rFonts w:ascii="Times New Roman" w:hAnsi="Times New Roman" w:cs="Times New Roman"/>
          <w:sz w:val="24"/>
          <w:szCs w:val="24"/>
        </w:rPr>
        <w:br/>
      </w:r>
      <w:r w:rsidRPr="00170B9B">
        <w:rPr>
          <w:rFonts w:ascii="Times New Roman" w:hAnsi="Times New Roman" w:cs="Times New Roman"/>
          <w:sz w:val="24"/>
          <w:szCs w:val="24"/>
        </w:rPr>
        <w:t xml:space="preserve">12,8 млн руб. (4,7 млн штук), монет из композитных материалов – 8,9 млн руб. </w:t>
      </w:r>
      <w:r w:rsidRPr="00170B9B">
        <w:rPr>
          <w:rFonts w:ascii="Times New Roman" w:hAnsi="Times New Roman" w:cs="Times New Roman"/>
          <w:sz w:val="24"/>
          <w:szCs w:val="24"/>
        </w:rPr>
        <w:br/>
        <w:t>(2,2 млн штук).</w:t>
      </w:r>
      <w:r>
        <w:rPr>
          <w:rFonts w:ascii="Times New Roman" w:hAnsi="Times New Roman" w:cs="Times New Roman"/>
          <w:sz w:val="24"/>
          <w:szCs w:val="24"/>
        </w:rPr>
        <w:t xml:space="preserve"> </w:t>
      </w:r>
    </w:p>
    <w:p w14:paraId="2D657910"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общей сумме наличных денег </w:t>
      </w:r>
      <w:r w:rsidRPr="0081788F">
        <w:rPr>
          <w:rFonts w:ascii="Times New Roman" w:hAnsi="Times New Roman" w:cs="Times New Roman"/>
          <w:sz w:val="24"/>
          <w:szCs w:val="24"/>
        </w:rPr>
        <w:t>в обращении</w:t>
      </w:r>
      <w:r>
        <w:rPr>
          <w:rFonts w:ascii="Times New Roman" w:hAnsi="Times New Roman" w:cs="Times New Roman"/>
          <w:sz w:val="24"/>
          <w:szCs w:val="24"/>
        </w:rPr>
        <w:t xml:space="preserve"> </w:t>
      </w:r>
      <w:r w:rsidRPr="00170B9B">
        <w:rPr>
          <w:rFonts w:ascii="Times New Roman" w:hAnsi="Times New Roman" w:cs="Times New Roman"/>
          <w:sz w:val="24"/>
          <w:szCs w:val="24"/>
        </w:rPr>
        <w:t>банкноты составляли 97,3%, разменная монета – 1,3%, юбилейные, памятные монеты и банкноты – 0,8%, монеты из композитных материалов – 0,6%. В совокупном количестве выпущенных денежных знаков на банкноты пришлось 16,7%, разменную монету – 79,1%, юбилейные, памятные монеты и банкноты – 2,9%, монеты из композитных материалов – 1,3%.</w:t>
      </w:r>
    </w:p>
    <w:p w14:paraId="28E2313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Удовлетворение платёжного оборота банкнотами и разменной монетой Приднестровского республиканского банка производилось своевременно и в полном объёме.</w:t>
      </w:r>
    </w:p>
    <w:p w14:paraId="0886824B" w14:textId="4419B8E9"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Кроме того, в отчётном году в обращение было выпущено 13 видов памятных монет из драгоценных металлов и 23 вида памятных монет из недрагоценных металлов различных серий, а также 4 вида памятных банкнот.</w:t>
      </w:r>
    </w:p>
    <w:p w14:paraId="29D78FE6" w14:textId="5DAF0E75" w:rsidR="00B55541" w:rsidRDefault="00B55541" w:rsidP="00A95862">
      <w:pPr>
        <w:spacing w:before="0" w:after="0" w:line="240" w:lineRule="auto"/>
        <w:ind w:firstLine="425"/>
        <w:jc w:val="both"/>
        <w:rPr>
          <w:rFonts w:ascii="Times New Roman" w:hAnsi="Times New Roman" w:cs="Times New Roman"/>
          <w:sz w:val="24"/>
          <w:szCs w:val="24"/>
        </w:rPr>
      </w:pPr>
    </w:p>
    <w:p w14:paraId="1FCA8A8E" w14:textId="4EA55305" w:rsidR="00FE3A7F" w:rsidRDefault="00FE3A7F" w:rsidP="00A95862">
      <w:pPr>
        <w:spacing w:before="0" w:after="0" w:line="240" w:lineRule="auto"/>
        <w:ind w:firstLine="425"/>
        <w:jc w:val="both"/>
        <w:rPr>
          <w:rFonts w:ascii="Times New Roman" w:hAnsi="Times New Roman" w:cs="Times New Roman"/>
          <w:sz w:val="24"/>
          <w:szCs w:val="24"/>
        </w:rPr>
      </w:pPr>
    </w:p>
    <w:p w14:paraId="376EBB44" w14:textId="054DAAEE" w:rsidR="00FE3A7F" w:rsidRDefault="00FE3A7F" w:rsidP="00A95862">
      <w:pPr>
        <w:spacing w:before="0" w:after="0" w:line="240" w:lineRule="auto"/>
        <w:ind w:firstLine="425"/>
        <w:jc w:val="both"/>
        <w:rPr>
          <w:rFonts w:ascii="Times New Roman" w:hAnsi="Times New Roman" w:cs="Times New Roman"/>
          <w:sz w:val="24"/>
          <w:szCs w:val="24"/>
        </w:rPr>
      </w:pPr>
    </w:p>
    <w:p w14:paraId="0FA3203D" w14:textId="00484C05" w:rsidR="00FE3A7F" w:rsidRDefault="00FE3A7F" w:rsidP="00A95862">
      <w:pPr>
        <w:spacing w:before="0" w:after="0" w:line="240" w:lineRule="auto"/>
        <w:ind w:firstLine="425"/>
        <w:jc w:val="both"/>
        <w:rPr>
          <w:rFonts w:ascii="Times New Roman" w:hAnsi="Times New Roman" w:cs="Times New Roman"/>
          <w:sz w:val="24"/>
          <w:szCs w:val="24"/>
        </w:rPr>
      </w:pPr>
    </w:p>
    <w:p w14:paraId="70991848" w14:textId="77777777" w:rsidR="00FE3A7F" w:rsidRDefault="00FE3A7F" w:rsidP="00A95862">
      <w:pPr>
        <w:spacing w:before="0" w:after="0" w:line="240" w:lineRule="auto"/>
        <w:ind w:firstLine="425"/>
        <w:jc w:val="both"/>
        <w:rPr>
          <w:rFonts w:ascii="Times New Roman" w:hAnsi="Times New Roman" w:cs="Times New Roman"/>
          <w:sz w:val="24"/>
          <w:szCs w:val="24"/>
        </w:rPr>
      </w:pPr>
    </w:p>
    <w:p w14:paraId="7F172888" w14:textId="77777777" w:rsidR="00B55541" w:rsidRDefault="00B55541" w:rsidP="00A95862">
      <w:pPr>
        <w:spacing w:before="0" w:after="0" w:line="240" w:lineRule="auto"/>
        <w:ind w:firstLine="425"/>
        <w:jc w:val="both"/>
        <w:rPr>
          <w:rFonts w:ascii="Times New Roman" w:hAnsi="Times New Roman" w:cs="Times New Roman"/>
          <w:sz w:val="24"/>
          <w:szCs w:val="24"/>
        </w:rPr>
      </w:pPr>
    </w:p>
    <w:p w14:paraId="63A9C910" w14:textId="77777777" w:rsidR="00A95862" w:rsidRPr="00091CE2" w:rsidRDefault="00A95862" w:rsidP="00A95862">
      <w:pPr>
        <w:pStyle w:val="1"/>
        <w:widowControl w:val="0"/>
        <w:spacing w:before="0" w:line="240" w:lineRule="auto"/>
        <w:rPr>
          <w:b/>
          <w:bCs/>
          <w:noProof/>
          <w:sz w:val="24"/>
          <w:szCs w:val="24"/>
        </w:rPr>
      </w:pPr>
      <w:r>
        <w:rPr>
          <w:b/>
          <w:bCs/>
          <w:noProof/>
          <w:sz w:val="24"/>
          <w:szCs w:val="24"/>
        </w:rPr>
        <w:lastRenderedPageBreak/>
        <w:t xml:space="preserve">2.8. </w:t>
      </w:r>
      <w:r w:rsidRPr="00091CE2">
        <w:rPr>
          <w:b/>
          <w:bCs/>
          <w:noProof/>
          <w:sz w:val="24"/>
          <w:szCs w:val="24"/>
        </w:rPr>
        <w:t>СОВЕРШЕНСТВОВАНИЕ БУХГАЛТЕРСКОГО УЧЁТА И ОТЧЁТНОСТИ КРЕДИТНЫХ И СТРАХОВЫХ ОРГАНИЗАЦИЙ</w:t>
      </w:r>
    </w:p>
    <w:p w14:paraId="039351FE"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45BD355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деятельность Приднестровского республиканского банка в части совершенствования бухгалтерского учёта и финансовой отчётности была направлена как на оптимизацию действующих, так и на разработку новых нормативных актов, регулирующих данную сферу.</w:t>
      </w:r>
    </w:p>
    <w:p w14:paraId="06B35F89"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рамках этой деятельности Приднестровск</w:t>
      </w:r>
      <w:r>
        <w:rPr>
          <w:rFonts w:ascii="Times New Roman" w:hAnsi="Times New Roman" w:cs="Times New Roman"/>
          <w:sz w:val="24"/>
          <w:szCs w:val="24"/>
        </w:rPr>
        <w:t>ий республиканский</w:t>
      </w:r>
      <w:r w:rsidRPr="00170B9B">
        <w:rPr>
          <w:rFonts w:ascii="Times New Roman" w:hAnsi="Times New Roman" w:cs="Times New Roman"/>
          <w:sz w:val="24"/>
          <w:szCs w:val="24"/>
        </w:rPr>
        <w:t xml:space="preserve"> банк взаимодействовал с Министерств</w:t>
      </w:r>
      <w:r>
        <w:rPr>
          <w:rFonts w:ascii="Times New Roman" w:hAnsi="Times New Roman" w:cs="Times New Roman"/>
          <w:sz w:val="24"/>
          <w:szCs w:val="24"/>
        </w:rPr>
        <w:t>ом</w:t>
      </w:r>
      <w:r w:rsidRPr="00170B9B">
        <w:rPr>
          <w:rFonts w:ascii="Times New Roman" w:hAnsi="Times New Roman" w:cs="Times New Roman"/>
          <w:sz w:val="24"/>
          <w:szCs w:val="24"/>
        </w:rPr>
        <w:t xml:space="preserve"> экономического развития Приднестровской Молдавской Республики, Министерств</w:t>
      </w:r>
      <w:r>
        <w:rPr>
          <w:rFonts w:ascii="Times New Roman" w:hAnsi="Times New Roman" w:cs="Times New Roman"/>
          <w:sz w:val="24"/>
          <w:szCs w:val="24"/>
        </w:rPr>
        <w:t>ом</w:t>
      </w:r>
      <w:r w:rsidRPr="00170B9B">
        <w:rPr>
          <w:rFonts w:ascii="Times New Roman" w:hAnsi="Times New Roman" w:cs="Times New Roman"/>
          <w:sz w:val="24"/>
          <w:szCs w:val="24"/>
        </w:rPr>
        <w:t xml:space="preserve"> юстиции Приднестровской Молдавской Республики, кредитными и страховыми организациями.</w:t>
      </w:r>
    </w:p>
    <w:p w14:paraId="2A64CEF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отчётном году приоритетными направлениями деятельности Приднестровского республиканского банка являлись подготовка нормативной базы в части совершенствования бухгалтерского учёта и финансовой отчётности страховых организаций Приднестровской Молдавской Республики. </w:t>
      </w:r>
      <w:r w:rsidRPr="00170B9B">
        <w:rPr>
          <w:rFonts w:ascii="Times New Roman" w:hAnsi="Times New Roman" w:cs="Times New Roman"/>
          <w:bCs/>
          <w:sz w:val="24"/>
          <w:szCs w:val="24"/>
        </w:rPr>
        <w:t>В этой связи Приднестровским республиканским банком в отчётном периоде</w:t>
      </w:r>
      <w:r w:rsidRPr="00170B9B">
        <w:rPr>
          <w:rFonts w:ascii="Times New Roman" w:hAnsi="Times New Roman" w:cs="Times New Roman"/>
          <w:sz w:val="24"/>
          <w:szCs w:val="24"/>
        </w:rPr>
        <w:t xml:space="preserve"> подготовлены следующие нормативные акты:</w:t>
      </w:r>
    </w:p>
    <w:p w14:paraId="78644BB7" w14:textId="4E5E357B" w:rsidR="00A95862" w:rsidRPr="00170B9B" w:rsidRDefault="00A95862" w:rsidP="00A95862">
      <w:pPr>
        <w:numPr>
          <w:ilvl w:val="0"/>
          <w:numId w:val="15"/>
        </w:numPr>
        <w:spacing w:before="0" w:after="0" w:line="240" w:lineRule="auto"/>
        <w:jc w:val="both"/>
        <w:rPr>
          <w:rFonts w:ascii="Times New Roman" w:hAnsi="Times New Roman" w:cs="Times New Roman"/>
          <w:sz w:val="24"/>
          <w:szCs w:val="24"/>
        </w:rPr>
      </w:pPr>
      <w:r w:rsidRPr="00170B9B">
        <w:rPr>
          <w:rFonts w:ascii="Times New Roman" w:hAnsi="Times New Roman" w:cs="Times New Roman"/>
          <w:bCs/>
          <w:sz w:val="24"/>
          <w:szCs w:val="24"/>
        </w:rPr>
        <w:t xml:space="preserve">Положение Приднестровского республиканского банка от 10 декабря 2019 года </w:t>
      </w:r>
      <w:r w:rsidRPr="00170B9B">
        <w:rPr>
          <w:rFonts w:ascii="Times New Roman" w:hAnsi="Times New Roman" w:cs="Times New Roman"/>
          <w:bCs/>
          <w:sz w:val="24"/>
          <w:szCs w:val="24"/>
        </w:rPr>
        <w:br/>
      </w:r>
      <w:r w:rsidR="00596112" w:rsidRPr="00596112">
        <w:rPr>
          <w:rFonts w:ascii="Times New Roman" w:hAnsi="Times New Roman" w:cs="Times New Roman"/>
          <w:bCs/>
          <w:sz w:val="24"/>
          <w:szCs w:val="24"/>
        </w:rPr>
        <w:t>№</w:t>
      </w:r>
      <w:r w:rsidRPr="00170B9B">
        <w:rPr>
          <w:rFonts w:ascii="Times New Roman" w:hAnsi="Times New Roman" w:cs="Times New Roman"/>
          <w:bCs/>
          <w:sz w:val="24"/>
          <w:szCs w:val="24"/>
        </w:rPr>
        <w:t xml:space="preserve"> 134-П «О плане счетов бухгалтерского учёта субъектов страхового дела, расположенных на территории Приднестровской Молдавской Республики» (Регистрационный </w:t>
      </w:r>
      <w:r w:rsidR="00596112" w:rsidRPr="00596112">
        <w:rPr>
          <w:rFonts w:ascii="Times New Roman" w:hAnsi="Times New Roman" w:cs="Times New Roman"/>
          <w:bCs/>
          <w:sz w:val="24"/>
          <w:szCs w:val="24"/>
        </w:rPr>
        <w:t>№</w:t>
      </w:r>
      <w:r w:rsidRPr="00170B9B">
        <w:rPr>
          <w:rFonts w:ascii="Times New Roman" w:hAnsi="Times New Roman" w:cs="Times New Roman"/>
          <w:bCs/>
          <w:sz w:val="24"/>
          <w:szCs w:val="24"/>
        </w:rPr>
        <w:t xml:space="preserve"> 9275 от</w:t>
      </w:r>
      <w:r>
        <w:rPr>
          <w:rFonts w:ascii="Times New Roman" w:hAnsi="Times New Roman" w:cs="Times New Roman"/>
          <w:bCs/>
          <w:sz w:val="24"/>
          <w:szCs w:val="24"/>
        </w:rPr>
        <w:t xml:space="preserve"> </w:t>
      </w:r>
      <w:r w:rsidRPr="00170B9B">
        <w:rPr>
          <w:rFonts w:ascii="Times New Roman" w:hAnsi="Times New Roman" w:cs="Times New Roman"/>
          <w:bCs/>
          <w:sz w:val="24"/>
          <w:szCs w:val="24"/>
        </w:rPr>
        <w:t>11</w:t>
      </w:r>
      <w:r w:rsidR="00116BA3">
        <w:rPr>
          <w:rFonts w:ascii="Times New Roman" w:hAnsi="Times New Roman" w:cs="Times New Roman"/>
          <w:bCs/>
          <w:sz w:val="24"/>
          <w:szCs w:val="24"/>
        </w:rPr>
        <w:t>.01.</w:t>
      </w:r>
      <w:r w:rsidRPr="00170B9B">
        <w:rPr>
          <w:rFonts w:ascii="Times New Roman" w:hAnsi="Times New Roman" w:cs="Times New Roman"/>
          <w:bCs/>
          <w:sz w:val="24"/>
          <w:szCs w:val="24"/>
        </w:rPr>
        <w:t>2020) (САЗ 20-02)» (далее – План счетов);</w:t>
      </w:r>
    </w:p>
    <w:p w14:paraId="3AB9ACF5" w14:textId="7037645C" w:rsidR="00A95862" w:rsidRPr="00170B9B" w:rsidRDefault="00A95862" w:rsidP="00A95862">
      <w:pPr>
        <w:numPr>
          <w:ilvl w:val="0"/>
          <w:numId w:val="15"/>
        </w:numPr>
        <w:spacing w:before="0" w:after="0" w:line="240" w:lineRule="auto"/>
        <w:jc w:val="both"/>
        <w:rPr>
          <w:rFonts w:ascii="Times New Roman" w:hAnsi="Times New Roman" w:cs="Times New Roman"/>
          <w:sz w:val="24"/>
          <w:szCs w:val="24"/>
        </w:rPr>
      </w:pPr>
      <w:r w:rsidRPr="00170B9B">
        <w:rPr>
          <w:rFonts w:ascii="Times New Roman" w:hAnsi="Times New Roman" w:cs="Times New Roman"/>
          <w:bCs/>
          <w:sz w:val="24"/>
          <w:szCs w:val="24"/>
        </w:rPr>
        <w:t xml:space="preserve">Положение Приднестровского республиканского банка от 10 декабря 2019 года </w:t>
      </w:r>
      <w:r w:rsidRPr="00170B9B">
        <w:rPr>
          <w:rFonts w:ascii="Times New Roman" w:hAnsi="Times New Roman" w:cs="Times New Roman"/>
          <w:bCs/>
          <w:sz w:val="24"/>
          <w:szCs w:val="24"/>
        </w:rPr>
        <w:br/>
      </w:r>
      <w:r w:rsidR="00596112" w:rsidRPr="00596112">
        <w:rPr>
          <w:rFonts w:ascii="Times New Roman" w:hAnsi="Times New Roman" w:cs="Times New Roman"/>
          <w:bCs/>
          <w:sz w:val="24"/>
          <w:szCs w:val="24"/>
        </w:rPr>
        <w:t>№</w:t>
      </w:r>
      <w:r w:rsidRPr="00170B9B">
        <w:rPr>
          <w:rFonts w:ascii="Times New Roman" w:hAnsi="Times New Roman" w:cs="Times New Roman"/>
          <w:bCs/>
          <w:sz w:val="24"/>
          <w:szCs w:val="24"/>
        </w:rPr>
        <w:t xml:space="preserve"> 135-П «О правилах ведения бухгалтерского учета субъектами страхового дела» (Регистрационный </w:t>
      </w:r>
      <w:r w:rsidR="00596112" w:rsidRPr="00596112">
        <w:rPr>
          <w:rFonts w:ascii="Times New Roman" w:hAnsi="Times New Roman" w:cs="Times New Roman"/>
          <w:bCs/>
          <w:sz w:val="24"/>
          <w:szCs w:val="24"/>
        </w:rPr>
        <w:t>№</w:t>
      </w:r>
      <w:r w:rsidRPr="00170B9B">
        <w:rPr>
          <w:rFonts w:ascii="Times New Roman" w:hAnsi="Times New Roman" w:cs="Times New Roman"/>
          <w:bCs/>
          <w:sz w:val="24"/>
          <w:szCs w:val="24"/>
        </w:rPr>
        <w:t xml:space="preserve"> 9272 от 10</w:t>
      </w:r>
      <w:r w:rsidR="00116BA3">
        <w:rPr>
          <w:rFonts w:ascii="Times New Roman" w:hAnsi="Times New Roman" w:cs="Times New Roman"/>
          <w:bCs/>
          <w:sz w:val="24"/>
          <w:szCs w:val="24"/>
        </w:rPr>
        <w:t>.01.</w:t>
      </w:r>
      <w:r w:rsidRPr="00170B9B">
        <w:rPr>
          <w:rFonts w:ascii="Times New Roman" w:hAnsi="Times New Roman" w:cs="Times New Roman"/>
          <w:bCs/>
          <w:sz w:val="24"/>
          <w:szCs w:val="24"/>
        </w:rPr>
        <w:t>2020) (САЗ 20-02)» (далее – Правила ведения бухгалтерского учета);</w:t>
      </w:r>
    </w:p>
    <w:p w14:paraId="002D080D" w14:textId="39F61C13" w:rsidR="00A95862" w:rsidRPr="00170B9B" w:rsidRDefault="00A95862" w:rsidP="00A95862">
      <w:pPr>
        <w:numPr>
          <w:ilvl w:val="0"/>
          <w:numId w:val="15"/>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Указание Приднестровского республиканского банка от 10 декабря 2019 года </w:t>
      </w:r>
      <w:r w:rsidRPr="00170B9B">
        <w:rPr>
          <w:rFonts w:ascii="Times New Roman" w:hAnsi="Times New Roman" w:cs="Times New Roman"/>
          <w:sz w:val="24"/>
          <w:szCs w:val="24"/>
        </w:rPr>
        <w:br/>
      </w:r>
      <w:r w:rsidR="00596112">
        <w:rPr>
          <w:rFonts w:ascii="Times New Roman" w:hAnsi="Times New Roman" w:cs="Times New Roman"/>
          <w:sz w:val="24"/>
          <w:szCs w:val="24"/>
        </w:rPr>
        <w:t>№</w:t>
      </w:r>
      <w:r w:rsidRPr="00170B9B">
        <w:rPr>
          <w:rFonts w:ascii="Times New Roman" w:hAnsi="Times New Roman" w:cs="Times New Roman"/>
          <w:sz w:val="24"/>
          <w:szCs w:val="24"/>
        </w:rPr>
        <w:t xml:space="preserve"> 1225-У «О порядке составления субъектами страхового дела годовой финансовой отчетности»</w:t>
      </w:r>
      <w:r w:rsidRPr="00170B9B">
        <w:rPr>
          <w:rFonts w:ascii="Times New Roman" w:hAnsi="Times New Roman" w:cs="Times New Roman"/>
          <w:bCs/>
          <w:sz w:val="24"/>
          <w:szCs w:val="24"/>
        </w:rPr>
        <w:t xml:space="preserve"> (Регистрационный </w:t>
      </w:r>
      <w:r w:rsidR="00596112">
        <w:rPr>
          <w:rFonts w:ascii="Times New Roman" w:hAnsi="Times New Roman" w:cs="Times New Roman"/>
          <w:bCs/>
          <w:sz w:val="24"/>
          <w:szCs w:val="24"/>
        </w:rPr>
        <w:t>№</w:t>
      </w:r>
      <w:r w:rsidRPr="00170B9B">
        <w:rPr>
          <w:rFonts w:ascii="Times New Roman" w:hAnsi="Times New Roman" w:cs="Times New Roman"/>
          <w:bCs/>
          <w:sz w:val="24"/>
          <w:szCs w:val="24"/>
        </w:rPr>
        <w:t xml:space="preserve"> 9273 от 10</w:t>
      </w:r>
      <w:r w:rsidR="00116BA3">
        <w:rPr>
          <w:rFonts w:ascii="Times New Roman" w:hAnsi="Times New Roman" w:cs="Times New Roman"/>
          <w:bCs/>
          <w:sz w:val="24"/>
          <w:szCs w:val="24"/>
        </w:rPr>
        <w:t>.01.</w:t>
      </w:r>
      <w:r w:rsidRPr="00170B9B">
        <w:rPr>
          <w:rFonts w:ascii="Times New Roman" w:hAnsi="Times New Roman" w:cs="Times New Roman"/>
          <w:bCs/>
          <w:sz w:val="24"/>
          <w:szCs w:val="24"/>
        </w:rPr>
        <w:t>2020) (САЗ 20-02)».</w:t>
      </w:r>
    </w:p>
    <w:p w14:paraId="5A9A946B" w14:textId="7BD9147C"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sz w:val="24"/>
          <w:szCs w:val="24"/>
        </w:rPr>
        <w:t xml:space="preserve">С целью единообразной организации процесса перехода страховыми организациями на План счетов и Правила ведения бухгалтерского учёта Приднестровским республиканским банком разработано Указание Приднестровского республиканского банка от 10 декабря </w:t>
      </w:r>
      <w:r w:rsidR="00116BA3">
        <w:rPr>
          <w:rFonts w:ascii="Times New Roman" w:hAnsi="Times New Roman" w:cs="Times New Roman"/>
          <w:sz w:val="24"/>
          <w:szCs w:val="24"/>
        </w:rPr>
        <w:br/>
      </w:r>
      <w:r w:rsidRPr="00170B9B">
        <w:rPr>
          <w:rFonts w:ascii="Times New Roman" w:hAnsi="Times New Roman" w:cs="Times New Roman"/>
          <w:sz w:val="24"/>
          <w:szCs w:val="24"/>
        </w:rPr>
        <w:t xml:space="preserve">2019 года </w:t>
      </w:r>
      <w:r w:rsidR="00596112">
        <w:rPr>
          <w:rFonts w:ascii="Times New Roman" w:hAnsi="Times New Roman" w:cs="Times New Roman"/>
          <w:sz w:val="24"/>
          <w:szCs w:val="24"/>
        </w:rPr>
        <w:t>№</w:t>
      </w:r>
      <w:r w:rsidRPr="00170B9B">
        <w:rPr>
          <w:rFonts w:ascii="Times New Roman" w:hAnsi="Times New Roman" w:cs="Times New Roman"/>
          <w:sz w:val="24"/>
          <w:szCs w:val="24"/>
        </w:rPr>
        <w:t xml:space="preserve"> 1224-У «О порядке перехода на план счетов и правила ведения бухгалтерского учёта субъектами страхового дела, вводимые в действие с 1 января 2021 года»</w:t>
      </w:r>
      <w:r w:rsidRPr="00170B9B">
        <w:rPr>
          <w:rFonts w:ascii="Times New Roman" w:hAnsi="Times New Roman" w:cs="Times New Roman"/>
          <w:bCs/>
          <w:sz w:val="24"/>
          <w:szCs w:val="24"/>
        </w:rPr>
        <w:t xml:space="preserve"> (Регистрационный </w:t>
      </w:r>
      <w:r w:rsidR="00596112">
        <w:rPr>
          <w:rFonts w:ascii="Times New Roman" w:hAnsi="Times New Roman" w:cs="Times New Roman"/>
          <w:bCs/>
          <w:sz w:val="24"/>
          <w:szCs w:val="24"/>
        </w:rPr>
        <w:t>№</w:t>
      </w:r>
      <w:r w:rsidRPr="00170B9B">
        <w:rPr>
          <w:rFonts w:ascii="Times New Roman" w:hAnsi="Times New Roman" w:cs="Times New Roman"/>
          <w:bCs/>
          <w:sz w:val="24"/>
          <w:szCs w:val="24"/>
        </w:rPr>
        <w:t xml:space="preserve"> 9274 от 11</w:t>
      </w:r>
      <w:r w:rsidR="00116BA3">
        <w:rPr>
          <w:rFonts w:ascii="Times New Roman" w:hAnsi="Times New Roman" w:cs="Times New Roman"/>
          <w:bCs/>
          <w:sz w:val="24"/>
          <w:szCs w:val="24"/>
        </w:rPr>
        <w:t>.01.2</w:t>
      </w:r>
      <w:r w:rsidRPr="00170B9B">
        <w:rPr>
          <w:rFonts w:ascii="Times New Roman" w:hAnsi="Times New Roman" w:cs="Times New Roman"/>
          <w:bCs/>
          <w:sz w:val="24"/>
          <w:szCs w:val="24"/>
        </w:rPr>
        <w:t>020) (САЗ 20-02)».</w:t>
      </w:r>
    </w:p>
    <w:p w14:paraId="773CA177"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При </w:t>
      </w:r>
      <w:r w:rsidRPr="00170B9B">
        <w:rPr>
          <w:rFonts w:ascii="Times New Roman" w:hAnsi="Times New Roman" w:cs="Times New Roman"/>
          <w:bCs/>
          <w:sz w:val="24"/>
          <w:szCs w:val="24"/>
        </w:rPr>
        <w:t>подготовке данных нормативных актов для страховых организаций был изучен опыт Центрального Банка Росси</w:t>
      </w:r>
      <w:r>
        <w:rPr>
          <w:rFonts w:ascii="Times New Roman" w:hAnsi="Times New Roman" w:cs="Times New Roman"/>
          <w:bCs/>
          <w:sz w:val="24"/>
          <w:szCs w:val="24"/>
        </w:rPr>
        <w:t>йской Федерации</w:t>
      </w:r>
      <w:r w:rsidRPr="00170B9B">
        <w:rPr>
          <w:rFonts w:ascii="Times New Roman" w:hAnsi="Times New Roman" w:cs="Times New Roman"/>
          <w:bCs/>
          <w:sz w:val="24"/>
          <w:szCs w:val="24"/>
        </w:rPr>
        <w:t xml:space="preserve"> и сопредельных государств, а также учтены </w:t>
      </w:r>
      <w:r w:rsidRPr="0081788F">
        <w:rPr>
          <w:rFonts w:ascii="Times New Roman" w:hAnsi="Times New Roman" w:cs="Times New Roman"/>
          <w:bCs/>
          <w:sz w:val="24"/>
          <w:szCs w:val="24"/>
        </w:rPr>
        <w:t>особенности ведения учёта в Приднестровской Молдавской Республике.</w:t>
      </w:r>
      <w:r w:rsidRPr="00170B9B">
        <w:rPr>
          <w:rFonts w:ascii="Times New Roman" w:hAnsi="Times New Roman" w:cs="Times New Roman"/>
          <w:sz w:val="24"/>
          <w:szCs w:val="24"/>
        </w:rPr>
        <w:t xml:space="preserve"> </w:t>
      </w:r>
    </w:p>
    <w:p w14:paraId="6C0B3D3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Проекты данных нормативных актов были согласованы Министерством экономического развития Приднестровской Молдавской Республики</w:t>
      </w:r>
      <w:r>
        <w:rPr>
          <w:rFonts w:ascii="Times New Roman" w:hAnsi="Times New Roman" w:cs="Times New Roman"/>
          <w:sz w:val="24"/>
          <w:szCs w:val="24"/>
        </w:rPr>
        <w:t xml:space="preserve"> и </w:t>
      </w:r>
      <w:r w:rsidRPr="00170B9B">
        <w:rPr>
          <w:rFonts w:ascii="Times New Roman" w:hAnsi="Times New Roman" w:cs="Times New Roman"/>
          <w:sz w:val="24"/>
          <w:szCs w:val="24"/>
        </w:rPr>
        <w:t xml:space="preserve">подлежат официальному применению с 1 января 2021 года, что предоставляет страховым организациям достаточно времени для перехода на новые требования. </w:t>
      </w:r>
    </w:p>
    <w:p w14:paraId="0638C299"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sz w:val="24"/>
          <w:szCs w:val="24"/>
        </w:rPr>
        <w:t xml:space="preserve">Реформирование Плана счетов коснулось в первую очередь детализации счетов для учёта операций страхования, сострахования и перестрахования. </w:t>
      </w:r>
      <w:r w:rsidR="00394AA6">
        <w:rPr>
          <w:rFonts w:ascii="Times New Roman" w:hAnsi="Times New Roman" w:cs="Times New Roman"/>
          <w:bCs/>
          <w:sz w:val="24"/>
          <w:szCs w:val="24"/>
        </w:rPr>
        <w:t xml:space="preserve">Новые </w:t>
      </w:r>
      <w:r w:rsidRPr="00170B9B">
        <w:rPr>
          <w:rFonts w:ascii="Times New Roman" w:hAnsi="Times New Roman" w:cs="Times New Roman"/>
          <w:bCs/>
          <w:sz w:val="24"/>
          <w:szCs w:val="24"/>
        </w:rPr>
        <w:t>Правил</w:t>
      </w:r>
      <w:r w:rsidR="00394AA6">
        <w:rPr>
          <w:rFonts w:ascii="Times New Roman" w:hAnsi="Times New Roman" w:cs="Times New Roman"/>
          <w:bCs/>
          <w:sz w:val="24"/>
          <w:szCs w:val="24"/>
        </w:rPr>
        <w:t>а</w:t>
      </w:r>
      <w:r w:rsidRPr="00170B9B">
        <w:rPr>
          <w:rFonts w:ascii="Times New Roman" w:hAnsi="Times New Roman" w:cs="Times New Roman"/>
          <w:bCs/>
          <w:sz w:val="24"/>
          <w:szCs w:val="24"/>
        </w:rPr>
        <w:t xml:space="preserve"> ведения бухгалтерского учёта</w:t>
      </w:r>
      <w:r>
        <w:rPr>
          <w:rFonts w:ascii="Times New Roman" w:hAnsi="Times New Roman" w:cs="Times New Roman"/>
          <w:bCs/>
          <w:sz w:val="24"/>
          <w:szCs w:val="24"/>
        </w:rPr>
        <w:t xml:space="preserve"> </w:t>
      </w:r>
      <w:r w:rsidRPr="00170B9B">
        <w:rPr>
          <w:rFonts w:ascii="Times New Roman" w:hAnsi="Times New Roman" w:cs="Times New Roman"/>
          <w:bCs/>
          <w:sz w:val="24"/>
          <w:szCs w:val="24"/>
        </w:rPr>
        <w:t>устанавлива</w:t>
      </w:r>
      <w:r w:rsidR="00394AA6">
        <w:rPr>
          <w:rFonts w:ascii="Times New Roman" w:hAnsi="Times New Roman" w:cs="Times New Roman"/>
          <w:bCs/>
          <w:sz w:val="24"/>
          <w:szCs w:val="24"/>
        </w:rPr>
        <w:t>ю</w:t>
      </w:r>
      <w:r w:rsidRPr="00170B9B">
        <w:rPr>
          <w:rFonts w:ascii="Times New Roman" w:hAnsi="Times New Roman" w:cs="Times New Roman"/>
          <w:bCs/>
          <w:sz w:val="24"/>
          <w:szCs w:val="24"/>
        </w:rPr>
        <w:t>т единые методологические основы организации и ведения бухгалтерского учёта страховыми организациями</w:t>
      </w:r>
      <w:r>
        <w:rPr>
          <w:rFonts w:ascii="Times New Roman" w:hAnsi="Times New Roman" w:cs="Times New Roman"/>
          <w:bCs/>
          <w:sz w:val="24"/>
          <w:szCs w:val="24"/>
        </w:rPr>
        <w:t xml:space="preserve"> и не имеет </w:t>
      </w:r>
      <w:r w:rsidRPr="00170B9B">
        <w:rPr>
          <w:rFonts w:ascii="Times New Roman" w:hAnsi="Times New Roman" w:cs="Times New Roman"/>
          <w:bCs/>
          <w:sz w:val="24"/>
          <w:szCs w:val="24"/>
        </w:rPr>
        <w:t>действующего в настоящее время</w:t>
      </w:r>
      <w:r>
        <w:rPr>
          <w:rFonts w:ascii="Times New Roman" w:hAnsi="Times New Roman" w:cs="Times New Roman"/>
          <w:bCs/>
          <w:sz w:val="24"/>
          <w:szCs w:val="24"/>
        </w:rPr>
        <w:t xml:space="preserve"> а</w:t>
      </w:r>
      <w:r w:rsidRPr="00170B9B">
        <w:rPr>
          <w:rFonts w:ascii="Times New Roman" w:hAnsi="Times New Roman" w:cs="Times New Roman"/>
          <w:bCs/>
          <w:sz w:val="24"/>
          <w:szCs w:val="24"/>
        </w:rPr>
        <w:t xml:space="preserve">налога. Кроме основных аспектов ведения бухгалтерского учёта, в Правилах ведения бухгалтерского учёта регламентирован порядок организации бухгалтерской работы и документооборота, аналитического и синтетического учёта, а также хранения </w:t>
      </w:r>
      <w:r w:rsidRPr="00170B9B">
        <w:rPr>
          <w:rFonts w:ascii="Times New Roman" w:hAnsi="Times New Roman" w:cs="Times New Roman"/>
          <w:bCs/>
          <w:sz w:val="24"/>
          <w:szCs w:val="24"/>
        </w:rPr>
        <w:lastRenderedPageBreak/>
        <w:t xml:space="preserve">документов. </w:t>
      </w:r>
      <w:r w:rsidRPr="00170B9B">
        <w:rPr>
          <w:rFonts w:ascii="Times New Roman" w:hAnsi="Times New Roman" w:cs="Times New Roman"/>
          <w:sz w:val="24"/>
          <w:szCs w:val="24"/>
        </w:rPr>
        <w:t xml:space="preserve">Большое внимание уделено </w:t>
      </w:r>
      <w:r w:rsidRPr="00170B9B">
        <w:rPr>
          <w:rFonts w:ascii="Times New Roman" w:hAnsi="Times New Roman" w:cs="Times New Roman"/>
          <w:bCs/>
          <w:sz w:val="24"/>
          <w:szCs w:val="24"/>
        </w:rPr>
        <w:t>порядку ведения бухгалтерского учёта операций, связанных с осуществлением деятельности по страхованию, сострахованию и перестрахованию (в том числе приведены бухгалтерские записи, связанные с этими операциями), а также учёта имущества. В дальнейшем перечень операций, порядок ведения бухгалтерского учёта которых регламентируется Правилами ведения бухгалтерского учёта, будет расширяться.</w:t>
      </w:r>
    </w:p>
    <w:p w14:paraId="4A8E2A0B" w14:textId="77777777" w:rsidR="00A95862" w:rsidRPr="00170B9B" w:rsidRDefault="00A95862" w:rsidP="00394AA6">
      <w:pPr>
        <w:spacing w:before="0" w:after="0" w:line="240" w:lineRule="auto"/>
        <w:ind w:firstLine="425"/>
        <w:jc w:val="both"/>
        <w:rPr>
          <w:rFonts w:ascii="Times New Roman" w:hAnsi="Times New Roman" w:cs="Times New Roman"/>
          <w:sz w:val="24"/>
          <w:szCs w:val="24"/>
        </w:rPr>
      </w:pPr>
      <w:r w:rsidRPr="00694059">
        <w:rPr>
          <w:rFonts w:ascii="Times New Roman" w:hAnsi="Times New Roman" w:cs="Times New Roman"/>
          <w:sz w:val="24"/>
          <w:szCs w:val="24"/>
        </w:rPr>
        <w:t>В отчётном году также осуществлялась работа по совершенствованию методологической базы по бухгалтерскому учёту и финансовой отчётности как кредитных организаций, так и Приднестровского республиканского банка. Приднестровским республиканским банком было подготовлено 12 нормативных актов, касающихся совершенствования Плана счетов кредитных организаций, правил ведения бухгалтерского учёта, порядка проведения кассовых операций (в том числе Приднестро</w:t>
      </w:r>
      <w:r w:rsidR="00394AA6" w:rsidRPr="00694059">
        <w:rPr>
          <w:rFonts w:ascii="Times New Roman" w:hAnsi="Times New Roman" w:cs="Times New Roman"/>
          <w:sz w:val="24"/>
          <w:szCs w:val="24"/>
        </w:rPr>
        <w:t>вского республиканского банка).</w:t>
      </w:r>
    </w:p>
    <w:p w14:paraId="4AEFC641" w14:textId="77777777" w:rsidR="00A95862" w:rsidRDefault="00A95862" w:rsidP="00394AA6">
      <w:pPr>
        <w:spacing w:before="0" w:after="0" w:line="240" w:lineRule="auto"/>
        <w:ind w:firstLine="425"/>
        <w:jc w:val="both"/>
        <w:rPr>
          <w:rFonts w:ascii="Times New Roman" w:hAnsi="Times New Roman" w:cs="Times New Roman"/>
          <w:sz w:val="24"/>
          <w:szCs w:val="24"/>
        </w:rPr>
      </w:pPr>
      <w:r w:rsidRPr="00BD3BF0">
        <w:rPr>
          <w:rFonts w:ascii="Times New Roman" w:hAnsi="Times New Roman" w:cs="Times New Roman"/>
          <w:bCs/>
          <w:sz w:val="24"/>
          <w:szCs w:val="24"/>
        </w:rPr>
        <w:t xml:space="preserve">В рамках совершенствования отчётности кредитных организаций </w:t>
      </w:r>
      <w:r w:rsidRPr="00BD3BF0">
        <w:rPr>
          <w:rFonts w:ascii="Times New Roman" w:hAnsi="Times New Roman" w:cs="Times New Roman"/>
          <w:sz w:val="24"/>
          <w:szCs w:val="24"/>
        </w:rPr>
        <w:t>с 1 июля 2019 года</w:t>
      </w:r>
      <w:r w:rsidRPr="00BD3BF0">
        <w:rPr>
          <w:rFonts w:ascii="Times New Roman" w:hAnsi="Times New Roman" w:cs="Times New Roman"/>
          <w:bCs/>
          <w:sz w:val="24"/>
          <w:szCs w:val="24"/>
        </w:rPr>
        <w:t xml:space="preserve"> в</w:t>
      </w:r>
      <w:r w:rsidRPr="00BD3BF0">
        <w:rPr>
          <w:rFonts w:ascii="Times New Roman" w:hAnsi="Times New Roman" w:cs="Times New Roman"/>
          <w:sz w:val="24"/>
          <w:szCs w:val="24"/>
        </w:rPr>
        <w:t>несены изменения в «Отчёт о наличном денежном обороте», в частности, расширена структура используемых символов в соответствии с современными направлениями расходования и поступления наличных денежных средств в кредитные организации; разработаны новы</w:t>
      </w:r>
      <w:r>
        <w:rPr>
          <w:rFonts w:ascii="Times New Roman" w:hAnsi="Times New Roman" w:cs="Times New Roman"/>
          <w:sz w:val="24"/>
          <w:szCs w:val="24"/>
        </w:rPr>
        <w:t>е</w:t>
      </w:r>
      <w:r w:rsidRPr="00BD3BF0">
        <w:rPr>
          <w:rFonts w:ascii="Times New Roman" w:hAnsi="Times New Roman" w:cs="Times New Roman"/>
          <w:sz w:val="24"/>
          <w:szCs w:val="24"/>
        </w:rPr>
        <w:t xml:space="preserve"> </w:t>
      </w:r>
      <w:r>
        <w:rPr>
          <w:rFonts w:ascii="Times New Roman" w:hAnsi="Times New Roman" w:cs="Times New Roman"/>
          <w:sz w:val="24"/>
          <w:szCs w:val="24"/>
        </w:rPr>
        <w:t xml:space="preserve">формы </w:t>
      </w:r>
      <w:r w:rsidRPr="00BD3BF0">
        <w:rPr>
          <w:rFonts w:ascii="Times New Roman" w:hAnsi="Times New Roman" w:cs="Times New Roman"/>
          <w:sz w:val="24"/>
          <w:szCs w:val="24"/>
        </w:rPr>
        <w:t xml:space="preserve">отчётов об операциях с использованием банковских карт и инфраструктуре, предназначенной для совершения операций с использованием и без использования банковских карт, соответствующие целям получения наиболее полной информации о развитии финансовой доступности в республике. Кроме того, в рамках оптимизации нагрузки на коммерческие банки по составлению отчётности был упразднён отчёт «Сведения о кредитах, выданных нерезидентам», отдельные параметры которого нашли отражение в представляемом кредитными организациями отчёте «Сведения о кредитном портфеле кредитной организации» в соответствии с требованием </w:t>
      </w:r>
      <w:hyperlink r:id="rId10" w:history="1">
        <w:r w:rsidRPr="00BD3BF0">
          <w:rPr>
            <w:rFonts w:ascii="Times New Roman" w:hAnsi="Times New Roman" w:cs="Times New Roman"/>
            <w:sz w:val="24"/>
            <w:szCs w:val="24"/>
          </w:rPr>
          <w:t>Инструкции</w:t>
        </w:r>
      </w:hyperlink>
      <w:r w:rsidRPr="00BD3BF0">
        <w:rPr>
          <w:rFonts w:ascii="Times New Roman" w:hAnsi="Times New Roman" w:cs="Times New Roman"/>
          <w:sz w:val="24"/>
          <w:szCs w:val="24"/>
        </w:rPr>
        <w:t xml:space="preserve"> № 22-И от 9 ноября 2007 года (САЗ 07-52) «О порядке регулирования деятельности кредитных организаций».</w:t>
      </w:r>
    </w:p>
    <w:p w14:paraId="6B9598C8" w14:textId="2AF1E7D1" w:rsidR="00A95862" w:rsidRDefault="00A95862" w:rsidP="00A95862">
      <w:pPr>
        <w:spacing w:before="120" w:after="0" w:line="240" w:lineRule="auto"/>
        <w:ind w:firstLine="425"/>
        <w:jc w:val="both"/>
        <w:rPr>
          <w:rFonts w:ascii="Times New Roman" w:hAnsi="Times New Roman" w:cs="Times New Roman"/>
          <w:sz w:val="24"/>
          <w:szCs w:val="24"/>
        </w:rPr>
      </w:pPr>
    </w:p>
    <w:p w14:paraId="1D56FF3D" w14:textId="77777777" w:rsidR="00FE3A7F" w:rsidRDefault="00FE3A7F" w:rsidP="00A95862">
      <w:pPr>
        <w:spacing w:before="120" w:after="0" w:line="240" w:lineRule="auto"/>
        <w:ind w:firstLine="425"/>
        <w:jc w:val="both"/>
        <w:rPr>
          <w:rFonts w:ascii="Times New Roman" w:hAnsi="Times New Roman" w:cs="Times New Roman"/>
          <w:sz w:val="24"/>
          <w:szCs w:val="24"/>
        </w:rPr>
      </w:pPr>
    </w:p>
    <w:p w14:paraId="65132372" w14:textId="77777777" w:rsidR="00A95862" w:rsidRPr="002B07E7" w:rsidRDefault="00A95862" w:rsidP="00A95862">
      <w:pPr>
        <w:pStyle w:val="1"/>
        <w:widowControl w:val="0"/>
        <w:spacing w:before="0" w:line="240" w:lineRule="auto"/>
        <w:rPr>
          <w:b/>
          <w:bCs/>
          <w:noProof/>
          <w:sz w:val="24"/>
          <w:szCs w:val="24"/>
        </w:rPr>
      </w:pPr>
      <w:r>
        <w:rPr>
          <w:b/>
          <w:bCs/>
          <w:noProof/>
          <w:sz w:val="24"/>
          <w:szCs w:val="24"/>
        </w:rPr>
        <w:t xml:space="preserve">2.9. </w:t>
      </w:r>
      <w:r w:rsidRPr="002B07E7">
        <w:rPr>
          <w:b/>
          <w:bCs/>
          <w:noProof/>
          <w:sz w:val="24"/>
          <w:szCs w:val="24"/>
        </w:rPr>
        <w:t>ВЗАИМОДЕЙСТВИЕ ПРИДНЕСТРОВСКОГО РЕСПУБЛИКАНСКОГО БАНКА С ОРГАНАМИ ГОСУДАРСТВЕННОЙ ВЛАСТИ</w:t>
      </w:r>
    </w:p>
    <w:p w14:paraId="2A43B0BF"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01E04B2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отчётном году Приднестровский республиканский банк взаимодействовал с органами государственной власти и управления по различным направлениям. </w:t>
      </w:r>
    </w:p>
    <w:p w14:paraId="14B0FB9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По поручениям Президента Приднестровской Молдавской Республики, по запросам исполнительных органов государственной власти центральный банк предоставлял информацию по единой государственной денежно-кредитной политике, о ситуации в банковском секторе республики. Указанные органы в свою очередь по запросам центрального банка предоставляли информацию по макроэкономическим и финансовым вопросам.</w:t>
      </w:r>
    </w:p>
    <w:p w14:paraId="64B11F42" w14:textId="1476ABB9"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соответствии с запросами Правительства ПМР, Прокуратуры ПМР и Следственного комитета ПМР, а также в рамках оказания государственных услуг инвесторам, предоставлялись разъяснения по вопросам, касающимся сферы валютного регулирования и валютного контроля. На основании запроса Счётной палаты ПМР центральным банком ПМР направлялась информация о внесении изменений в нормативные акты </w:t>
      </w:r>
      <w:r w:rsidR="00A236B2" w:rsidRPr="00AD420D">
        <w:rPr>
          <w:rFonts w:ascii="Times New Roman" w:hAnsi="Times New Roman" w:cs="Times New Roman"/>
          <w:sz w:val="24"/>
          <w:szCs w:val="24"/>
        </w:rPr>
        <w:t>П</w:t>
      </w:r>
      <w:r w:rsidR="00A236B2">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с 2017 года в части, касающейся обеспечения, получаемого кредитными организациями по предоставляемым кредитам и прочим размещаемым средствам.</w:t>
      </w:r>
    </w:p>
    <w:p w14:paraId="7A090F6C" w14:textId="77777777" w:rsidR="00A95862" w:rsidRPr="003E10D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lastRenderedPageBreak/>
        <w:t xml:space="preserve">В </w:t>
      </w:r>
      <w:r>
        <w:rPr>
          <w:rFonts w:ascii="Times New Roman" w:hAnsi="Times New Roman" w:cs="Times New Roman"/>
          <w:sz w:val="24"/>
          <w:szCs w:val="24"/>
        </w:rPr>
        <w:t>2019 году проведена оптимизация</w:t>
      </w:r>
      <w:r w:rsidRPr="00170B9B">
        <w:rPr>
          <w:rFonts w:ascii="Times New Roman" w:hAnsi="Times New Roman" w:cs="Times New Roman"/>
          <w:sz w:val="24"/>
          <w:szCs w:val="24"/>
        </w:rPr>
        <w:t xml:space="preserve"> межведомственного взаимодействия Приднестровского республиканского банка с Министерством финансов ПМР в части предоставления Министерством финансов ПМР информации о присвоении фискальных кодов в электронном виде через систему обмена информационными сообщениями Министерства </w:t>
      </w:r>
      <w:r w:rsidRPr="003E10D2">
        <w:rPr>
          <w:rFonts w:ascii="Times New Roman" w:hAnsi="Times New Roman" w:cs="Times New Roman"/>
          <w:sz w:val="24"/>
          <w:szCs w:val="24"/>
        </w:rPr>
        <w:t>финансов ПМР.</w:t>
      </w:r>
    </w:p>
    <w:p w14:paraId="48A1AA61" w14:textId="3BF4A56F" w:rsidR="00A95862" w:rsidRPr="00170B9B" w:rsidRDefault="00A95862" w:rsidP="00A95862">
      <w:pPr>
        <w:spacing w:before="0" w:after="0" w:line="240" w:lineRule="auto"/>
        <w:ind w:firstLine="425"/>
        <w:jc w:val="both"/>
        <w:rPr>
          <w:rFonts w:ascii="Times New Roman" w:hAnsi="Times New Roman" w:cs="Times New Roman"/>
          <w:sz w:val="24"/>
          <w:szCs w:val="24"/>
        </w:rPr>
      </w:pPr>
      <w:r w:rsidRPr="00DE1165">
        <w:rPr>
          <w:rFonts w:ascii="Times New Roman" w:hAnsi="Times New Roman" w:cs="Times New Roman"/>
          <w:sz w:val="24"/>
          <w:szCs w:val="24"/>
        </w:rPr>
        <w:t xml:space="preserve">В </w:t>
      </w:r>
      <w:r w:rsidR="00942CD1">
        <w:rPr>
          <w:rFonts w:ascii="Times New Roman" w:hAnsi="Times New Roman" w:cs="Times New Roman"/>
          <w:sz w:val="24"/>
          <w:szCs w:val="24"/>
        </w:rPr>
        <w:t>отчётном периоде</w:t>
      </w:r>
      <w:r w:rsidRPr="00170B9B">
        <w:rPr>
          <w:rFonts w:ascii="Times New Roman" w:hAnsi="Times New Roman" w:cs="Times New Roman"/>
          <w:sz w:val="24"/>
          <w:szCs w:val="24"/>
        </w:rPr>
        <w:t xml:space="preserve"> в соответствии с Законом ПМР от 11</w:t>
      </w:r>
      <w:r w:rsidR="00A236B2">
        <w:rPr>
          <w:rFonts w:ascii="Times New Roman" w:hAnsi="Times New Roman" w:cs="Times New Roman"/>
          <w:sz w:val="24"/>
          <w:szCs w:val="24"/>
        </w:rPr>
        <w:t xml:space="preserve"> июня </w:t>
      </w:r>
      <w:r w:rsidRPr="00170B9B">
        <w:rPr>
          <w:rFonts w:ascii="Times New Roman" w:hAnsi="Times New Roman" w:cs="Times New Roman"/>
          <w:sz w:val="24"/>
          <w:szCs w:val="24"/>
        </w:rPr>
        <w:t xml:space="preserve">2007 </w:t>
      </w:r>
      <w:r w:rsidR="00A236B2">
        <w:rPr>
          <w:rFonts w:ascii="Times New Roman" w:hAnsi="Times New Roman" w:cs="Times New Roman"/>
          <w:sz w:val="24"/>
          <w:szCs w:val="24"/>
        </w:rPr>
        <w:t xml:space="preserve">года </w:t>
      </w:r>
      <w:r w:rsidRPr="00170B9B">
        <w:rPr>
          <w:rFonts w:ascii="Times New Roman" w:hAnsi="Times New Roman" w:cs="Times New Roman"/>
          <w:sz w:val="24"/>
          <w:szCs w:val="24"/>
        </w:rPr>
        <w:t>№ 222-З-IV «О государственной регистрации юридических лиц и индивидуальных предпринимателей в ПМР» и Постанов</w:t>
      </w:r>
      <w:r w:rsidR="00A236B2">
        <w:rPr>
          <w:rFonts w:ascii="Times New Roman" w:hAnsi="Times New Roman" w:cs="Times New Roman"/>
          <w:sz w:val="24"/>
          <w:szCs w:val="24"/>
        </w:rPr>
        <w:t xml:space="preserve">лением Правительства ПМР от 2 августа </w:t>
      </w:r>
      <w:r w:rsidRPr="00170B9B">
        <w:rPr>
          <w:rFonts w:ascii="Times New Roman" w:hAnsi="Times New Roman" w:cs="Times New Roman"/>
          <w:sz w:val="24"/>
          <w:szCs w:val="24"/>
        </w:rPr>
        <w:t>2016</w:t>
      </w:r>
      <w:r w:rsidR="00A236B2">
        <w:rPr>
          <w:rFonts w:ascii="Times New Roman" w:hAnsi="Times New Roman" w:cs="Times New Roman"/>
          <w:sz w:val="24"/>
          <w:szCs w:val="24"/>
        </w:rPr>
        <w:t xml:space="preserve"> года</w:t>
      </w:r>
      <w:r w:rsidRPr="00170B9B">
        <w:rPr>
          <w:rFonts w:ascii="Times New Roman" w:hAnsi="Times New Roman" w:cs="Times New Roman"/>
          <w:sz w:val="24"/>
          <w:szCs w:val="24"/>
        </w:rPr>
        <w:t xml:space="preserve"> № 209 «Об утверждении Положения о порядке взаимодействия регистрирующего органа и </w:t>
      </w:r>
      <w:r w:rsidRPr="00DE1165">
        <w:rPr>
          <w:rFonts w:ascii="Times New Roman" w:hAnsi="Times New Roman" w:cs="Times New Roman"/>
          <w:sz w:val="24"/>
          <w:szCs w:val="24"/>
        </w:rPr>
        <w:t>центрального банка ПМР по вопросам государственной регистрации кредитных организаций» Приднестровский</w:t>
      </w:r>
      <w:r>
        <w:rPr>
          <w:rFonts w:ascii="Times New Roman" w:hAnsi="Times New Roman" w:cs="Times New Roman"/>
          <w:sz w:val="24"/>
          <w:szCs w:val="24"/>
        </w:rPr>
        <w:t xml:space="preserve"> республиканский банк</w:t>
      </w:r>
      <w:r w:rsidRPr="00170B9B">
        <w:rPr>
          <w:rFonts w:ascii="Times New Roman" w:hAnsi="Times New Roman" w:cs="Times New Roman"/>
          <w:sz w:val="24"/>
          <w:szCs w:val="24"/>
        </w:rPr>
        <w:t xml:space="preserve"> совместно с Министерством юстиции ПМР продолжили тесное взаимодействие в части осуществления государственной регистрации и внесения в Государственный реестр юридических лиц сведений о внесении изменений и дополнений в учредительные документы кредитных организаций.</w:t>
      </w:r>
    </w:p>
    <w:p w14:paraId="7D1226B9" w14:textId="737DB739"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Во исполнение положений совместного Приказа Министерства юстиции ПМР и </w:t>
      </w:r>
      <w:r w:rsidRPr="00DE1165">
        <w:rPr>
          <w:rFonts w:ascii="Times New Roman" w:hAnsi="Times New Roman" w:cs="Times New Roman"/>
          <w:sz w:val="24"/>
          <w:szCs w:val="24"/>
        </w:rPr>
        <w:t>Приднестровск</w:t>
      </w:r>
      <w:r>
        <w:rPr>
          <w:rFonts w:ascii="Times New Roman" w:hAnsi="Times New Roman" w:cs="Times New Roman"/>
          <w:sz w:val="24"/>
          <w:szCs w:val="24"/>
        </w:rPr>
        <w:t>ого республиканского банка</w:t>
      </w:r>
      <w:r w:rsidRPr="00170B9B">
        <w:rPr>
          <w:rFonts w:ascii="Times New Roman" w:hAnsi="Times New Roman" w:cs="Times New Roman"/>
          <w:sz w:val="24"/>
          <w:szCs w:val="24"/>
        </w:rPr>
        <w:t xml:space="preserve"> от 28</w:t>
      </w:r>
      <w:r w:rsidR="00A236B2">
        <w:rPr>
          <w:rFonts w:ascii="Times New Roman" w:hAnsi="Times New Roman" w:cs="Times New Roman"/>
          <w:sz w:val="24"/>
          <w:szCs w:val="24"/>
        </w:rPr>
        <w:t xml:space="preserve"> июня </w:t>
      </w:r>
      <w:r w:rsidRPr="00170B9B">
        <w:rPr>
          <w:rFonts w:ascii="Times New Roman" w:hAnsi="Times New Roman" w:cs="Times New Roman"/>
          <w:sz w:val="24"/>
          <w:szCs w:val="24"/>
        </w:rPr>
        <w:t xml:space="preserve">2010 </w:t>
      </w:r>
      <w:r w:rsidR="00A236B2">
        <w:rPr>
          <w:rFonts w:ascii="Times New Roman" w:hAnsi="Times New Roman" w:cs="Times New Roman"/>
          <w:sz w:val="24"/>
          <w:szCs w:val="24"/>
        </w:rPr>
        <w:t xml:space="preserve">года </w:t>
      </w:r>
      <w:r w:rsidRPr="00170B9B">
        <w:rPr>
          <w:rFonts w:ascii="Times New Roman" w:hAnsi="Times New Roman" w:cs="Times New Roman"/>
          <w:sz w:val="24"/>
          <w:szCs w:val="24"/>
        </w:rPr>
        <w:t xml:space="preserve">№ 147/01-05/59 «О взаимодействии Министерства юстиции ПМР и </w:t>
      </w:r>
      <w:r w:rsidRPr="00DE1165">
        <w:rPr>
          <w:rFonts w:ascii="Times New Roman" w:hAnsi="Times New Roman" w:cs="Times New Roman"/>
          <w:sz w:val="24"/>
          <w:szCs w:val="24"/>
        </w:rPr>
        <w:t>Приднестровск</w:t>
      </w:r>
      <w:r>
        <w:rPr>
          <w:rFonts w:ascii="Times New Roman" w:hAnsi="Times New Roman" w:cs="Times New Roman"/>
          <w:sz w:val="24"/>
          <w:szCs w:val="24"/>
        </w:rPr>
        <w:t>ого республиканского банка</w:t>
      </w:r>
      <w:r w:rsidRPr="00170B9B">
        <w:rPr>
          <w:rFonts w:ascii="Times New Roman" w:hAnsi="Times New Roman" w:cs="Times New Roman"/>
          <w:sz w:val="24"/>
          <w:szCs w:val="24"/>
        </w:rPr>
        <w:t xml:space="preserve"> по вопросам выдачи лицензий» направлялись в Министерство юстиции ПМР копии лицензий в связи с их переоформлением.</w:t>
      </w:r>
    </w:p>
    <w:p w14:paraId="3C647F18" w14:textId="77777777" w:rsidR="00942CD1" w:rsidRPr="00170B9B" w:rsidRDefault="00942CD1" w:rsidP="00A95862">
      <w:pPr>
        <w:spacing w:before="0" w:after="0" w:line="240" w:lineRule="auto"/>
        <w:ind w:firstLine="425"/>
        <w:jc w:val="both"/>
        <w:rPr>
          <w:rFonts w:ascii="Times New Roman" w:hAnsi="Times New Roman" w:cs="Times New Roman"/>
          <w:sz w:val="24"/>
          <w:szCs w:val="24"/>
        </w:rPr>
      </w:pPr>
      <w:r w:rsidRPr="00053953">
        <w:rPr>
          <w:rFonts w:ascii="Times New Roman" w:hAnsi="Times New Roman" w:cs="Times New Roman"/>
          <w:sz w:val="24"/>
          <w:szCs w:val="24"/>
        </w:rPr>
        <w:t xml:space="preserve">Совместно с уполномоченными государственными ведомствами Приднестровский республиканский банк участвовал в заседаниях экспертных </w:t>
      </w:r>
      <w:r w:rsidR="00694059" w:rsidRPr="00053953">
        <w:rPr>
          <w:rFonts w:ascii="Times New Roman" w:hAnsi="Times New Roman" w:cs="Times New Roman"/>
          <w:sz w:val="24"/>
          <w:szCs w:val="24"/>
        </w:rPr>
        <w:t>(</w:t>
      </w:r>
      <w:r w:rsidRPr="00053953">
        <w:rPr>
          <w:rFonts w:ascii="Times New Roman" w:hAnsi="Times New Roman" w:cs="Times New Roman"/>
          <w:sz w:val="24"/>
          <w:szCs w:val="24"/>
        </w:rPr>
        <w:t>рабочих</w:t>
      </w:r>
      <w:r w:rsidR="00694059" w:rsidRPr="00053953">
        <w:rPr>
          <w:rFonts w:ascii="Times New Roman" w:hAnsi="Times New Roman" w:cs="Times New Roman"/>
          <w:sz w:val="24"/>
          <w:szCs w:val="24"/>
        </w:rPr>
        <w:t>)</w:t>
      </w:r>
      <w:r w:rsidRPr="00053953">
        <w:rPr>
          <w:rFonts w:ascii="Times New Roman" w:hAnsi="Times New Roman" w:cs="Times New Roman"/>
          <w:sz w:val="24"/>
          <w:szCs w:val="24"/>
        </w:rPr>
        <w:t xml:space="preserve"> групп в рамках</w:t>
      </w:r>
      <w:r w:rsidR="00331C95" w:rsidRPr="00053953">
        <w:rPr>
          <w:rFonts w:ascii="Times New Roman" w:hAnsi="Times New Roman" w:cs="Times New Roman"/>
          <w:sz w:val="24"/>
          <w:szCs w:val="24"/>
        </w:rPr>
        <w:t xml:space="preserve"> переговорного процесса между Приднестровьем и Республикой Молдова, в том числе по вопросам функционирования </w:t>
      </w:r>
      <w:r w:rsidR="006B437B" w:rsidRPr="00053953">
        <w:rPr>
          <w:rFonts w:ascii="Times New Roman" w:hAnsi="Times New Roman" w:cs="Times New Roman"/>
          <w:sz w:val="24"/>
          <w:szCs w:val="24"/>
        </w:rPr>
        <w:t xml:space="preserve">в коммерческих банках Республики Молдова </w:t>
      </w:r>
      <w:r w:rsidR="00331C95" w:rsidRPr="00053953">
        <w:rPr>
          <w:rFonts w:ascii="Times New Roman" w:hAnsi="Times New Roman" w:cs="Times New Roman"/>
          <w:sz w:val="24"/>
          <w:szCs w:val="24"/>
        </w:rPr>
        <w:t xml:space="preserve">счетов организаций – резидентов ПМР, имеющих соответствующее разрешение </w:t>
      </w:r>
      <w:r w:rsidR="006B437B" w:rsidRPr="00053953">
        <w:rPr>
          <w:rFonts w:ascii="Times New Roman" w:hAnsi="Times New Roman" w:cs="Times New Roman"/>
          <w:sz w:val="24"/>
          <w:szCs w:val="24"/>
        </w:rPr>
        <w:t>Приднестровско</w:t>
      </w:r>
      <w:r w:rsidR="00331C95" w:rsidRPr="00053953">
        <w:rPr>
          <w:rFonts w:ascii="Times New Roman" w:hAnsi="Times New Roman" w:cs="Times New Roman"/>
          <w:sz w:val="24"/>
          <w:szCs w:val="24"/>
        </w:rPr>
        <w:t>го</w:t>
      </w:r>
      <w:r w:rsidR="006B437B" w:rsidRPr="00053953">
        <w:rPr>
          <w:rFonts w:ascii="Times New Roman" w:hAnsi="Times New Roman" w:cs="Times New Roman"/>
          <w:sz w:val="24"/>
          <w:szCs w:val="24"/>
        </w:rPr>
        <w:t xml:space="preserve"> республиканского</w:t>
      </w:r>
      <w:r w:rsidR="00331C95" w:rsidRPr="00053953">
        <w:rPr>
          <w:rFonts w:ascii="Times New Roman" w:hAnsi="Times New Roman" w:cs="Times New Roman"/>
          <w:sz w:val="24"/>
          <w:szCs w:val="24"/>
        </w:rPr>
        <w:t xml:space="preserve"> банка. </w:t>
      </w:r>
      <w:r w:rsidR="00F44E93" w:rsidRPr="00053953">
        <w:rPr>
          <w:rFonts w:ascii="Times New Roman" w:hAnsi="Times New Roman" w:cs="Times New Roman"/>
          <w:sz w:val="24"/>
          <w:szCs w:val="24"/>
        </w:rPr>
        <w:t>К д</w:t>
      </w:r>
      <w:r w:rsidR="00331C95" w:rsidRPr="00053953">
        <w:rPr>
          <w:rFonts w:ascii="Times New Roman" w:hAnsi="Times New Roman" w:cs="Times New Roman"/>
          <w:sz w:val="24"/>
          <w:szCs w:val="24"/>
        </w:rPr>
        <w:t>анны</w:t>
      </w:r>
      <w:r w:rsidR="00F44E93" w:rsidRPr="00053953">
        <w:rPr>
          <w:rFonts w:ascii="Times New Roman" w:hAnsi="Times New Roman" w:cs="Times New Roman"/>
          <w:sz w:val="24"/>
          <w:szCs w:val="24"/>
        </w:rPr>
        <w:t>м</w:t>
      </w:r>
      <w:r w:rsidR="00331C95" w:rsidRPr="00053953">
        <w:rPr>
          <w:rFonts w:ascii="Times New Roman" w:hAnsi="Times New Roman" w:cs="Times New Roman"/>
          <w:sz w:val="24"/>
          <w:szCs w:val="24"/>
        </w:rPr>
        <w:t xml:space="preserve"> </w:t>
      </w:r>
      <w:r w:rsidR="00F44E93" w:rsidRPr="00053953">
        <w:rPr>
          <w:rFonts w:ascii="Times New Roman" w:hAnsi="Times New Roman" w:cs="Times New Roman"/>
          <w:sz w:val="24"/>
          <w:szCs w:val="24"/>
        </w:rPr>
        <w:t xml:space="preserve">переговорам и </w:t>
      </w:r>
      <w:r w:rsidR="00331C95" w:rsidRPr="00053953">
        <w:rPr>
          <w:rFonts w:ascii="Times New Roman" w:hAnsi="Times New Roman" w:cs="Times New Roman"/>
          <w:sz w:val="24"/>
          <w:szCs w:val="24"/>
        </w:rPr>
        <w:t>консультаци</w:t>
      </w:r>
      <w:r w:rsidR="00F44E93" w:rsidRPr="00053953">
        <w:rPr>
          <w:rFonts w:ascii="Times New Roman" w:hAnsi="Times New Roman" w:cs="Times New Roman"/>
          <w:sz w:val="24"/>
          <w:szCs w:val="24"/>
        </w:rPr>
        <w:t>ям</w:t>
      </w:r>
      <w:r w:rsidR="00331C95" w:rsidRPr="00053953">
        <w:rPr>
          <w:rFonts w:ascii="Times New Roman" w:hAnsi="Times New Roman" w:cs="Times New Roman"/>
          <w:sz w:val="24"/>
          <w:szCs w:val="24"/>
        </w:rPr>
        <w:t xml:space="preserve"> также </w:t>
      </w:r>
      <w:r w:rsidR="00F44E93" w:rsidRPr="00053953">
        <w:rPr>
          <w:rFonts w:ascii="Times New Roman" w:hAnsi="Times New Roman" w:cs="Times New Roman"/>
          <w:sz w:val="24"/>
          <w:szCs w:val="24"/>
        </w:rPr>
        <w:t>привлекались</w:t>
      </w:r>
      <w:r w:rsidR="00331C95" w:rsidRPr="00053953">
        <w:rPr>
          <w:rFonts w:ascii="Times New Roman" w:hAnsi="Times New Roman" w:cs="Times New Roman"/>
          <w:sz w:val="24"/>
          <w:szCs w:val="24"/>
        </w:rPr>
        <w:t xml:space="preserve"> и независимы</w:t>
      </w:r>
      <w:r w:rsidR="00F44E93" w:rsidRPr="00053953">
        <w:rPr>
          <w:rFonts w:ascii="Times New Roman" w:hAnsi="Times New Roman" w:cs="Times New Roman"/>
          <w:sz w:val="24"/>
          <w:szCs w:val="24"/>
        </w:rPr>
        <w:t>е</w:t>
      </w:r>
      <w:r w:rsidR="00331C95" w:rsidRPr="00053953">
        <w:rPr>
          <w:rFonts w:ascii="Times New Roman" w:hAnsi="Times New Roman" w:cs="Times New Roman"/>
          <w:sz w:val="24"/>
          <w:szCs w:val="24"/>
        </w:rPr>
        <w:t xml:space="preserve"> международны</w:t>
      </w:r>
      <w:r w:rsidR="00F44E93" w:rsidRPr="00053953">
        <w:rPr>
          <w:rFonts w:ascii="Times New Roman" w:hAnsi="Times New Roman" w:cs="Times New Roman"/>
          <w:sz w:val="24"/>
          <w:szCs w:val="24"/>
        </w:rPr>
        <w:t>е</w:t>
      </w:r>
      <w:r w:rsidR="00331C95" w:rsidRPr="00053953">
        <w:rPr>
          <w:rFonts w:ascii="Times New Roman" w:hAnsi="Times New Roman" w:cs="Times New Roman"/>
          <w:sz w:val="24"/>
          <w:szCs w:val="24"/>
        </w:rPr>
        <w:t xml:space="preserve"> эксперт</w:t>
      </w:r>
      <w:r w:rsidR="00F44E93" w:rsidRPr="00053953">
        <w:rPr>
          <w:rFonts w:ascii="Times New Roman" w:hAnsi="Times New Roman" w:cs="Times New Roman"/>
          <w:sz w:val="24"/>
          <w:szCs w:val="24"/>
        </w:rPr>
        <w:t>ы</w:t>
      </w:r>
      <w:r w:rsidR="00331C95" w:rsidRPr="00053953">
        <w:rPr>
          <w:rFonts w:ascii="Times New Roman" w:hAnsi="Times New Roman" w:cs="Times New Roman"/>
          <w:sz w:val="24"/>
          <w:szCs w:val="24"/>
        </w:rPr>
        <w:t>.</w:t>
      </w:r>
    </w:p>
    <w:p w14:paraId="766C872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DE1165">
        <w:rPr>
          <w:rFonts w:ascii="Times New Roman" w:hAnsi="Times New Roman" w:cs="Times New Roman"/>
          <w:sz w:val="24"/>
          <w:szCs w:val="24"/>
        </w:rPr>
        <w:t>Приднестровск</w:t>
      </w:r>
      <w:r>
        <w:rPr>
          <w:rFonts w:ascii="Times New Roman" w:hAnsi="Times New Roman" w:cs="Times New Roman"/>
          <w:sz w:val="24"/>
          <w:szCs w:val="24"/>
        </w:rPr>
        <w:t xml:space="preserve">ий </w:t>
      </w:r>
      <w:r w:rsidRPr="00DE1165">
        <w:rPr>
          <w:rFonts w:ascii="Times New Roman" w:hAnsi="Times New Roman" w:cs="Times New Roman"/>
          <w:sz w:val="24"/>
          <w:szCs w:val="24"/>
        </w:rPr>
        <w:t xml:space="preserve">республиканский банк </w:t>
      </w:r>
      <w:r w:rsidR="00942CD1">
        <w:rPr>
          <w:rFonts w:ascii="Times New Roman" w:hAnsi="Times New Roman" w:cs="Times New Roman"/>
          <w:sz w:val="24"/>
          <w:szCs w:val="24"/>
        </w:rPr>
        <w:t xml:space="preserve">также </w:t>
      </w:r>
      <w:r w:rsidRPr="00DE1165">
        <w:rPr>
          <w:rFonts w:ascii="Times New Roman" w:hAnsi="Times New Roman" w:cs="Times New Roman"/>
          <w:sz w:val="24"/>
          <w:szCs w:val="24"/>
        </w:rPr>
        <w:t>осуществлял взаимодействие</w:t>
      </w:r>
      <w:r w:rsidRPr="00170B9B">
        <w:rPr>
          <w:rFonts w:ascii="Times New Roman" w:hAnsi="Times New Roman" w:cs="Times New Roman"/>
          <w:sz w:val="24"/>
          <w:szCs w:val="24"/>
        </w:rPr>
        <w:t xml:space="preserve"> с Правительством ПМР, МИД ПМР, МВД ПМР в отношении организации и проведения совещаний по вопросу сотрудничества с Республикой Молдова в сфере ОСАГО с уч</w:t>
      </w:r>
      <w:r>
        <w:rPr>
          <w:rFonts w:ascii="Times New Roman" w:hAnsi="Times New Roman" w:cs="Times New Roman"/>
          <w:sz w:val="24"/>
          <w:szCs w:val="24"/>
        </w:rPr>
        <w:t>ё</w:t>
      </w:r>
      <w:r w:rsidRPr="00170B9B">
        <w:rPr>
          <w:rFonts w:ascii="Times New Roman" w:hAnsi="Times New Roman" w:cs="Times New Roman"/>
          <w:sz w:val="24"/>
          <w:szCs w:val="24"/>
        </w:rPr>
        <w:t>том переговорного процесса между двумя республиками. Центральным банком был организован ряд встреч с участием перечисленных выше органов власти, а также субъектов страхового дела, на которых обсуждались вопросы и проблемы, связанные с выработкой дальнейшей позиции Приднестровья по обозначенной теме с уч</w:t>
      </w:r>
      <w:r>
        <w:rPr>
          <w:rFonts w:ascii="Times New Roman" w:hAnsi="Times New Roman" w:cs="Times New Roman"/>
          <w:sz w:val="24"/>
          <w:szCs w:val="24"/>
        </w:rPr>
        <w:t>ё</w:t>
      </w:r>
      <w:r w:rsidRPr="00170B9B">
        <w:rPr>
          <w:rFonts w:ascii="Times New Roman" w:hAnsi="Times New Roman" w:cs="Times New Roman"/>
          <w:sz w:val="24"/>
          <w:szCs w:val="24"/>
        </w:rPr>
        <w:t>том интересов всех вовлеч</w:t>
      </w:r>
      <w:r>
        <w:rPr>
          <w:rFonts w:ascii="Times New Roman" w:hAnsi="Times New Roman" w:cs="Times New Roman"/>
          <w:sz w:val="24"/>
          <w:szCs w:val="24"/>
        </w:rPr>
        <w:t>ё</w:t>
      </w:r>
      <w:r w:rsidRPr="00170B9B">
        <w:rPr>
          <w:rFonts w:ascii="Times New Roman" w:hAnsi="Times New Roman" w:cs="Times New Roman"/>
          <w:sz w:val="24"/>
          <w:szCs w:val="24"/>
        </w:rPr>
        <w:t>нных сторон.</w:t>
      </w:r>
    </w:p>
    <w:p w14:paraId="3C8A797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рамках реализации Протокольного решения экспертных (рабочих) групп из Приднестровской Молдавской Республики и Республики Молдова по вопросам развития транспорта и дорожного хозяйства об участии транспортных средств из Приднестровья, не осуществляющих коммерческую деятельность в международном движении, Приднестровский республиканский банк продолжает сотрудничество по оплате услуг по регистрации транспортных средств в </w:t>
      </w:r>
      <w:r w:rsidRPr="00DE1165">
        <w:rPr>
          <w:rFonts w:ascii="Times New Roman" w:hAnsi="Times New Roman" w:cs="Times New Roman"/>
          <w:sz w:val="24"/>
          <w:szCs w:val="24"/>
        </w:rPr>
        <w:t>Пунктах регистрации транспортных средств</w:t>
      </w:r>
      <w:r w:rsidRPr="00170B9B">
        <w:rPr>
          <w:rFonts w:ascii="Times New Roman" w:hAnsi="Times New Roman" w:cs="Times New Roman"/>
          <w:sz w:val="24"/>
          <w:szCs w:val="24"/>
        </w:rPr>
        <w:t xml:space="preserve"> через Расч</w:t>
      </w:r>
      <w:r>
        <w:rPr>
          <w:rFonts w:ascii="Times New Roman" w:hAnsi="Times New Roman" w:cs="Times New Roman"/>
          <w:sz w:val="24"/>
          <w:szCs w:val="24"/>
        </w:rPr>
        <w:t>ё</w:t>
      </w:r>
      <w:r w:rsidRPr="00170B9B">
        <w:rPr>
          <w:rFonts w:ascii="Times New Roman" w:hAnsi="Times New Roman" w:cs="Times New Roman"/>
          <w:sz w:val="24"/>
          <w:szCs w:val="24"/>
        </w:rPr>
        <w:t>тно-кассовый центр г. Тирасполь, выступая посредником между Агентством Государственных услуг Республики Молдова и ГУП «Специальная техника и снаряжение» МВД ПМР.</w:t>
      </w:r>
    </w:p>
    <w:p w14:paraId="2762224C"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целях комплексного повышения квалификации государственных служащих в сфере противодействия легализации (отмыванию) доходов, полученных преступным путем, и финансированию терроризма, усиления межведомственного взаимодействия и взаимопонимания структур и ведомств, Приднестровским республиканским банком провед</w:t>
      </w:r>
      <w:r>
        <w:rPr>
          <w:rFonts w:ascii="Times New Roman" w:hAnsi="Times New Roman" w:cs="Times New Roman"/>
          <w:sz w:val="24"/>
          <w:szCs w:val="24"/>
        </w:rPr>
        <w:t>ё</w:t>
      </w:r>
      <w:r w:rsidRPr="00170B9B">
        <w:rPr>
          <w:rFonts w:ascii="Times New Roman" w:hAnsi="Times New Roman" w:cs="Times New Roman"/>
          <w:sz w:val="24"/>
          <w:szCs w:val="24"/>
        </w:rPr>
        <w:t>н курс лекций по программе «Противодействие легализации (отмыванию) доходов, полученных преступным путем, и финансированию терроризма».</w:t>
      </w:r>
    </w:p>
    <w:p w14:paraId="7ACA7833" w14:textId="77777777" w:rsidR="00A95862" w:rsidRDefault="00A95862" w:rsidP="00A95862">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 рамках подготовки государственных программ по расширению кредитования, в том числе жилищно</w:t>
      </w:r>
      <w:r w:rsidR="00331C95">
        <w:rPr>
          <w:rFonts w:ascii="Times New Roman" w:hAnsi="Times New Roman" w:cs="Times New Roman"/>
          <w:sz w:val="24"/>
          <w:szCs w:val="24"/>
        </w:rPr>
        <w:t>го</w:t>
      </w:r>
      <w:r>
        <w:rPr>
          <w:rFonts w:ascii="Times New Roman" w:hAnsi="Times New Roman" w:cs="Times New Roman"/>
          <w:sz w:val="24"/>
          <w:szCs w:val="24"/>
        </w:rPr>
        <w:t xml:space="preserve">, Банк Приднестровья участвовал в заседаниях </w:t>
      </w:r>
      <w:r w:rsidR="00331C95">
        <w:rPr>
          <w:rFonts w:ascii="Times New Roman" w:hAnsi="Times New Roman" w:cs="Times New Roman"/>
          <w:sz w:val="24"/>
          <w:szCs w:val="24"/>
        </w:rPr>
        <w:t>соответствующих</w:t>
      </w:r>
      <w:r>
        <w:rPr>
          <w:rFonts w:ascii="Times New Roman" w:hAnsi="Times New Roman" w:cs="Times New Roman"/>
          <w:sz w:val="24"/>
          <w:szCs w:val="24"/>
        </w:rPr>
        <w:t xml:space="preserve"> групп по </w:t>
      </w:r>
      <w:r>
        <w:rPr>
          <w:rFonts w:ascii="Times New Roman" w:hAnsi="Times New Roman" w:cs="Times New Roman"/>
          <w:sz w:val="24"/>
          <w:szCs w:val="24"/>
        </w:rPr>
        <w:lastRenderedPageBreak/>
        <w:t>выработке наиболее эффективных механизмов их реализации с учётом необходимости повышения доступности кредитных ресурсов, с одной стороны, и недопущения принятия банками чрезмерных рисков, – с другой.</w:t>
      </w:r>
    </w:p>
    <w:p w14:paraId="44723E61"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процессе правового обеспечения деятельности Приднестровского республиканского банка рассматривались и направлялись в различные органы и организации письма разъяснительного характера и правовые заключения по вопросам, связанным с банковским законодательством, законодательством в сфере страхового дела, </w:t>
      </w:r>
      <w:r>
        <w:rPr>
          <w:rFonts w:ascii="Times New Roman" w:hAnsi="Times New Roman" w:cs="Times New Roman"/>
          <w:sz w:val="24"/>
          <w:szCs w:val="24"/>
        </w:rPr>
        <w:t xml:space="preserve">расчётов наличными денежными средствами, </w:t>
      </w:r>
      <w:r w:rsidRPr="00170B9B">
        <w:rPr>
          <w:rFonts w:ascii="Times New Roman" w:hAnsi="Times New Roman" w:cs="Times New Roman"/>
          <w:sz w:val="24"/>
          <w:szCs w:val="24"/>
        </w:rPr>
        <w:t xml:space="preserve">в том числе и по вопросам применения положений нормативных актов центрального банка. </w:t>
      </w:r>
    </w:p>
    <w:p w14:paraId="6DCFE0D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Сотрудники Приднестровского республиканского банка взаимодействовали с представителями Министерства экономического развития Приднестровской Молдавской Республики, Министерства финансов Приднестровской Молдавской Республики, Министерства юстиции Приднестровской Молдавской Республики, Государственной службы статистики Приднестровской Молдавской Республики, кредитных и страховых организаций по вопросам бухгалтерского учёта, бухгалтерской (финансовой) и статистической отчётности.</w:t>
      </w:r>
    </w:p>
    <w:p w14:paraId="5AF14429" w14:textId="5115B5B5"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Кроме того, по поручениям Президента Приднестровской Молдавской Республики проводилась работа с обращениями граждан. </w:t>
      </w:r>
    </w:p>
    <w:p w14:paraId="0DCC90AC" w14:textId="20142921" w:rsidR="00A236B2" w:rsidRDefault="00A236B2" w:rsidP="00A95862">
      <w:pPr>
        <w:spacing w:before="0" w:after="0" w:line="240" w:lineRule="auto"/>
        <w:ind w:firstLine="425"/>
        <w:jc w:val="both"/>
        <w:rPr>
          <w:rFonts w:ascii="Times New Roman" w:hAnsi="Times New Roman" w:cs="Times New Roman"/>
          <w:sz w:val="24"/>
          <w:szCs w:val="24"/>
        </w:rPr>
      </w:pPr>
    </w:p>
    <w:p w14:paraId="407A8751" w14:textId="77777777" w:rsidR="00B55541" w:rsidRDefault="00B55541" w:rsidP="00A95862">
      <w:pPr>
        <w:spacing w:before="0" w:after="0" w:line="240" w:lineRule="auto"/>
        <w:ind w:firstLine="425"/>
        <w:jc w:val="both"/>
        <w:rPr>
          <w:rFonts w:ascii="Times New Roman" w:hAnsi="Times New Roman" w:cs="Times New Roman"/>
          <w:sz w:val="24"/>
          <w:szCs w:val="24"/>
        </w:rPr>
      </w:pPr>
    </w:p>
    <w:p w14:paraId="213C1997" w14:textId="77777777" w:rsidR="00A95862" w:rsidRPr="00520705" w:rsidRDefault="00A95862" w:rsidP="00A95862">
      <w:pPr>
        <w:pStyle w:val="1"/>
        <w:widowControl w:val="0"/>
        <w:spacing w:before="0" w:line="240" w:lineRule="auto"/>
        <w:rPr>
          <w:b/>
          <w:bCs/>
          <w:noProof/>
          <w:sz w:val="24"/>
          <w:szCs w:val="24"/>
        </w:rPr>
      </w:pPr>
      <w:r w:rsidRPr="00520705">
        <w:rPr>
          <w:b/>
          <w:bCs/>
          <w:noProof/>
          <w:sz w:val="24"/>
          <w:szCs w:val="24"/>
        </w:rPr>
        <w:t>2.10. ОРГАНИЗАЦИЯ ВНУТРЕННЕЙ ДЕЯТЕЛЬНОСТИ ПРИДНЕСТРОВСКОГО РЕСПУБЛИКАНСКОГО БАНКА</w:t>
      </w:r>
    </w:p>
    <w:p w14:paraId="19AE6C8E" w14:textId="2558886B" w:rsidR="00A95862" w:rsidRDefault="00A95862" w:rsidP="00A95862">
      <w:pPr>
        <w:spacing w:before="0" w:after="0" w:line="240" w:lineRule="auto"/>
        <w:ind w:firstLine="425"/>
        <w:jc w:val="both"/>
        <w:rPr>
          <w:rFonts w:ascii="Times New Roman" w:hAnsi="Times New Roman" w:cs="Times New Roman"/>
          <w:i/>
          <w:iCs/>
          <w:sz w:val="24"/>
          <w:szCs w:val="24"/>
        </w:rPr>
      </w:pPr>
    </w:p>
    <w:p w14:paraId="507634C1" w14:textId="77777777" w:rsidR="00FE3A7F" w:rsidRDefault="00FE3A7F" w:rsidP="00A95862">
      <w:pPr>
        <w:spacing w:before="0" w:after="0" w:line="240" w:lineRule="auto"/>
        <w:ind w:firstLine="425"/>
        <w:jc w:val="both"/>
        <w:rPr>
          <w:rFonts w:ascii="Times New Roman" w:hAnsi="Times New Roman" w:cs="Times New Roman"/>
          <w:i/>
          <w:iCs/>
          <w:sz w:val="24"/>
          <w:szCs w:val="24"/>
        </w:rPr>
      </w:pPr>
    </w:p>
    <w:p w14:paraId="53874DFD" w14:textId="77777777" w:rsidR="00A95862" w:rsidRPr="00671A29" w:rsidRDefault="00A95862" w:rsidP="00A95862">
      <w:pPr>
        <w:pStyle w:val="2"/>
        <w:spacing w:before="0" w:line="240" w:lineRule="auto"/>
        <w:rPr>
          <w:b/>
          <w:noProof/>
        </w:rPr>
      </w:pPr>
      <w:r w:rsidRPr="00671A29">
        <w:rPr>
          <w:b/>
          <w:noProof/>
        </w:rPr>
        <w:t>Организационная структура банка, кадровое обеспечение и обучение персонала</w:t>
      </w:r>
    </w:p>
    <w:p w14:paraId="08C7CAEA"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73C02AF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Основными задачами в области управления персоналом Приднестровского республиканского банка являются осуществление кадрового обеспечения деятельности банка, организация труда, контроль соблюдения правил внутреннего трудового распорядка, формирование профессионального кадрового состава. </w:t>
      </w:r>
    </w:p>
    <w:p w14:paraId="2E3DACF6"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течение 2019 года проводились мероприятия по укомплектованию штата квалифицированными кадрами, с целью более рационального выполнения задач и функций, возложенных на Приднестровский республиканский банк, продолжалась работа по совершенствованию организационной структуры банка, планомерному реформированию структурных подразделений. Таким образом, на 1 января 2020 года в организационную структуру банка входило 10 управлений и 5 отделов прямого подчинения: </w:t>
      </w:r>
    </w:p>
    <w:p w14:paraId="0F2121D3"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Управление макроэкономического анализа и регулирования денежного обращения;</w:t>
      </w:r>
    </w:p>
    <w:p w14:paraId="051B67EF"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банковского надзора и регулирования деятельности финансовых организаций; </w:t>
      </w:r>
    </w:p>
    <w:p w14:paraId="076EEBDB"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валютного регулирования и контроля; </w:t>
      </w:r>
    </w:p>
    <w:p w14:paraId="455AF498"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операций на финансовых рынках; </w:t>
      </w:r>
    </w:p>
    <w:p w14:paraId="4D66425C"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информационных технологий; </w:t>
      </w:r>
    </w:p>
    <w:p w14:paraId="670CA6C6"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методологии бухгалтерского учёта контроля и отчётности; </w:t>
      </w:r>
    </w:p>
    <w:p w14:paraId="6B66F496"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Правовое управление; </w:t>
      </w:r>
    </w:p>
    <w:p w14:paraId="67C20597"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бухгалтерского учёта; </w:t>
      </w:r>
    </w:p>
    <w:p w14:paraId="195D6FAA"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Операционное управление; </w:t>
      </w:r>
    </w:p>
    <w:p w14:paraId="30917F43"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Управление безопасности; </w:t>
      </w:r>
    </w:p>
    <w:p w14:paraId="58CBF126"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Отдел обеспечения производства денежных знаков; </w:t>
      </w:r>
    </w:p>
    <w:p w14:paraId="22EF2768"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lastRenderedPageBreak/>
        <w:t xml:space="preserve">Отдел контроля и внутрибанковского аудита; </w:t>
      </w:r>
    </w:p>
    <w:p w14:paraId="4BC78A23"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Отдел оценки рисков; </w:t>
      </w:r>
    </w:p>
    <w:p w14:paraId="410B33E3"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Отдел финансового мониторинга; </w:t>
      </w:r>
    </w:p>
    <w:p w14:paraId="65D256C4" w14:textId="77777777" w:rsidR="00A95862" w:rsidRPr="00170B9B" w:rsidRDefault="00A95862" w:rsidP="00A95862">
      <w:pPr>
        <w:numPr>
          <w:ilvl w:val="0"/>
          <w:numId w:val="17"/>
        </w:numPr>
        <w:spacing w:before="0" w:after="0" w:line="240" w:lineRule="auto"/>
        <w:jc w:val="both"/>
        <w:rPr>
          <w:rFonts w:ascii="Times New Roman" w:hAnsi="Times New Roman" w:cs="Times New Roman"/>
          <w:sz w:val="24"/>
          <w:szCs w:val="24"/>
        </w:rPr>
      </w:pPr>
      <w:r w:rsidRPr="00170B9B">
        <w:rPr>
          <w:rFonts w:ascii="Times New Roman" w:hAnsi="Times New Roman" w:cs="Times New Roman"/>
          <w:sz w:val="24"/>
          <w:szCs w:val="24"/>
        </w:rPr>
        <w:t xml:space="preserve">Отдел управления персоналом и документационного обеспечения. </w:t>
      </w:r>
    </w:p>
    <w:p w14:paraId="51578C19"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2019 году приоритетными направлениями в работе с персоналом были: </w:t>
      </w:r>
    </w:p>
    <w:p w14:paraId="26A66E5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sym w:font="Symbol" w:char="F02D"/>
      </w:r>
      <w:r w:rsidRPr="00170B9B">
        <w:rPr>
          <w:rFonts w:ascii="Times New Roman" w:hAnsi="Times New Roman" w:cs="Times New Roman"/>
          <w:sz w:val="24"/>
          <w:szCs w:val="24"/>
        </w:rPr>
        <w:t xml:space="preserve"> оптимизация кадрового состава структурных подразделений банка; </w:t>
      </w:r>
    </w:p>
    <w:p w14:paraId="59E35EC9"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sym w:font="Symbol" w:char="F02D"/>
      </w:r>
      <w:r w:rsidRPr="00170B9B">
        <w:rPr>
          <w:rFonts w:ascii="Times New Roman" w:hAnsi="Times New Roman" w:cs="Times New Roman"/>
          <w:sz w:val="24"/>
          <w:szCs w:val="24"/>
        </w:rPr>
        <w:t xml:space="preserve"> расстановка персонала с учётом профессионализма и личностного потенциала работников; </w:t>
      </w:r>
    </w:p>
    <w:p w14:paraId="10C0157D" w14:textId="77777777" w:rsidR="00A236B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sym w:font="Symbol" w:char="F02D"/>
      </w:r>
      <w:r w:rsidRPr="00170B9B">
        <w:rPr>
          <w:rFonts w:ascii="Times New Roman" w:hAnsi="Times New Roman" w:cs="Times New Roman"/>
          <w:sz w:val="24"/>
          <w:szCs w:val="24"/>
        </w:rPr>
        <w:t xml:space="preserve"> совершенствование организационно-управленческой деятельности в подразделениях;</w:t>
      </w:r>
    </w:p>
    <w:p w14:paraId="15BC9A89" w14:textId="77777777" w:rsidR="00A236B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sym w:font="Symbol" w:char="F02D"/>
      </w:r>
      <w:r w:rsidRPr="00170B9B">
        <w:rPr>
          <w:rFonts w:ascii="Times New Roman" w:hAnsi="Times New Roman" w:cs="Times New Roman"/>
          <w:sz w:val="24"/>
          <w:szCs w:val="24"/>
        </w:rPr>
        <w:t xml:space="preserve"> разработка и совершенствование организационной структуры, её оптимизация;</w:t>
      </w:r>
    </w:p>
    <w:p w14:paraId="02B82FCC" w14:textId="68FB8F7D"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sym w:font="Symbol" w:char="F02D"/>
      </w:r>
      <w:r w:rsidRPr="00170B9B">
        <w:rPr>
          <w:rFonts w:ascii="Times New Roman" w:hAnsi="Times New Roman" w:cs="Times New Roman"/>
          <w:sz w:val="24"/>
          <w:szCs w:val="24"/>
        </w:rPr>
        <w:t xml:space="preserve"> повышение эффективности труда. </w:t>
      </w:r>
    </w:p>
    <w:p w14:paraId="6F0E525D"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Общая численность работающих в Приднестровском республиканском банке на 1 января 2020 года составила 185 человек. У 19 % сотрудников стаж работы в банке составляет более 20 лет, у 11% – от 15 до 20 лет, у 25 % – от 10 до 15 лет, у 19 % – от 5 до 10 лет и у 26 % – менее 5 лет.</w:t>
      </w:r>
    </w:p>
    <w:p w14:paraId="137AAEE7" w14:textId="77777777" w:rsidR="00C60516" w:rsidRPr="00170B9B" w:rsidRDefault="00C60516" w:rsidP="00A95862">
      <w:pPr>
        <w:spacing w:before="0" w:after="0" w:line="240" w:lineRule="auto"/>
        <w:ind w:firstLine="425"/>
        <w:jc w:val="both"/>
        <w:rPr>
          <w:rFonts w:ascii="Times New Roman" w:hAnsi="Times New Roman" w:cs="Times New Roman"/>
          <w:sz w:val="24"/>
          <w:szCs w:val="24"/>
        </w:rPr>
      </w:pPr>
    </w:p>
    <w:p w14:paraId="64949AB9" w14:textId="77777777" w:rsidR="00A95862" w:rsidRPr="00671A29" w:rsidRDefault="00A95862" w:rsidP="00A95862">
      <w:pPr>
        <w:pStyle w:val="2"/>
        <w:spacing w:before="0" w:line="240" w:lineRule="auto"/>
        <w:rPr>
          <w:b/>
          <w:noProof/>
        </w:rPr>
      </w:pPr>
      <w:r w:rsidRPr="00671A29">
        <w:rPr>
          <w:b/>
          <w:noProof/>
        </w:rPr>
        <w:t>Техническое обеспечение</w:t>
      </w:r>
    </w:p>
    <w:p w14:paraId="34009E00"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16BA23F8"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специалистами Приднестровского республиканского банка был провед</w:t>
      </w:r>
      <w:r>
        <w:rPr>
          <w:rFonts w:ascii="Times New Roman" w:hAnsi="Times New Roman" w:cs="Times New Roman"/>
          <w:sz w:val="24"/>
          <w:szCs w:val="24"/>
        </w:rPr>
        <w:t>ё</w:t>
      </w:r>
      <w:r w:rsidRPr="00170B9B">
        <w:rPr>
          <w:rFonts w:ascii="Times New Roman" w:hAnsi="Times New Roman" w:cs="Times New Roman"/>
          <w:sz w:val="24"/>
          <w:szCs w:val="24"/>
        </w:rPr>
        <w:t>н ряд мероприятий, направленных на повышени</w:t>
      </w:r>
      <w:r>
        <w:rPr>
          <w:rFonts w:ascii="Times New Roman" w:hAnsi="Times New Roman" w:cs="Times New Roman"/>
          <w:sz w:val="24"/>
          <w:szCs w:val="24"/>
        </w:rPr>
        <w:t>е</w:t>
      </w:r>
      <w:r w:rsidRPr="00170B9B">
        <w:rPr>
          <w:rFonts w:ascii="Times New Roman" w:hAnsi="Times New Roman" w:cs="Times New Roman"/>
          <w:sz w:val="24"/>
          <w:szCs w:val="24"/>
        </w:rPr>
        <w:t xml:space="preserve"> уровня качества технического обеспечения банка.</w:t>
      </w:r>
    </w:p>
    <w:p w14:paraId="7E029CE2" w14:textId="643B31FA"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рамках исполнения Программы модернизации сетевой и информационной инфраструктуры </w:t>
      </w:r>
      <w:r w:rsidR="00477E9B" w:rsidRPr="00AD420D">
        <w:rPr>
          <w:rFonts w:ascii="Times New Roman" w:hAnsi="Times New Roman" w:cs="Times New Roman"/>
          <w:sz w:val="24"/>
          <w:szCs w:val="24"/>
        </w:rPr>
        <w:t>П</w:t>
      </w:r>
      <w:r w:rsidR="00477E9B">
        <w:rPr>
          <w:rFonts w:ascii="Times New Roman" w:hAnsi="Times New Roman" w:cs="Times New Roman"/>
          <w:sz w:val="24"/>
          <w:szCs w:val="24"/>
        </w:rPr>
        <w:t>риднестровского республиканского банка</w:t>
      </w:r>
      <w:r w:rsidRPr="00170B9B">
        <w:rPr>
          <w:rFonts w:ascii="Times New Roman" w:hAnsi="Times New Roman" w:cs="Times New Roman"/>
          <w:sz w:val="24"/>
          <w:szCs w:val="24"/>
        </w:rPr>
        <w:t xml:space="preserve"> (далее – программа), разработанной</w:t>
      </w:r>
      <w:r>
        <w:rPr>
          <w:rFonts w:ascii="Times New Roman" w:hAnsi="Times New Roman" w:cs="Times New Roman"/>
          <w:sz w:val="24"/>
          <w:szCs w:val="24"/>
        </w:rPr>
        <w:t xml:space="preserve"> </w:t>
      </w:r>
      <w:r w:rsidRPr="00170B9B">
        <w:rPr>
          <w:rFonts w:ascii="Times New Roman" w:hAnsi="Times New Roman" w:cs="Times New Roman"/>
          <w:sz w:val="24"/>
          <w:szCs w:val="24"/>
        </w:rPr>
        <w:t>на 2017-2019 гг., проведены работы по введению в эксплуатацию нового серверного оборудования, которое позволило обеспечить банк техническим ресурсом, необходимым для дальнейшего развития и масштабирования информационной системы. Реализация данной программы позволил</w:t>
      </w:r>
      <w:r>
        <w:rPr>
          <w:rFonts w:ascii="Times New Roman" w:hAnsi="Times New Roman" w:cs="Times New Roman"/>
          <w:sz w:val="24"/>
          <w:szCs w:val="24"/>
        </w:rPr>
        <w:t>а</w:t>
      </w:r>
      <w:r w:rsidRPr="00170B9B">
        <w:rPr>
          <w:rFonts w:ascii="Times New Roman" w:hAnsi="Times New Roman" w:cs="Times New Roman"/>
          <w:sz w:val="24"/>
          <w:szCs w:val="24"/>
        </w:rPr>
        <w:t xml:space="preserve"> заменить серверное и коммутационное оборудование, которое физически и морально устарело.</w:t>
      </w:r>
    </w:p>
    <w:p w14:paraId="4549885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течение 2019 года с целью повышения доступности и отказоустойчивости сервисов информационной системы банка проводились работы по модернизации программного обеспечения.</w:t>
      </w:r>
    </w:p>
    <w:p w14:paraId="3100E77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части мероприятий по созданию подсистемы резервного копирования информационных ресурсов банков был реализован этап, связанный с территориальным разнесением резервных копий информационных ресурсов банка. Также в рамках поставленной задачи достигнуто повышение надёжности хранения информации и минимизации рисков её потери.</w:t>
      </w:r>
    </w:p>
    <w:p w14:paraId="0ABBD8D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Проводимые в 2019 году плановые мероприятия по модернизации ядра программного комплекса «Банк-Клиент» позволили значительно сократить время обработки банком электронного платёжного документа, созданного клиентом в подсистеме «Банк-Клиент».</w:t>
      </w:r>
    </w:p>
    <w:p w14:paraId="637A23BE" w14:textId="77777777" w:rsidR="00A95862" w:rsidRPr="007D1E7F"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За счёт проводимой модернизации программного комплекса </w:t>
      </w:r>
      <w:r w:rsidRPr="007D1E7F">
        <w:rPr>
          <w:rFonts w:ascii="Times New Roman" w:hAnsi="Times New Roman" w:cs="Times New Roman"/>
          <w:sz w:val="24"/>
          <w:szCs w:val="24"/>
        </w:rPr>
        <w:t>автоматизированной банк</w:t>
      </w:r>
      <w:r>
        <w:rPr>
          <w:rFonts w:ascii="Times New Roman" w:hAnsi="Times New Roman" w:cs="Times New Roman"/>
          <w:sz w:val="24"/>
          <w:szCs w:val="24"/>
        </w:rPr>
        <w:t>овской</w:t>
      </w:r>
      <w:r w:rsidRPr="007D1E7F">
        <w:rPr>
          <w:rFonts w:ascii="Times New Roman" w:hAnsi="Times New Roman" w:cs="Times New Roman"/>
          <w:sz w:val="24"/>
          <w:szCs w:val="24"/>
        </w:rPr>
        <w:t xml:space="preserve"> системы (АБС</w:t>
      </w:r>
      <w:r>
        <w:rPr>
          <w:rFonts w:ascii="Times New Roman" w:hAnsi="Times New Roman" w:cs="Times New Roman"/>
          <w:sz w:val="24"/>
          <w:szCs w:val="24"/>
        </w:rPr>
        <w:t>)</w:t>
      </w:r>
      <w:r w:rsidRPr="00170B9B">
        <w:rPr>
          <w:rFonts w:ascii="Times New Roman" w:hAnsi="Times New Roman" w:cs="Times New Roman"/>
          <w:sz w:val="24"/>
          <w:szCs w:val="24"/>
        </w:rPr>
        <w:t xml:space="preserve"> появилась возможность использовать современные методы анализа данных для срезов банковской статистики и внутренней отчётности банка.</w:t>
      </w:r>
      <w:r w:rsidRPr="007D1E7F">
        <w:rPr>
          <w:rFonts w:ascii="Times New Roman" w:hAnsi="Times New Roman" w:cs="Times New Roman"/>
          <w:sz w:val="24"/>
          <w:szCs w:val="24"/>
        </w:rPr>
        <w:t xml:space="preserve"> </w:t>
      </w:r>
    </w:p>
    <w:p w14:paraId="5FBA0AFC" w14:textId="77777777" w:rsidR="00A95862" w:rsidRPr="007D1E7F" w:rsidRDefault="00A95862" w:rsidP="00A95862">
      <w:pPr>
        <w:spacing w:before="0" w:after="0" w:line="240" w:lineRule="auto"/>
        <w:ind w:firstLine="425"/>
        <w:jc w:val="both"/>
        <w:rPr>
          <w:rFonts w:ascii="Times New Roman" w:hAnsi="Times New Roman" w:cs="Times New Roman"/>
          <w:sz w:val="24"/>
          <w:szCs w:val="24"/>
        </w:rPr>
      </w:pPr>
    </w:p>
    <w:p w14:paraId="7F445303" w14:textId="77777777" w:rsidR="00A95862" w:rsidRPr="00300048" w:rsidRDefault="00A95862" w:rsidP="00A95862">
      <w:pPr>
        <w:pStyle w:val="2"/>
        <w:spacing w:before="0" w:line="240" w:lineRule="auto"/>
        <w:rPr>
          <w:b/>
          <w:noProof/>
        </w:rPr>
      </w:pPr>
      <w:r w:rsidRPr="00300048">
        <w:rPr>
          <w:b/>
          <w:noProof/>
        </w:rPr>
        <w:t>Совершенствование законодательства. Претензионно-исковая работа</w:t>
      </w:r>
    </w:p>
    <w:p w14:paraId="7B31A8C0" w14:textId="77777777" w:rsidR="00A95862" w:rsidRDefault="00A95862" w:rsidP="00A95862">
      <w:pPr>
        <w:spacing w:before="0" w:after="0" w:line="240" w:lineRule="auto"/>
        <w:ind w:firstLine="425"/>
        <w:jc w:val="both"/>
        <w:rPr>
          <w:rFonts w:ascii="Times New Roman" w:hAnsi="Times New Roman" w:cs="Times New Roman"/>
          <w:bCs/>
          <w:sz w:val="24"/>
          <w:szCs w:val="24"/>
        </w:rPr>
      </w:pPr>
    </w:p>
    <w:p w14:paraId="3B23C7F5"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 xml:space="preserve">В целях правового обеспечения деятельности в 2019 году Приднестровским республиканским банком проводилась работа по совершенствованию законодательства в области валютного регулирования и валютного контроля, в сфере регулирования и надзора кредитных и страховых организаций, в сфере регулирования наличного денежного обращения </w:t>
      </w:r>
      <w:r w:rsidRPr="00170B9B">
        <w:rPr>
          <w:rFonts w:ascii="Times New Roman" w:hAnsi="Times New Roman" w:cs="Times New Roman"/>
          <w:bCs/>
          <w:sz w:val="24"/>
          <w:szCs w:val="24"/>
        </w:rPr>
        <w:lastRenderedPageBreak/>
        <w:t>и порядка проведения кассовых операций, в сфере противодействия легализации (отмыванию) доходов, полученных преступным путём, и финансированию терроризма, в сфере бухгалтерского учёта и отчётности, банковской статистики и отчётности</w:t>
      </w:r>
    </w:p>
    <w:p w14:paraId="66BAE5B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Проводимые мероприятия выражались в разработке законодательных актов, в подготовке правовых заключений на законодательные акты, затрагивающие перечисленные сферы, а также в принятии новых нормативных актов Приднестровского республиканского банка. </w:t>
      </w:r>
    </w:p>
    <w:p w14:paraId="2B0C2E12"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 xml:space="preserve">В 2019 году работа по совершенствованию валютного законодательства осуществлялась посредством участия в разработке законодательных актов, а также нормативных актов Приднестровского республиканского банка. Согласно Закону Приднестровской Молдавской Республики от 10 октября 2019 года № 180-ЗИД-VI «О внесении изменений и дополнений в некоторые законодательные акты Приднестровской Молдавской Республики», был изменён резидентский статус филиалов, постоянных представительств и других обособленных или самостоятельных структурных подразделений нерезидентов. Нормами данного Закона центральному банку также предоставлены полномочия по разработке и утверждению положения о лицензировании деятельности по реализации физическим лицам товаров, работ, услуг за наличную и (или) безналичную иностранную валюту, в том числе с использованием банковских (платёжных) карт на территории Приднестровской Молдавской Республики. </w:t>
      </w:r>
    </w:p>
    <w:p w14:paraId="0D503B0A"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В части полномочий, установленных Законом Приднестровской Молдавской Республики от 1 ноября 2019 года № 198-ЗИД-VI «О внесении изменений и дополнения в Закон Приднестровской Молдавской Республики «О валютном регулировании и валютном контроле», нормативный акт Приднестровского республиканского банка, регулирующий отдельные операции с наличной иностранной валютой, при расчётах по внешнеэкономическим сделкам без заключения внешнеэкономических контрактов, дополнен нормой об оплате в установленном порядке транспортно-экспедиционных услуг.</w:t>
      </w:r>
    </w:p>
    <w:p w14:paraId="59F5A195"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 xml:space="preserve">Деятельность Приднестровского республиканского банка в части совершенствования бухгалтерского учёта и финансовой отчётности была направлена как на оптимизацию действующих, так и на разработку новых нормативных актов, регулирующих данную сферу. Приоритетным направлением являлась подготовка нормативной базы в части совершенствования бухгалтерского учёта и финансовой отчётности страховых организаций Приднестровской Молдавской Республики. </w:t>
      </w:r>
    </w:p>
    <w:p w14:paraId="3F44BEC0" w14:textId="77777777" w:rsidR="00A95862" w:rsidRPr="00170B9B" w:rsidRDefault="00A95862" w:rsidP="00A95862">
      <w:pPr>
        <w:spacing w:before="0" w:after="0" w:line="240" w:lineRule="auto"/>
        <w:ind w:firstLine="425"/>
        <w:jc w:val="both"/>
        <w:rPr>
          <w:rFonts w:ascii="Times New Roman" w:hAnsi="Times New Roman" w:cs="Times New Roman"/>
          <w:bCs/>
          <w:sz w:val="24"/>
          <w:szCs w:val="24"/>
        </w:rPr>
      </w:pPr>
      <w:r w:rsidRPr="00170B9B">
        <w:rPr>
          <w:rFonts w:ascii="Times New Roman" w:hAnsi="Times New Roman" w:cs="Times New Roman"/>
          <w:bCs/>
          <w:sz w:val="24"/>
          <w:szCs w:val="24"/>
        </w:rPr>
        <w:t>В отчётном году также осуществлялась работа по совершенствованию методологической базы по бухгалтерскому учёту и финансовой отчётности как кредитных организаций, так и Приднестровского республиканского банка. Подготовка данных нормативных актов осуществлялась во взаимодействии с банковским сообществом. Приднестровским республиканским банком было подготовлено 12 нормативных актов, касающихся совершенствования Плана счетов кредитных организаций, правил ведения бухгалтерского учёта, порядка проведения кассовых операций (в том числе Приднестровского республиканского банка).</w:t>
      </w:r>
    </w:p>
    <w:p w14:paraId="4B569BA0"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Всего за отчётный год Приднестровским республиканским банком было разработано и (или) согласовано 28 проектов Распоряжений Правительства Приднестровской Молдавской Республики, 1 проект Закона Приднестровской Молдавской Республики, 4 проекта Указа Президента Приднестровской Молдавской Республики, 3 проекта Распоряжения Президента Приднестровской Молдавской Республики, 11 проектов Постановлений Правительства Приднестровской Молдавской Республики.</w:t>
      </w:r>
    </w:p>
    <w:p w14:paraId="549D14BA"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Приднестровский республиканский банк принимал участие в двух судебных процессах. В части одного из них заявление Приднестровского республиканского банка было удовлетворено в полном объёме.</w:t>
      </w:r>
    </w:p>
    <w:p w14:paraId="293107F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590BC495" w14:textId="77777777" w:rsidR="00A95862" w:rsidRPr="00A162E3" w:rsidRDefault="00A95862" w:rsidP="00A95862">
      <w:pPr>
        <w:pStyle w:val="2"/>
        <w:spacing w:before="0" w:line="240" w:lineRule="auto"/>
        <w:rPr>
          <w:b/>
          <w:noProof/>
        </w:rPr>
      </w:pPr>
      <w:r w:rsidRPr="00A162E3">
        <w:rPr>
          <w:b/>
          <w:noProof/>
        </w:rPr>
        <w:lastRenderedPageBreak/>
        <w:t>Управление рисками банковских операций</w:t>
      </w:r>
    </w:p>
    <w:p w14:paraId="33815BE6"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04AF633F"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2019 году Приднестровским республиканским банком проводилась работа по совершенствованию методики определения финансового положения банков-нерезидентов на базе присвоения рейтинговой оценки, являющаяся основой финансирования риска на межбанковские операции Приднестровского республиканского банка, в соответствии с нормативным актом, регламентирующий порядок формирования (восстановления) и использования Приднестровским республиканским банком резервов на возможные потери. </w:t>
      </w:r>
    </w:p>
    <w:p w14:paraId="577F0F73" w14:textId="6042C01A"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Банк также продолжал использовать методику определения и установления лимитов на межбанковские операции в качестве инструмента ограничения (снижения</w:t>
      </w:r>
      <w:r w:rsidR="00694059">
        <w:rPr>
          <w:rFonts w:ascii="Times New Roman" w:hAnsi="Times New Roman" w:cs="Times New Roman"/>
          <w:sz w:val="24"/>
          <w:szCs w:val="24"/>
        </w:rPr>
        <w:t>) уровня</w:t>
      </w:r>
      <w:r w:rsidRPr="00170B9B">
        <w:rPr>
          <w:rFonts w:ascii="Times New Roman" w:hAnsi="Times New Roman" w:cs="Times New Roman"/>
          <w:sz w:val="24"/>
          <w:szCs w:val="24"/>
        </w:rPr>
        <w:t xml:space="preserve"> риска. </w:t>
      </w:r>
    </w:p>
    <w:p w14:paraId="7BD08E0B" w14:textId="77777777" w:rsidR="001D426F" w:rsidRDefault="001D426F" w:rsidP="00A95862">
      <w:pPr>
        <w:spacing w:before="0" w:after="0" w:line="240" w:lineRule="auto"/>
        <w:ind w:firstLine="425"/>
        <w:jc w:val="both"/>
        <w:rPr>
          <w:rFonts w:ascii="Times New Roman" w:hAnsi="Times New Roman" w:cs="Times New Roman"/>
          <w:sz w:val="24"/>
          <w:szCs w:val="24"/>
        </w:rPr>
      </w:pPr>
    </w:p>
    <w:p w14:paraId="1D7BED48" w14:textId="77777777" w:rsidR="00A95862" w:rsidRPr="00300048" w:rsidRDefault="00A95862" w:rsidP="00A95862">
      <w:pPr>
        <w:pStyle w:val="2"/>
        <w:spacing w:before="0" w:line="240" w:lineRule="auto"/>
        <w:rPr>
          <w:b/>
          <w:noProof/>
        </w:rPr>
      </w:pPr>
      <w:r w:rsidRPr="00300048">
        <w:rPr>
          <w:b/>
          <w:noProof/>
        </w:rPr>
        <w:t>Контроль и внутренний аудит</w:t>
      </w:r>
    </w:p>
    <w:p w14:paraId="364A9C2D"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67564CF4" w14:textId="77777777" w:rsidR="00A95862" w:rsidRPr="00170B9B" w:rsidRDefault="00A95862" w:rsidP="001D426F">
      <w:pPr>
        <w:widowControl w:val="0"/>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система внутреннего контроля и аудита была ориентирована на содействие эффективной реализации целей и выполнение функций Приднестровского республиканского банка посредством предоставления руководству банка независимой и объективной информации о деятельности банка и рекомендаций по результатам осуществления аудиторских проверок.</w:t>
      </w:r>
    </w:p>
    <w:p w14:paraId="74D307F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ходе проведения внутреннего аудита акцентировалось внимание на выявление потенциальных рисков и системных проблем в работе банка.</w:t>
      </w:r>
    </w:p>
    <w:p w14:paraId="5EE5EBC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течение отчётного года было проведено 12 плановых тематических проверок по различным направлениям деятельности банка. Объектами аудита являлись структурные подразделения банка, комиссия по оценке брака денежных знаков для реализации в нумизматических целях, инвентаризационная комиссия, годовая финансовая отчётность, отчёт об исполнении сметы доходов и расходов (в составе годового отчёта Приднестровского республиканского банка за 2018 год).</w:t>
      </w:r>
    </w:p>
    <w:p w14:paraId="3592B86A"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Внутреннему аудиту подвергались вопросы обеспечения функционирования Приднестровского республиканского банка, в том числе достоверности бухгалтерского и налогового учёта, управления имуществом банка, управления документационным обеспечением, реализации функций Приднестровского республиканского банка в сфере валютного контроля, противодействия легализации (отмыванию) доходов, полученных преступным путём, и финансированию терроризма.</w:t>
      </w:r>
    </w:p>
    <w:p w14:paraId="58B977CC" w14:textId="02C57AEA"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отчётном периоде была проведена проверка отдельных направлений деятельности </w:t>
      </w:r>
      <w:r w:rsidR="00477E9B">
        <w:rPr>
          <w:rFonts w:ascii="Times New Roman" w:hAnsi="Times New Roman" w:cs="Times New Roman"/>
          <w:sz w:val="24"/>
          <w:szCs w:val="24"/>
        </w:rPr>
        <w:br/>
      </w:r>
      <w:r w:rsidRPr="00170B9B">
        <w:rPr>
          <w:rFonts w:ascii="Times New Roman" w:hAnsi="Times New Roman" w:cs="Times New Roman"/>
          <w:sz w:val="24"/>
          <w:szCs w:val="24"/>
        </w:rPr>
        <w:t>ЗАО «Приднестровский Сберегательный банк», комиссии по проверке состояния пожарной безопасности в Приднестровском республиканском банке, а также осуществлялось сопровождение внедрения процессного подхода и электронного документооборота в Приднестровском республиканском банке.</w:t>
      </w:r>
    </w:p>
    <w:p w14:paraId="5E35BD47" w14:textId="7FF1634F" w:rsidR="00A95862" w:rsidRPr="00170B9B" w:rsidRDefault="00C60516"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Сотрудники </w:t>
      </w:r>
      <w:r w:rsidR="00A95862" w:rsidRPr="00170B9B">
        <w:rPr>
          <w:rFonts w:ascii="Times New Roman" w:hAnsi="Times New Roman" w:cs="Times New Roman"/>
          <w:sz w:val="24"/>
          <w:szCs w:val="24"/>
        </w:rPr>
        <w:t xml:space="preserve">отдела контроля и внутреннего аудита также принимали участие в работе ревизионной комиссии, осуществлявшей проверку отдельных направлений деятельности </w:t>
      </w:r>
      <w:r w:rsidR="00477E9B">
        <w:rPr>
          <w:rFonts w:ascii="Times New Roman" w:hAnsi="Times New Roman" w:cs="Times New Roman"/>
          <w:sz w:val="24"/>
          <w:szCs w:val="24"/>
        </w:rPr>
        <w:br/>
      </w:r>
      <w:r w:rsidR="00A95862" w:rsidRPr="00170B9B">
        <w:rPr>
          <w:rFonts w:ascii="Times New Roman" w:hAnsi="Times New Roman" w:cs="Times New Roman"/>
          <w:sz w:val="24"/>
          <w:szCs w:val="24"/>
        </w:rPr>
        <w:t>ЗАО «Приднестровский Сберегательный банк», комиссии по проверке состояния пожарной безопасности в Приднестровском республиканском банке, в составе рабочей группы осуществляли сопровождение внедрения процессного подхода и электронного документооборота в Приднестровском республиканском банке.</w:t>
      </w:r>
    </w:p>
    <w:p w14:paraId="4EAB2369"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Результаты внутреннего аудита в целом подтверждают выполнение объектами аудита возложенных на них функций и соблюдение требований законодательства Приднестровской Молдавской Республики, нормативных и иных актов Приднестровского республиканского банка, соответствие системы внутреннего контроля и управления рисками характеру совершаемых операций. </w:t>
      </w:r>
    </w:p>
    <w:p w14:paraId="167A4C16" w14:textId="1BB37B7A"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lastRenderedPageBreak/>
        <w:t>С учётом результатов аудиторских проверок и рекомендаций отдела контроля и внутрибанковского аудита в целях минимизации рисков в деятельности Приднестровского республиканского банка вносились изменения в нормативные акты, дорабатывалось программное обеспечение, оптимизировались организация работы структурных подразделений, система внутреннего контроля и управления рисками. Отделом осуществлялся контроль выполнения управленческих решений, принятых по результатам аудиторских проверок, и устранения выявленных нарушений и недостатков.</w:t>
      </w:r>
    </w:p>
    <w:p w14:paraId="0B5C98D9" w14:textId="77777777" w:rsidR="00105F0B" w:rsidRPr="00170B9B" w:rsidRDefault="00105F0B" w:rsidP="00A95862">
      <w:pPr>
        <w:spacing w:before="0" w:after="0" w:line="240" w:lineRule="auto"/>
        <w:ind w:firstLine="425"/>
        <w:jc w:val="both"/>
        <w:rPr>
          <w:rFonts w:ascii="Times New Roman" w:hAnsi="Times New Roman" w:cs="Times New Roman"/>
          <w:sz w:val="24"/>
          <w:szCs w:val="24"/>
        </w:rPr>
      </w:pPr>
    </w:p>
    <w:p w14:paraId="6CC5B2C5"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p>
    <w:p w14:paraId="7768140B" w14:textId="77777777" w:rsidR="00A95862" w:rsidRPr="00671A29" w:rsidRDefault="00A95862" w:rsidP="00A95862">
      <w:pPr>
        <w:pStyle w:val="2"/>
        <w:spacing w:before="0" w:line="240" w:lineRule="auto"/>
        <w:rPr>
          <w:b/>
          <w:noProof/>
        </w:rPr>
      </w:pPr>
      <w:r w:rsidRPr="00671A29">
        <w:rPr>
          <w:b/>
          <w:noProof/>
        </w:rPr>
        <w:t>Информационно-разъяснительная деятельность</w:t>
      </w:r>
    </w:p>
    <w:p w14:paraId="6ED5DA29" w14:textId="77777777" w:rsidR="00A95862" w:rsidRDefault="00A95862" w:rsidP="00A95862">
      <w:pPr>
        <w:spacing w:before="0" w:after="0" w:line="240" w:lineRule="auto"/>
        <w:ind w:firstLine="425"/>
        <w:jc w:val="both"/>
        <w:rPr>
          <w:rFonts w:ascii="Times New Roman" w:hAnsi="Times New Roman" w:cs="Times New Roman"/>
          <w:sz w:val="24"/>
          <w:szCs w:val="24"/>
        </w:rPr>
      </w:pPr>
    </w:p>
    <w:p w14:paraId="1D1F53F4" w14:textId="77777777" w:rsidR="00A95862" w:rsidRPr="00170B9B" w:rsidRDefault="00A95862" w:rsidP="00477E9B">
      <w:pPr>
        <w:widowControl w:val="0"/>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Для освещения деятельности Приднестровского республиканского банка в части реализации основных задач и функций в течение отчётного года проводилась большая информационно-разъяснительная работа, прежде всего, посредством размещения информации на официальном сайте банка. За 2019 год количество пресс-релизов и новост</w:t>
      </w:r>
      <w:r>
        <w:rPr>
          <w:rFonts w:ascii="Times New Roman" w:hAnsi="Times New Roman" w:cs="Times New Roman"/>
          <w:sz w:val="24"/>
          <w:szCs w:val="24"/>
        </w:rPr>
        <w:t>ных сообщений</w:t>
      </w:r>
      <w:r w:rsidRPr="00170B9B">
        <w:rPr>
          <w:rFonts w:ascii="Times New Roman" w:hAnsi="Times New Roman" w:cs="Times New Roman"/>
          <w:sz w:val="24"/>
          <w:szCs w:val="24"/>
        </w:rPr>
        <w:t xml:space="preserve"> превысило 270 публикаций.</w:t>
      </w:r>
    </w:p>
    <w:p w14:paraId="55E47142"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Отдельно проводилась активная работа совместно со средствами массовой информации по информированию общественности о деятельности Центрального банка. Более 25 пресс-релизов и информационных статей различной тематики были размещены в газете «Приднестровье», свыше 20 – на сайте информационного агентства «Новости Приднестровья». Руководство Приднестровского республиканского банка неоднократно принимало участие в качестве экспертов в передачах экономической тематики на «Первом Приднестровском телеканале» и «Телевидении свободного выбора», а также на «Радио 1».</w:t>
      </w:r>
    </w:p>
    <w:p w14:paraId="37D9E4F7"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2019 году Приднестровским республиканским банком освещались в средствах массовой информации вопросы развития безналичных расчётов путём публикаций информационных сообщений. Данная деятельность направлена на популяризацию использования в расчётах современных электронных платёжных инструментов и средств платежа, систем дистанционного банковского обслуживания.</w:t>
      </w:r>
    </w:p>
    <w:p w14:paraId="3D31B877" w14:textId="77777777" w:rsidR="00C60516" w:rsidRPr="00170B9B" w:rsidRDefault="00C60516" w:rsidP="00C60516">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Продолжилась публикация издания информационно-аналитического журнала «Вестник Приднестровского республиканского банка», в котором размещались наиболее актуальные и подробные аналитические материалы о состоянии и развитии банковской системы Приднестровской Молдавской Республики, денежно-кредитной сферы, отражалась ситуация в основных секторах экономики, публиковались результаты макроэкономических исследований, мониторинга предприятий республики, данные платёжного баланса, банковская статистика и другая обзорная информация.</w:t>
      </w:r>
    </w:p>
    <w:p w14:paraId="377E73D0"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Большая работа проводилась в сфере информирования как в печатных и электронных изданиях, так и на приднестровском телевидении о выпускаемых банком памятных монетах и банкнотах. Кроме того, для их популяризации на российском рынке продолжено сотрудничество с журналом «Водяной знак», выпускаемом при информационной поддержке Министерства финансов Российской Федерации, Банка России и ФГУП «Гознак», а также с российским нумизматическим порталом «Золотой червонец». </w:t>
      </w:r>
    </w:p>
    <w:p w14:paraId="092DD074"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отчётном году также продолжилось многолетнее сотрудничество Центрального банка Приднестровья с Каталогом «MRI Bankers` Guide to Foreign Currency Edition» (Института исследования денежных отношений и иностранных валют) г. Хьюстон (США). На его страницах регулярно публиковалась актуальная информация о монетах и банкнотах Приднестровской Молдавской Республики.</w:t>
      </w:r>
    </w:p>
    <w:p w14:paraId="3DA2961B" w14:textId="77777777" w:rsidR="00A95862" w:rsidRPr="00170B9B"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Традиционно проводился конкурс на лучшие эскизные проекты памятных монет. Для получения необходимых консультаций при разработке эскизов памятных монет и буклетов </w:t>
      </w:r>
      <w:r w:rsidRPr="00170B9B">
        <w:rPr>
          <w:rFonts w:ascii="Times New Roman" w:hAnsi="Times New Roman" w:cs="Times New Roman"/>
          <w:sz w:val="24"/>
          <w:szCs w:val="24"/>
        </w:rPr>
        <w:lastRenderedPageBreak/>
        <w:t xml:space="preserve">было инициировано сотрудничество с министерствами и ведомствами Приднестровской Молдавской Республики, Главами государственных администраций городов и районов, а также с общественными организациями республики и Тираспольско-Дубоссарской епархией. </w:t>
      </w:r>
    </w:p>
    <w:p w14:paraId="21656AD8" w14:textId="77777777" w:rsidR="00A95862" w:rsidRDefault="00A95862" w:rsidP="00A95862">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С целью анализа доступности финансовых услуг, предоставляемых в банковском секторе, а также страховыми компаниями Приднестровья, Центральный банк Приднестровской Молдавской Республики запустил в 2019 году дополнительный канал обратной связи. В случае возникновения необходимости получения консультации</w:t>
      </w:r>
      <w:r w:rsidR="00C60516">
        <w:rPr>
          <w:rFonts w:ascii="Times New Roman" w:hAnsi="Times New Roman" w:cs="Times New Roman"/>
          <w:sz w:val="24"/>
          <w:szCs w:val="24"/>
        </w:rPr>
        <w:t>,</w:t>
      </w:r>
      <w:r w:rsidRPr="00170B9B">
        <w:rPr>
          <w:rFonts w:ascii="Times New Roman" w:hAnsi="Times New Roman" w:cs="Times New Roman"/>
          <w:sz w:val="24"/>
          <w:szCs w:val="24"/>
        </w:rPr>
        <w:t xml:space="preserve"> подачи жалобы о предоставленной некачественной услуги банками или страховыми компаниями, навязывании дополнительных услуг, </w:t>
      </w:r>
      <w:r w:rsidR="00C60516">
        <w:rPr>
          <w:rFonts w:ascii="Times New Roman" w:hAnsi="Times New Roman" w:cs="Times New Roman"/>
          <w:sz w:val="24"/>
          <w:szCs w:val="24"/>
        </w:rPr>
        <w:t>либо</w:t>
      </w:r>
      <w:r w:rsidRPr="00170B9B">
        <w:rPr>
          <w:rFonts w:ascii="Times New Roman" w:hAnsi="Times New Roman" w:cs="Times New Roman"/>
          <w:sz w:val="24"/>
          <w:szCs w:val="24"/>
        </w:rPr>
        <w:t xml:space="preserve"> для пожеланий и рекомендаций, пользователи финансовых услуг для более оперативной обратной связи могут обращаться в Банк Приднестровья через мессенджеры Viber, Telegram, WhatsApp. </w:t>
      </w:r>
      <w:r w:rsidR="00C60516">
        <w:rPr>
          <w:rFonts w:ascii="Times New Roman" w:hAnsi="Times New Roman" w:cs="Times New Roman"/>
          <w:sz w:val="24"/>
          <w:szCs w:val="24"/>
        </w:rPr>
        <w:t>Кроме данного канала связи, любые заинтересованные лица могут обращаться в Приднестровский республиканский банк также посредством направления обращений на официальный электронный адрес.</w:t>
      </w:r>
    </w:p>
    <w:p w14:paraId="4AC09C90" w14:textId="77777777" w:rsidR="00A95862" w:rsidRPr="00E64B77" w:rsidRDefault="00A95862" w:rsidP="00A95862">
      <w:pPr>
        <w:spacing w:before="0" w:after="0" w:line="240" w:lineRule="auto"/>
        <w:ind w:firstLine="425"/>
        <w:jc w:val="both"/>
        <w:rPr>
          <w:rFonts w:ascii="Times New Roman" w:hAnsi="Times New Roman" w:cs="Times New Roman"/>
          <w:sz w:val="24"/>
          <w:szCs w:val="24"/>
        </w:rPr>
      </w:pPr>
      <w:r w:rsidRPr="003E10D2">
        <w:rPr>
          <w:rFonts w:ascii="Times New Roman" w:eastAsia="Times New Roman" w:hAnsi="Times New Roman" w:cs="Times New Roman"/>
          <w:sz w:val="24"/>
          <w:szCs w:val="24"/>
        </w:rPr>
        <w:t xml:space="preserve">В целях формирования кадрового резерва банка была организована работа со студентами старших курсов экономического факультета Приднестровского государственного университета им. Т.Г. Шевченко. В рамках подготовки будущих специалистов и развития профессиональных компетенций была </w:t>
      </w:r>
      <w:r w:rsidRPr="003E10D2">
        <w:rPr>
          <w:rFonts w:ascii="Times New Roman" w:hAnsi="Times New Roman" w:cs="Times New Roman"/>
          <w:sz w:val="24"/>
          <w:szCs w:val="24"/>
        </w:rPr>
        <w:t xml:space="preserve">набрана группа студентов для более детального разъяснения целей и задач Приднестровского республиканского банка, тенденций, происходящих в экономике республики и в мире. </w:t>
      </w:r>
      <w:r w:rsidRPr="003E10D2">
        <w:rPr>
          <w:rFonts w:ascii="Times New Roman" w:eastAsia="Times New Roman" w:hAnsi="Times New Roman" w:cs="Times New Roman"/>
          <w:sz w:val="24"/>
          <w:szCs w:val="24"/>
        </w:rPr>
        <w:t>Проведённые встречи и последующее тестирование позволили оценить качество подготовки студентов, их возможности в перспективе планировать свою карьеру в Приднестровском республиканском банке.</w:t>
      </w:r>
      <w:r w:rsidRPr="00E64B77">
        <w:rPr>
          <w:rFonts w:ascii="Times New Roman" w:eastAsia="Times New Roman" w:hAnsi="Times New Roman" w:cs="Times New Roman"/>
          <w:sz w:val="24"/>
          <w:szCs w:val="24"/>
        </w:rPr>
        <w:t xml:space="preserve"> </w:t>
      </w:r>
    </w:p>
    <w:p w14:paraId="5A430DB6" w14:textId="77777777" w:rsidR="00A95862" w:rsidRDefault="00A95862" w:rsidP="00A95862">
      <w:pPr>
        <w:spacing w:before="120" w:after="0" w:line="240" w:lineRule="auto"/>
        <w:jc w:val="both"/>
        <w:rPr>
          <w:rFonts w:ascii="Times New Roman" w:hAnsi="Times New Roman" w:cs="Times New Roman"/>
          <w:sz w:val="24"/>
          <w:szCs w:val="24"/>
        </w:rPr>
      </w:pPr>
    </w:p>
    <w:p w14:paraId="5971F14F" w14:textId="77777777" w:rsidR="00A95862" w:rsidRPr="00A162E3" w:rsidRDefault="00A95862" w:rsidP="00A95862">
      <w:pPr>
        <w:spacing w:before="120" w:after="0" w:line="240" w:lineRule="auto"/>
        <w:jc w:val="both"/>
        <w:rPr>
          <w:rFonts w:ascii="Times New Roman" w:hAnsi="Times New Roman" w:cs="Times New Roman"/>
          <w:sz w:val="24"/>
          <w:szCs w:val="24"/>
        </w:rPr>
      </w:pPr>
    </w:p>
    <w:p w14:paraId="034336A6" w14:textId="77777777" w:rsidR="001E028B" w:rsidRDefault="001E028B">
      <w:pPr>
        <w:rPr>
          <w:rFonts w:ascii="Times New Roman" w:hAnsi="Times New Roman" w:cs="Times New Roman"/>
          <w:b/>
          <w:bCs/>
          <w:sz w:val="24"/>
          <w:szCs w:val="24"/>
        </w:rPr>
      </w:pPr>
      <w:r>
        <w:rPr>
          <w:rFonts w:ascii="Times New Roman" w:hAnsi="Times New Roman" w:cs="Times New Roman"/>
          <w:b/>
          <w:bCs/>
          <w:sz w:val="24"/>
          <w:szCs w:val="24"/>
        </w:rPr>
        <w:br w:type="page"/>
      </w:r>
    </w:p>
    <w:p w14:paraId="449434B4" w14:textId="77777777" w:rsidR="00035082" w:rsidRDefault="00035082" w:rsidP="001E028B">
      <w:pPr>
        <w:widowControl w:val="0"/>
        <w:ind w:firstLine="425"/>
        <w:jc w:val="center"/>
        <w:rPr>
          <w:b/>
          <w:bCs/>
          <w:noProof/>
          <w:sz w:val="28"/>
          <w:szCs w:val="28"/>
        </w:rPr>
      </w:pPr>
    </w:p>
    <w:p w14:paraId="04B6B24A" w14:textId="77777777" w:rsidR="00035082" w:rsidRDefault="00035082" w:rsidP="001E028B">
      <w:pPr>
        <w:widowControl w:val="0"/>
        <w:ind w:firstLine="425"/>
        <w:jc w:val="center"/>
        <w:rPr>
          <w:b/>
          <w:bCs/>
          <w:noProof/>
          <w:sz w:val="28"/>
          <w:szCs w:val="28"/>
        </w:rPr>
      </w:pPr>
    </w:p>
    <w:p w14:paraId="6FE283A4" w14:textId="77777777" w:rsidR="00035082" w:rsidRDefault="00035082" w:rsidP="001E028B">
      <w:pPr>
        <w:widowControl w:val="0"/>
        <w:ind w:firstLine="425"/>
        <w:jc w:val="center"/>
        <w:rPr>
          <w:b/>
          <w:bCs/>
          <w:noProof/>
          <w:sz w:val="28"/>
          <w:szCs w:val="28"/>
        </w:rPr>
      </w:pPr>
    </w:p>
    <w:p w14:paraId="5FE124B6" w14:textId="77777777" w:rsidR="00035082" w:rsidRDefault="00035082" w:rsidP="001E028B">
      <w:pPr>
        <w:widowControl w:val="0"/>
        <w:ind w:firstLine="425"/>
        <w:jc w:val="center"/>
        <w:rPr>
          <w:b/>
          <w:bCs/>
          <w:noProof/>
          <w:sz w:val="28"/>
          <w:szCs w:val="28"/>
        </w:rPr>
      </w:pPr>
    </w:p>
    <w:p w14:paraId="5B4A36F4" w14:textId="77777777" w:rsidR="00035082" w:rsidRDefault="00035082" w:rsidP="001E028B">
      <w:pPr>
        <w:widowControl w:val="0"/>
        <w:ind w:firstLine="425"/>
        <w:jc w:val="center"/>
        <w:rPr>
          <w:b/>
          <w:bCs/>
          <w:noProof/>
          <w:sz w:val="28"/>
          <w:szCs w:val="28"/>
        </w:rPr>
      </w:pPr>
    </w:p>
    <w:p w14:paraId="492B0A81" w14:textId="22FCCD1B" w:rsidR="00035082" w:rsidRDefault="00035082" w:rsidP="001E028B">
      <w:pPr>
        <w:widowControl w:val="0"/>
        <w:ind w:firstLine="425"/>
        <w:jc w:val="center"/>
        <w:rPr>
          <w:b/>
          <w:bCs/>
          <w:noProof/>
          <w:sz w:val="28"/>
          <w:szCs w:val="28"/>
        </w:rPr>
      </w:pPr>
    </w:p>
    <w:p w14:paraId="57553C8E" w14:textId="0B735B6E" w:rsidR="00604578" w:rsidRDefault="00604578" w:rsidP="001E028B">
      <w:pPr>
        <w:widowControl w:val="0"/>
        <w:ind w:firstLine="425"/>
        <w:jc w:val="center"/>
        <w:rPr>
          <w:b/>
          <w:bCs/>
          <w:noProof/>
          <w:sz w:val="28"/>
          <w:szCs w:val="28"/>
        </w:rPr>
      </w:pPr>
    </w:p>
    <w:p w14:paraId="63875031" w14:textId="77777777" w:rsidR="00604578" w:rsidRDefault="00604578" w:rsidP="001E028B">
      <w:pPr>
        <w:widowControl w:val="0"/>
        <w:ind w:firstLine="425"/>
        <w:jc w:val="center"/>
        <w:rPr>
          <w:b/>
          <w:bCs/>
          <w:noProof/>
          <w:sz w:val="28"/>
          <w:szCs w:val="28"/>
        </w:rPr>
      </w:pPr>
    </w:p>
    <w:p w14:paraId="133EC4DE" w14:textId="23C83056" w:rsidR="001E028B" w:rsidRDefault="001E028B" w:rsidP="00D51B0E">
      <w:pPr>
        <w:widowControl w:val="0"/>
        <w:jc w:val="center"/>
        <w:rPr>
          <w:b/>
          <w:bCs/>
          <w:noProof/>
          <w:sz w:val="28"/>
          <w:szCs w:val="28"/>
        </w:rPr>
      </w:pPr>
      <w:r w:rsidRPr="008138DF">
        <w:rPr>
          <w:b/>
          <w:bCs/>
          <w:noProof/>
          <w:sz w:val="28"/>
          <w:szCs w:val="28"/>
        </w:rPr>
        <w:t>РАЗДЕЛ 3. ОСНОВНЫЕ НОРМАТИВНО-ПРАВОВЫЕ АКТЫ ПРИДНЕСТРОВСКОГО РЕСПУБЛИКАНСКОГО БАНКА, ПРИНЯТЫЕ В 2019 ГОДУ</w:t>
      </w:r>
    </w:p>
    <w:p w14:paraId="51F31F12" w14:textId="77777777" w:rsidR="00604578" w:rsidRPr="008138DF" w:rsidRDefault="00604578" w:rsidP="001E028B">
      <w:pPr>
        <w:widowControl w:val="0"/>
        <w:ind w:firstLine="425"/>
        <w:jc w:val="center"/>
        <w:rPr>
          <w:b/>
          <w:bCs/>
          <w:noProof/>
          <w:sz w:val="28"/>
          <w:szCs w:val="28"/>
        </w:rPr>
      </w:pPr>
    </w:p>
    <w:p w14:paraId="6A132F7E" w14:textId="1144940C" w:rsidR="001E028B" w:rsidRDefault="001E028B" w:rsidP="001E028B">
      <w:pPr>
        <w:pStyle w:val="2"/>
        <w:spacing w:before="0" w:line="240" w:lineRule="auto"/>
        <w:rPr>
          <w:b/>
          <w:noProof/>
        </w:rPr>
      </w:pPr>
      <w:r w:rsidRPr="001E028B">
        <w:rPr>
          <w:b/>
          <w:noProof/>
        </w:rPr>
        <w:t>В области валютного регулирования и валютного контроля:</w:t>
      </w:r>
    </w:p>
    <w:p w14:paraId="0EF04962" w14:textId="77777777" w:rsidR="001D426F" w:rsidRPr="001D426F" w:rsidRDefault="001D426F" w:rsidP="001D426F">
      <w:pPr>
        <w:spacing w:before="0" w:after="0"/>
      </w:pPr>
    </w:p>
    <w:p w14:paraId="7D11F379" w14:textId="1440903A" w:rsidR="001E028B" w:rsidRPr="001E028B" w:rsidRDefault="001E028B" w:rsidP="001E028B">
      <w:pPr>
        <w:widowControl w:val="0"/>
        <w:spacing w:before="12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Указание Приднестровского республиканского банка от 22 марта 2019 года № 1146-У «О внесении изменений и дополнения в Инструкцию Приднестровского республиканского банка от 24 августа 2018 года № 37-И «О порядке осуществления валютного контроля за репатриацией валютных средств при экспорте товаров из Приднестровской Молдавской Республики» (регистрационный № 8450 от </w:t>
      </w:r>
      <w:r w:rsidR="00477E9B">
        <w:rPr>
          <w:rFonts w:ascii="Times New Roman" w:hAnsi="Times New Roman" w:cs="Times New Roman"/>
          <w:snapToGrid w:val="0"/>
          <w:sz w:val="24"/>
          <w:szCs w:val="24"/>
        </w:rPr>
        <w:t>0</w:t>
      </w:r>
      <w:r w:rsidRPr="001E028B">
        <w:rPr>
          <w:rFonts w:ascii="Times New Roman" w:hAnsi="Times New Roman" w:cs="Times New Roman"/>
          <w:snapToGrid w:val="0"/>
          <w:sz w:val="24"/>
          <w:szCs w:val="24"/>
        </w:rPr>
        <w:t>3</w:t>
      </w:r>
      <w:r w:rsidR="00477E9B">
        <w:rPr>
          <w:rFonts w:ascii="Times New Roman" w:hAnsi="Times New Roman" w:cs="Times New Roman"/>
          <w:snapToGrid w:val="0"/>
          <w:sz w:val="24"/>
          <w:szCs w:val="24"/>
        </w:rPr>
        <w:t>.10.2018</w:t>
      </w:r>
      <w:r w:rsidRPr="001E028B">
        <w:rPr>
          <w:rFonts w:ascii="Times New Roman" w:hAnsi="Times New Roman" w:cs="Times New Roman"/>
          <w:snapToGrid w:val="0"/>
          <w:sz w:val="24"/>
          <w:szCs w:val="24"/>
        </w:rPr>
        <w:t>) (САЗ 18-40)» (Регистрационный № 8796 от 10</w:t>
      </w:r>
      <w:r w:rsidR="00477E9B">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 (САЗ 19-14);</w:t>
      </w:r>
    </w:p>
    <w:p w14:paraId="34B66F14" w14:textId="6A41EE7F"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 Указание Приднестровского республиканского банка от 10 апреля 2019 года </w:t>
      </w:r>
      <w:r w:rsidRPr="001E028B">
        <w:rPr>
          <w:rFonts w:ascii="Times New Roman" w:hAnsi="Times New Roman" w:cs="Times New Roman"/>
          <w:snapToGrid w:val="0"/>
          <w:sz w:val="24"/>
          <w:szCs w:val="24"/>
        </w:rPr>
        <w:br/>
        <w:t>№ 1150-У «О внесении изменения и дополнения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w:t>
      </w:r>
      <w:r w:rsidR="00477E9B">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2007)</w:t>
      </w:r>
      <w:r w:rsidR="00477E9B">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07-31)» (Регистрационный № 8797 от 11</w:t>
      </w:r>
      <w:r w:rsidR="00477E9B">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 (САЗ 19-14);</w:t>
      </w:r>
    </w:p>
    <w:p w14:paraId="55D03180" w14:textId="5750DF89"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3. Указание Приднестровского республиканского банка от 10 сентября 2019 года </w:t>
      </w:r>
      <w:r w:rsidRPr="001E028B">
        <w:rPr>
          <w:rFonts w:ascii="Times New Roman" w:hAnsi="Times New Roman" w:cs="Times New Roman"/>
          <w:snapToGrid w:val="0"/>
          <w:sz w:val="24"/>
          <w:szCs w:val="24"/>
        </w:rPr>
        <w:br/>
        <w:t>№1187-У «О внесении дополнений в некоторые нормативные акты Приднестровского республиканского банка» (Регистрационный № 9092 от 20</w:t>
      </w:r>
      <w:r w:rsidR="00D51B0E">
        <w:rPr>
          <w:rFonts w:ascii="Times New Roman" w:hAnsi="Times New Roman" w:cs="Times New Roman"/>
          <w:snapToGrid w:val="0"/>
          <w:sz w:val="24"/>
          <w:szCs w:val="24"/>
        </w:rPr>
        <w:t>.09.2019</w:t>
      </w:r>
      <w:r w:rsidRPr="001E028B">
        <w:rPr>
          <w:rFonts w:ascii="Times New Roman" w:hAnsi="Times New Roman" w:cs="Times New Roman"/>
          <w:snapToGrid w:val="0"/>
          <w:sz w:val="24"/>
          <w:szCs w:val="24"/>
        </w:rPr>
        <w:t>) (САЗ 19-36);</w:t>
      </w:r>
    </w:p>
    <w:p w14:paraId="2F07D02C" w14:textId="18E6E09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4. Указание Приднестровского республиканского банка от 16 сентября 2019 года </w:t>
      </w:r>
      <w:r w:rsidRPr="001E028B">
        <w:rPr>
          <w:rFonts w:ascii="Times New Roman" w:hAnsi="Times New Roman" w:cs="Times New Roman"/>
          <w:snapToGrid w:val="0"/>
          <w:sz w:val="24"/>
          <w:szCs w:val="24"/>
        </w:rPr>
        <w:br/>
        <w:t>№1189-У «О внесении изменений и дополнений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w:t>
      </w:r>
      <w:r w:rsidR="00D51B0E">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2007)</w:t>
      </w:r>
      <w:r w:rsidR="00D51B0E">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 xml:space="preserve">(САЗ 07-31)» (Регистрационный № 9110 от </w:t>
      </w:r>
      <w:r w:rsidR="00D51B0E">
        <w:rPr>
          <w:rFonts w:ascii="Times New Roman" w:hAnsi="Times New Roman" w:cs="Times New Roman"/>
          <w:snapToGrid w:val="0"/>
          <w:sz w:val="24"/>
          <w:szCs w:val="24"/>
        </w:rPr>
        <w:t>0</w:t>
      </w:r>
      <w:r w:rsidRPr="001E028B">
        <w:rPr>
          <w:rFonts w:ascii="Times New Roman" w:hAnsi="Times New Roman" w:cs="Times New Roman"/>
          <w:snapToGrid w:val="0"/>
          <w:sz w:val="24"/>
          <w:szCs w:val="24"/>
        </w:rPr>
        <w:t>3</w:t>
      </w:r>
      <w:r w:rsidR="00D51B0E">
        <w:rPr>
          <w:rFonts w:ascii="Times New Roman" w:hAnsi="Times New Roman" w:cs="Times New Roman"/>
          <w:snapToGrid w:val="0"/>
          <w:sz w:val="24"/>
          <w:szCs w:val="24"/>
        </w:rPr>
        <w:t>.10.</w:t>
      </w:r>
      <w:r w:rsidRPr="001E028B">
        <w:rPr>
          <w:rFonts w:ascii="Times New Roman" w:hAnsi="Times New Roman" w:cs="Times New Roman"/>
          <w:snapToGrid w:val="0"/>
          <w:sz w:val="24"/>
          <w:szCs w:val="24"/>
        </w:rPr>
        <w:t>2019) (САЗ 19-38);</w:t>
      </w:r>
    </w:p>
    <w:p w14:paraId="59C9E533" w14:textId="17E7821A"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5. Указание Приднестровского республиканского банка от 24 сентября 2019 года </w:t>
      </w:r>
      <w:r w:rsidRPr="001E028B">
        <w:rPr>
          <w:rFonts w:ascii="Times New Roman" w:hAnsi="Times New Roman" w:cs="Times New Roman"/>
          <w:snapToGrid w:val="0"/>
          <w:sz w:val="24"/>
          <w:szCs w:val="24"/>
        </w:rPr>
        <w:br/>
        <w:t xml:space="preserve">№1191-У «О внесении изменений и дополнений в Инструкцию Приднестровского республиканского банка от 9 июля 2010 года № 31-И «О порядке осуществления валютного контроля за платежами в иностранной валюте в пользу нерезидентов» (регистрационный </w:t>
      </w:r>
      <w:r w:rsidRPr="001E028B">
        <w:rPr>
          <w:rFonts w:ascii="Times New Roman" w:hAnsi="Times New Roman" w:cs="Times New Roman"/>
          <w:snapToGrid w:val="0"/>
          <w:sz w:val="24"/>
          <w:szCs w:val="24"/>
        </w:rPr>
        <w:br/>
      </w:r>
      <w:r w:rsidRPr="001E028B">
        <w:rPr>
          <w:rFonts w:ascii="Times New Roman" w:hAnsi="Times New Roman" w:cs="Times New Roman"/>
          <w:snapToGrid w:val="0"/>
          <w:sz w:val="24"/>
          <w:szCs w:val="24"/>
        </w:rPr>
        <w:lastRenderedPageBreak/>
        <w:t>№ 5385 от 15</w:t>
      </w:r>
      <w:r w:rsidR="00D51B0E">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2010) (САЗ 10-37)». Находится на регистрации в Министерстве юстиции Приднестровской Молдавской Республики;</w:t>
      </w:r>
    </w:p>
    <w:p w14:paraId="316ABEBA" w14:textId="762AB571"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6. Указание Приднестровского республиканского банка от 25 октября 2019 года </w:t>
      </w:r>
      <w:r w:rsidRPr="001E028B">
        <w:rPr>
          <w:rFonts w:ascii="Times New Roman" w:hAnsi="Times New Roman" w:cs="Times New Roman"/>
          <w:snapToGrid w:val="0"/>
          <w:sz w:val="24"/>
          <w:szCs w:val="24"/>
        </w:rPr>
        <w:br/>
        <w:t>№1197-У «О внесении изменений в Положение Приднестровского республиканского банка от 19 июня 2007 года № 73-П «О регистрации Приднестровским республиканским банком отдельных видов валютных операций, связанных с движением капитала» (регистрационный № 4015 от 26</w:t>
      </w:r>
      <w:r w:rsidR="00D51B0E">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2007) (САЗ 07-31)» (Регистрационный № 9164 от 14</w:t>
      </w:r>
      <w:r w:rsidR="00D51B0E">
        <w:rPr>
          <w:rFonts w:ascii="Times New Roman" w:hAnsi="Times New Roman" w:cs="Times New Roman"/>
          <w:snapToGrid w:val="0"/>
          <w:sz w:val="24"/>
          <w:szCs w:val="24"/>
        </w:rPr>
        <w:t>.11.2019</w:t>
      </w:r>
      <w:r w:rsidRPr="001E028B">
        <w:rPr>
          <w:rFonts w:ascii="Times New Roman" w:hAnsi="Times New Roman" w:cs="Times New Roman"/>
          <w:snapToGrid w:val="0"/>
          <w:sz w:val="24"/>
          <w:szCs w:val="24"/>
        </w:rPr>
        <w:t>) (САЗ 19-44);</w:t>
      </w:r>
    </w:p>
    <w:p w14:paraId="6723C04E" w14:textId="0FA085B1"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7. Указание Приднестровского республиканского банка от 25 октября 2019 года </w:t>
      </w:r>
      <w:r w:rsidRPr="001E028B">
        <w:rPr>
          <w:rFonts w:ascii="Times New Roman" w:hAnsi="Times New Roman" w:cs="Times New Roman"/>
          <w:snapToGrid w:val="0"/>
          <w:sz w:val="24"/>
          <w:szCs w:val="24"/>
        </w:rPr>
        <w:br/>
        <w:t xml:space="preserve">№1198-У «О внесении изменения и дополнения в Инструкцию Приднестровского республиканского банка от 24 августа 2018 года № 37-И «О порядке осуществления валютного контроля за репатриацией валютных средств при экспорте товаров из Приднестровской Молдавской Республики» (регистрационный № 8450 от </w:t>
      </w:r>
      <w:r w:rsidR="00D51B0E">
        <w:rPr>
          <w:rFonts w:ascii="Times New Roman" w:hAnsi="Times New Roman" w:cs="Times New Roman"/>
          <w:snapToGrid w:val="0"/>
          <w:sz w:val="24"/>
          <w:szCs w:val="24"/>
        </w:rPr>
        <w:t>0</w:t>
      </w:r>
      <w:r w:rsidRPr="001E028B">
        <w:rPr>
          <w:rFonts w:ascii="Times New Roman" w:hAnsi="Times New Roman" w:cs="Times New Roman"/>
          <w:snapToGrid w:val="0"/>
          <w:sz w:val="24"/>
          <w:szCs w:val="24"/>
        </w:rPr>
        <w:t>3</w:t>
      </w:r>
      <w:r w:rsidR="00D51B0E">
        <w:rPr>
          <w:rFonts w:ascii="Times New Roman" w:hAnsi="Times New Roman" w:cs="Times New Roman"/>
          <w:snapToGrid w:val="0"/>
          <w:sz w:val="24"/>
          <w:szCs w:val="24"/>
        </w:rPr>
        <w:t>.10.</w:t>
      </w:r>
      <w:r w:rsidRPr="001E028B">
        <w:rPr>
          <w:rFonts w:ascii="Times New Roman" w:hAnsi="Times New Roman" w:cs="Times New Roman"/>
          <w:snapToGrid w:val="0"/>
          <w:sz w:val="24"/>
          <w:szCs w:val="24"/>
        </w:rPr>
        <w:t xml:space="preserve">2018) (САЗ 18-40)» (Регистрационный № 9152 от </w:t>
      </w:r>
      <w:r w:rsidR="00D51B0E">
        <w:rPr>
          <w:rFonts w:ascii="Times New Roman" w:hAnsi="Times New Roman" w:cs="Times New Roman"/>
          <w:snapToGrid w:val="0"/>
          <w:sz w:val="24"/>
          <w:szCs w:val="24"/>
        </w:rPr>
        <w:t>0</w:t>
      </w:r>
      <w:r w:rsidRPr="001E028B">
        <w:rPr>
          <w:rFonts w:ascii="Times New Roman" w:hAnsi="Times New Roman" w:cs="Times New Roman"/>
          <w:snapToGrid w:val="0"/>
          <w:sz w:val="24"/>
          <w:szCs w:val="24"/>
        </w:rPr>
        <w:t>6</w:t>
      </w:r>
      <w:r w:rsidR="00D51B0E">
        <w:rPr>
          <w:rFonts w:ascii="Times New Roman" w:hAnsi="Times New Roman" w:cs="Times New Roman"/>
          <w:snapToGrid w:val="0"/>
          <w:sz w:val="24"/>
          <w:szCs w:val="24"/>
        </w:rPr>
        <w:t>.11.</w:t>
      </w:r>
      <w:r w:rsidRPr="001E028B">
        <w:rPr>
          <w:rFonts w:ascii="Times New Roman" w:hAnsi="Times New Roman" w:cs="Times New Roman"/>
          <w:snapToGrid w:val="0"/>
          <w:sz w:val="24"/>
          <w:szCs w:val="24"/>
        </w:rPr>
        <w:t>2019) (САЗ 19-43);</w:t>
      </w:r>
    </w:p>
    <w:p w14:paraId="61956F43" w14:textId="076A9EA1"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8. Указание Приднестровского республиканского банка от 2 ноября 2019 года №1199-У «О внесении дополнения и изменений в Инструкцию Приднестровского республиканского банка от 9 июля 2010 года № 31-И «О порядке осуществления валютного контроля за платежами в иностранной валюте в пользу нерезидентов» (регистрационный № 5385 от 15</w:t>
      </w:r>
      <w:r w:rsidR="00D51B0E">
        <w:rPr>
          <w:rFonts w:ascii="Times New Roman" w:hAnsi="Times New Roman" w:cs="Times New Roman"/>
          <w:snapToGrid w:val="0"/>
          <w:sz w:val="24"/>
          <w:szCs w:val="24"/>
        </w:rPr>
        <w:t>.09.</w:t>
      </w:r>
      <w:r w:rsidRPr="001E028B">
        <w:rPr>
          <w:rFonts w:ascii="Times New Roman" w:hAnsi="Times New Roman" w:cs="Times New Roman"/>
          <w:snapToGrid w:val="0"/>
          <w:sz w:val="24"/>
          <w:szCs w:val="24"/>
        </w:rPr>
        <w:t xml:space="preserve">2010) (САЗ 10-37)» (Регистрационный № 9153 от </w:t>
      </w:r>
      <w:r w:rsidR="00D51B0E">
        <w:rPr>
          <w:rFonts w:ascii="Times New Roman" w:hAnsi="Times New Roman" w:cs="Times New Roman"/>
          <w:snapToGrid w:val="0"/>
          <w:sz w:val="24"/>
          <w:szCs w:val="24"/>
        </w:rPr>
        <w:t>0</w:t>
      </w:r>
      <w:r w:rsidRPr="001E028B">
        <w:rPr>
          <w:rFonts w:ascii="Times New Roman" w:hAnsi="Times New Roman" w:cs="Times New Roman"/>
          <w:snapToGrid w:val="0"/>
          <w:sz w:val="24"/>
          <w:szCs w:val="24"/>
        </w:rPr>
        <w:t>6</w:t>
      </w:r>
      <w:r w:rsidR="00D51B0E">
        <w:rPr>
          <w:rFonts w:ascii="Times New Roman" w:hAnsi="Times New Roman" w:cs="Times New Roman"/>
          <w:snapToGrid w:val="0"/>
          <w:sz w:val="24"/>
          <w:szCs w:val="24"/>
        </w:rPr>
        <w:t>.11.</w:t>
      </w:r>
      <w:r w:rsidRPr="001E028B">
        <w:rPr>
          <w:rFonts w:ascii="Times New Roman" w:hAnsi="Times New Roman" w:cs="Times New Roman"/>
          <w:snapToGrid w:val="0"/>
          <w:sz w:val="24"/>
          <w:szCs w:val="24"/>
        </w:rPr>
        <w:t>2019) (САЗ 19-43);</w:t>
      </w:r>
    </w:p>
    <w:p w14:paraId="3CDA5201"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9. Указание Приднестровского республиканского банка от 02 ноября 2019 года №1200-У «О внесении дополнений в Указание Приднестровского республиканского банка </w:t>
      </w:r>
    </w:p>
    <w:p w14:paraId="1E88C316" w14:textId="4167EAD4"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от 9 февраля 2018 года № 1043-У «О регулировании отдельных операций с наличной иностранной валютой, при расчётах по внешнеэкономическим сделкам без заключения внешнеэкономических контрактов» (регистрационный № 8137 от 12</w:t>
      </w:r>
      <w:r w:rsidR="00D51B0E">
        <w:rPr>
          <w:rFonts w:ascii="Times New Roman" w:hAnsi="Times New Roman" w:cs="Times New Roman"/>
          <w:snapToGrid w:val="0"/>
          <w:sz w:val="24"/>
          <w:szCs w:val="24"/>
        </w:rPr>
        <w:t>.02.</w:t>
      </w:r>
      <w:r w:rsidRPr="001E028B">
        <w:rPr>
          <w:rFonts w:ascii="Times New Roman" w:hAnsi="Times New Roman" w:cs="Times New Roman"/>
          <w:snapToGrid w:val="0"/>
          <w:sz w:val="24"/>
          <w:szCs w:val="24"/>
        </w:rPr>
        <w:t xml:space="preserve">2018) (САЗ 18-07)» (Регистрационный № 9151 от </w:t>
      </w:r>
      <w:r w:rsidR="00D06F47">
        <w:rPr>
          <w:rFonts w:ascii="Times New Roman" w:hAnsi="Times New Roman" w:cs="Times New Roman"/>
          <w:snapToGrid w:val="0"/>
          <w:sz w:val="24"/>
          <w:szCs w:val="24"/>
        </w:rPr>
        <w:t>0</w:t>
      </w:r>
      <w:r w:rsidRPr="001E028B">
        <w:rPr>
          <w:rFonts w:ascii="Times New Roman" w:hAnsi="Times New Roman" w:cs="Times New Roman"/>
          <w:snapToGrid w:val="0"/>
          <w:sz w:val="24"/>
          <w:szCs w:val="24"/>
        </w:rPr>
        <w:t>6</w:t>
      </w:r>
      <w:r w:rsidR="00D06F47">
        <w:rPr>
          <w:rFonts w:ascii="Times New Roman" w:hAnsi="Times New Roman" w:cs="Times New Roman"/>
          <w:snapToGrid w:val="0"/>
          <w:sz w:val="24"/>
          <w:szCs w:val="24"/>
        </w:rPr>
        <w:t>.11.2019</w:t>
      </w:r>
      <w:r w:rsidRPr="001E028B">
        <w:rPr>
          <w:rFonts w:ascii="Times New Roman" w:hAnsi="Times New Roman" w:cs="Times New Roman"/>
          <w:snapToGrid w:val="0"/>
          <w:sz w:val="24"/>
          <w:szCs w:val="24"/>
        </w:rPr>
        <w:t>) (САЗ 19-43);</w:t>
      </w:r>
    </w:p>
    <w:p w14:paraId="7FB0EAD8" w14:textId="69C99A5B"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10. Указание Приднестровского республиканского банка от 20 ноября 2019 года</w:t>
      </w:r>
      <w:r w:rsidRPr="001E028B">
        <w:rPr>
          <w:rFonts w:ascii="Times New Roman" w:hAnsi="Times New Roman" w:cs="Times New Roman"/>
          <w:snapToGrid w:val="0"/>
          <w:sz w:val="24"/>
          <w:szCs w:val="24"/>
        </w:rPr>
        <w:br/>
        <w:t xml:space="preserve"> №1205-У «О внесении дополнений в некоторые нормативные акты Приднестровского республиканского банка» (Регистрационный № 9214 от 11</w:t>
      </w:r>
      <w:r w:rsidR="00D06F47">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19-48);</w:t>
      </w:r>
    </w:p>
    <w:p w14:paraId="412E6817" w14:textId="13811E26"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11. Указание Приднестровского республиканского банка от 20 ноября 2019 года </w:t>
      </w:r>
      <w:r w:rsidRPr="001E028B">
        <w:rPr>
          <w:rFonts w:ascii="Times New Roman" w:hAnsi="Times New Roman" w:cs="Times New Roman"/>
          <w:snapToGrid w:val="0"/>
          <w:sz w:val="24"/>
          <w:szCs w:val="24"/>
        </w:rPr>
        <w:br/>
        <w:t>№1206-У «О внесении изменений и дополнения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w:t>
      </w:r>
      <w:r w:rsidR="00D06F47">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2007)</w:t>
      </w:r>
      <w:r w:rsidR="00D06F47">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07-31)» (Регистрационный № 9213 от 11</w:t>
      </w:r>
      <w:r w:rsidR="00D06F47">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19-48);</w:t>
      </w:r>
    </w:p>
    <w:p w14:paraId="2C5C0B81" w14:textId="408F5EB6"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12. Указание Приднестровского республиканского банка от 28 ноября 2019 года </w:t>
      </w:r>
      <w:r w:rsidRPr="001E028B">
        <w:rPr>
          <w:rFonts w:ascii="Times New Roman" w:hAnsi="Times New Roman" w:cs="Times New Roman"/>
          <w:snapToGrid w:val="0"/>
          <w:sz w:val="24"/>
          <w:szCs w:val="24"/>
        </w:rPr>
        <w:br/>
        <w:t xml:space="preserve">№1216-У «О внесении дополнений и изменений в Инструкцию Приднестровского республиканского банка от 26 июня 2007 года № 21-И «О порядке выдачи Приднестровским республиканским банком разрешений на открытие счетов в банках за пределами территории Приднестровской Молдавской Республики и проведение операций по ним» (регистрационный № 4029 от </w:t>
      </w:r>
      <w:r w:rsidR="00D06F47">
        <w:rPr>
          <w:rFonts w:ascii="Times New Roman" w:hAnsi="Times New Roman" w:cs="Times New Roman"/>
          <w:snapToGrid w:val="0"/>
          <w:sz w:val="24"/>
          <w:szCs w:val="24"/>
        </w:rPr>
        <w:t>0</w:t>
      </w:r>
      <w:r w:rsidRPr="001E028B">
        <w:rPr>
          <w:rFonts w:ascii="Times New Roman" w:hAnsi="Times New Roman" w:cs="Times New Roman"/>
          <w:snapToGrid w:val="0"/>
          <w:sz w:val="24"/>
          <w:szCs w:val="24"/>
        </w:rPr>
        <w:t>6</w:t>
      </w:r>
      <w:r w:rsidR="00D06F47">
        <w:rPr>
          <w:rFonts w:ascii="Times New Roman" w:hAnsi="Times New Roman" w:cs="Times New Roman"/>
          <w:snapToGrid w:val="0"/>
          <w:sz w:val="24"/>
          <w:szCs w:val="24"/>
        </w:rPr>
        <w:t>.08.2007</w:t>
      </w:r>
      <w:r w:rsidRPr="001E028B">
        <w:rPr>
          <w:rFonts w:ascii="Times New Roman" w:hAnsi="Times New Roman" w:cs="Times New Roman"/>
          <w:snapToGrid w:val="0"/>
          <w:sz w:val="24"/>
          <w:szCs w:val="24"/>
        </w:rPr>
        <w:t>) (САЗ 07-33)» (Регистрационный № 9239 от 20</w:t>
      </w:r>
      <w:r w:rsidR="00D06F47">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19-49);</w:t>
      </w:r>
    </w:p>
    <w:p w14:paraId="623222D6" w14:textId="0832D6ED"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13. Указание Приднестровского республиканского банка от 26 декабря 2019 года </w:t>
      </w:r>
      <w:r w:rsidRPr="001E028B">
        <w:rPr>
          <w:rFonts w:ascii="Times New Roman" w:hAnsi="Times New Roman" w:cs="Times New Roman"/>
          <w:snapToGrid w:val="0"/>
          <w:sz w:val="24"/>
          <w:szCs w:val="24"/>
        </w:rPr>
        <w:br/>
        <w:t>№1231-У «О внесении изменений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w:t>
      </w:r>
      <w:r w:rsidR="00D06F47">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2007) (САЗ 07-31)» (Регистрационный № 9294 от 22</w:t>
      </w:r>
      <w:r w:rsidR="00D06F47">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 (САЗ 20-4);</w:t>
      </w:r>
    </w:p>
    <w:p w14:paraId="386F56D1" w14:textId="6D63F7B8"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14. Указание Приднестровского республиканского банка от 13 ноября 2019 года </w:t>
      </w:r>
      <w:r w:rsidRPr="001E028B">
        <w:rPr>
          <w:rFonts w:ascii="Times New Roman" w:hAnsi="Times New Roman" w:cs="Times New Roman"/>
          <w:snapToGrid w:val="0"/>
          <w:sz w:val="24"/>
          <w:szCs w:val="24"/>
        </w:rPr>
        <w:br/>
        <w:t>№1204-У «О внесении изменений в Положение Приднестровского республиканского банка от 4 апреля 2006 года №35-П «О порядке ввоза в Приднестровской Молдавской Республики и вывоза из Приднестровской Молдавской Республики наличной валюты Приднестровской Молдавской Республики физическими лицами» (регистрационный № 3559 от 11</w:t>
      </w:r>
      <w:r w:rsidR="00D06F47">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2006) (САЗ 06-20)» (Регистрационный № 9294 от 22</w:t>
      </w:r>
      <w:r w:rsidR="00D06F47">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 (САЗ 20-4);</w:t>
      </w:r>
    </w:p>
    <w:p w14:paraId="2262590F" w14:textId="7B163AD2" w:rsidR="001E028B" w:rsidRDefault="001E028B" w:rsidP="001D426F">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lastRenderedPageBreak/>
        <w:t xml:space="preserve">15. Указание Приднестровского республиканского банка от 26 декабря 2019 года </w:t>
      </w:r>
      <w:r w:rsidRPr="001E028B">
        <w:rPr>
          <w:rFonts w:ascii="Times New Roman" w:hAnsi="Times New Roman" w:cs="Times New Roman"/>
          <w:snapToGrid w:val="0"/>
          <w:sz w:val="24"/>
          <w:szCs w:val="24"/>
        </w:rPr>
        <w:br/>
        <w:t>№1230-У «О внесении дополнений и изменений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w:t>
      </w:r>
      <w:r w:rsidR="00D06F47">
        <w:rPr>
          <w:rFonts w:ascii="Times New Roman" w:hAnsi="Times New Roman" w:cs="Times New Roman"/>
          <w:snapToGrid w:val="0"/>
          <w:sz w:val="24"/>
          <w:szCs w:val="24"/>
        </w:rPr>
        <w:t xml:space="preserve">» Регистрационный </w:t>
      </w:r>
      <w:r w:rsidR="00D06F47">
        <w:rPr>
          <w:rFonts w:ascii="Times New Roman" w:hAnsi="Times New Roman" w:cs="Times New Roman"/>
          <w:snapToGrid w:val="0"/>
          <w:sz w:val="24"/>
          <w:szCs w:val="24"/>
        </w:rPr>
        <w:br/>
        <w:t>№ 3661 от 29.08.</w:t>
      </w:r>
      <w:r w:rsidRPr="001E028B">
        <w:rPr>
          <w:rFonts w:ascii="Times New Roman" w:hAnsi="Times New Roman" w:cs="Times New Roman"/>
          <w:snapToGrid w:val="0"/>
          <w:sz w:val="24"/>
          <w:szCs w:val="24"/>
        </w:rPr>
        <w:t>2006) (САЗ 06-36)».</w:t>
      </w:r>
    </w:p>
    <w:p w14:paraId="1EDB7943" w14:textId="77777777" w:rsidR="001D426F" w:rsidRPr="001E028B" w:rsidRDefault="001D426F" w:rsidP="001D426F">
      <w:pPr>
        <w:widowControl w:val="0"/>
        <w:spacing w:before="0" w:after="0" w:line="240" w:lineRule="auto"/>
        <w:ind w:firstLine="425"/>
        <w:jc w:val="both"/>
        <w:rPr>
          <w:rFonts w:ascii="Times New Roman" w:hAnsi="Times New Roman" w:cs="Times New Roman"/>
          <w:snapToGrid w:val="0"/>
          <w:sz w:val="24"/>
          <w:szCs w:val="24"/>
        </w:rPr>
      </w:pPr>
    </w:p>
    <w:p w14:paraId="31FF52B7" w14:textId="5CE86900" w:rsidR="001E028B" w:rsidRDefault="001E028B" w:rsidP="001E028B">
      <w:pPr>
        <w:pStyle w:val="2"/>
        <w:spacing w:before="120" w:after="120" w:line="240" w:lineRule="auto"/>
        <w:rPr>
          <w:b/>
          <w:noProof/>
        </w:rPr>
      </w:pPr>
      <w:r w:rsidRPr="001E028B">
        <w:rPr>
          <w:b/>
          <w:noProof/>
        </w:rPr>
        <w:t>В сфере регулирования и надзора кредитных организаций:</w:t>
      </w:r>
    </w:p>
    <w:p w14:paraId="5B110402" w14:textId="77777777" w:rsidR="001D426F" w:rsidRPr="001D426F" w:rsidRDefault="001D426F" w:rsidP="001D426F">
      <w:pPr>
        <w:spacing w:before="0" w:after="0"/>
      </w:pPr>
    </w:p>
    <w:p w14:paraId="2B150E26" w14:textId="45D1E156"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Указание Приднестровского республиканского банка от 11 февраля 2019 года </w:t>
      </w:r>
      <w:r w:rsidRPr="001E028B">
        <w:rPr>
          <w:rFonts w:ascii="Times New Roman" w:hAnsi="Times New Roman" w:cs="Times New Roman"/>
          <w:snapToGrid w:val="0"/>
          <w:sz w:val="24"/>
          <w:szCs w:val="24"/>
        </w:rPr>
        <w:br/>
        <w:t>№ 1136-У «О внесении изменения в Указание Приднестровского республиканского банка от 23 января 2016 года № 889-У «О временном порядке применения некоторых нормативных актов Приднестровского республиканского банка» (Регистрационный № 7354 от 16</w:t>
      </w:r>
      <w:r w:rsidR="00D06F47">
        <w:rPr>
          <w:rFonts w:ascii="Times New Roman" w:hAnsi="Times New Roman" w:cs="Times New Roman"/>
          <w:snapToGrid w:val="0"/>
          <w:sz w:val="24"/>
          <w:szCs w:val="24"/>
        </w:rPr>
        <w:t>.02.</w:t>
      </w:r>
      <w:r w:rsidRPr="001E028B">
        <w:rPr>
          <w:rFonts w:ascii="Times New Roman" w:hAnsi="Times New Roman" w:cs="Times New Roman"/>
          <w:snapToGrid w:val="0"/>
          <w:sz w:val="24"/>
          <w:szCs w:val="24"/>
        </w:rPr>
        <w:t xml:space="preserve">2016) (САЗ 16-7)» (Регистрационный № 8781 от </w:t>
      </w:r>
      <w:r w:rsidR="00D06F47">
        <w:rPr>
          <w:rFonts w:ascii="Times New Roman" w:hAnsi="Times New Roman" w:cs="Times New Roman"/>
          <w:snapToGrid w:val="0"/>
          <w:sz w:val="24"/>
          <w:szCs w:val="24"/>
        </w:rPr>
        <w:t>0</w:t>
      </w:r>
      <w:r w:rsidRPr="001E028B">
        <w:rPr>
          <w:rFonts w:ascii="Times New Roman" w:hAnsi="Times New Roman" w:cs="Times New Roman"/>
          <w:snapToGrid w:val="0"/>
          <w:sz w:val="24"/>
          <w:szCs w:val="24"/>
        </w:rPr>
        <w:t>4</w:t>
      </w:r>
      <w:r w:rsidR="00D06F47">
        <w:rPr>
          <w:rFonts w:ascii="Times New Roman" w:hAnsi="Times New Roman" w:cs="Times New Roman"/>
          <w:snapToGrid w:val="0"/>
          <w:sz w:val="24"/>
          <w:szCs w:val="24"/>
        </w:rPr>
        <w:t>.04.</w:t>
      </w:r>
      <w:r w:rsidRPr="001E028B">
        <w:rPr>
          <w:rFonts w:ascii="Times New Roman" w:hAnsi="Times New Roman" w:cs="Times New Roman"/>
          <w:snapToGrid w:val="0"/>
          <w:sz w:val="24"/>
          <w:szCs w:val="24"/>
        </w:rPr>
        <w:t xml:space="preserve">2019) (САЗ 19-13); </w:t>
      </w:r>
    </w:p>
    <w:p w14:paraId="61CC8F36" w14:textId="2A4BCA6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 Указание Приднестровского республиканского банка от 11 февраля 2019 года </w:t>
      </w:r>
      <w:r w:rsidRPr="001E028B">
        <w:rPr>
          <w:rFonts w:ascii="Times New Roman" w:hAnsi="Times New Roman" w:cs="Times New Roman"/>
          <w:snapToGrid w:val="0"/>
          <w:sz w:val="24"/>
          <w:szCs w:val="24"/>
        </w:rPr>
        <w:br/>
        <w:t>№ 1137-У «О внесении изменений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 (регистрационный № 5089 от 17</w:t>
      </w:r>
      <w:r w:rsidR="00D06F47">
        <w:rPr>
          <w:rFonts w:ascii="Times New Roman" w:hAnsi="Times New Roman" w:cs="Times New Roman"/>
          <w:snapToGrid w:val="0"/>
          <w:sz w:val="24"/>
          <w:szCs w:val="24"/>
        </w:rPr>
        <w:t>.12.2</w:t>
      </w:r>
      <w:r w:rsidRPr="001E028B">
        <w:rPr>
          <w:rFonts w:ascii="Times New Roman" w:hAnsi="Times New Roman" w:cs="Times New Roman"/>
          <w:snapToGrid w:val="0"/>
          <w:sz w:val="24"/>
          <w:szCs w:val="24"/>
        </w:rPr>
        <w:t>009</w:t>
      </w:r>
      <w:r w:rsidR="00D06F47">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09-51)» (Регистрационный № 8814 от 19</w:t>
      </w:r>
      <w:r w:rsidR="00D06F47">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 (САЗ 19-15);</w:t>
      </w:r>
    </w:p>
    <w:p w14:paraId="7F9EE86D" w14:textId="216586F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3. Указание Приднестровского республиканского банка от 11 февраля 2019 года </w:t>
      </w:r>
      <w:r w:rsidRPr="001E028B">
        <w:rPr>
          <w:rFonts w:ascii="Times New Roman" w:hAnsi="Times New Roman" w:cs="Times New Roman"/>
          <w:snapToGrid w:val="0"/>
          <w:sz w:val="24"/>
          <w:szCs w:val="24"/>
        </w:rPr>
        <w:br/>
        <w:t>№ 1138-У «О внесении изменений и дополнений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w:t>
      </w:r>
      <w:r w:rsidR="00D06F47">
        <w:rPr>
          <w:rFonts w:ascii="Times New Roman" w:hAnsi="Times New Roman" w:cs="Times New Roman"/>
          <w:snapToGrid w:val="0"/>
          <w:sz w:val="24"/>
          <w:szCs w:val="24"/>
        </w:rPr>
        <w:t>.12.2007</w:t>
      </w:r>
      <w:r w:rsidRPr="001E028B">
        <w:rPr>
          <w:rFonts w:ascii="Times New Roman" w:hAnsi="Times New Roman" w:cs="Times New Roman"/>
          <w:snapToGrid w:val="0"/>
          <w:sz w:val="24"/>
          <w:szCs w:val="24"/>
        </w:rPr>
        <w:t xml:space="preserve">) (САЗ 07-52)» (Регистрационный № 8779 от </w:t>
      </w:r>
      <w:r w:rsidR="00D06F47">
        <w:rPr>
          <w:rFonts w:ascii="Times New Roman" w:hAnsi="Times New Roman" w:cs="Times New Roman"/>
          <w:snapToGrid w:val="0"/>
          <w:sz w:val="24"/>
          <w:szCs w:val="24"/>
        </w:rPr>
        <w:t>0</w:t>
      </w:r>
      <w:r w:rsidRPr="001E028B">
        <w:rPr>
          <w:rFonts w:ascii="Times New Roman" w:hAnsi="Times New Roman" w:cs="Times New Roman"/>
          <w:snapToGrid w:val="0"/>
          <w:sz w:val="24"/>
          <w:szCs w:val="24"/>
        </w:rPr>
        <w:t>4</w:t>
      </w:r>
      <w:r w:rsidR="00D06F47">
        <w:rPr>
          <w:rFonts w:ascii="Times New Roman" w:hAnsi="Times New Roman" w:cs="Times New Roman"/>
          <w:snapToGrid w:val="0"/>
          <w:sz w:val="24"/>
          <w:szCs w:val="24"/>
        </w:rPr>
        <w:t xml:space="preserve">.04.2019) </w:t>
      </w:r>
      <w:r w:rsidRPr="001E028B">
        <w:rPr>
          <w:rFonts w:ascii="Times New Roman" w:hAnsi="Times New Roman" w:cs="Times New Roman"/>
          <w:snapToGrid w:val="0"/>
          <w:sz w:val="24"/>
          <w:szCs w:val="24"/>
        </w:rPr>
        <w:t>(САЗ 19-13);</w:t>
      </w:r>
    </w:p>
    <w:p w14:paraId="0E478753" w14:textId="7C109A01"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4. Указание Приднестровского республиканского банка от 19 апреля 2019 года </w:t>
      </w:r>
      <w:r w:rsidRPr="001E028B">
        <w:rPr>
          <w:rFonts w:ascii="Times New Roman" w:hAnsi="Times New Roman" w:cs="Times New Roman"/>
          <w:snapToGrid w:val="0"/>
          <w:sz w:val="24"/>
          <w:szCs w:val="24"/>
        </w:rPr>
        <w:br/>
        <w:t>№ 1152-У «О внесении изменений в Инструкцию Приднестровского республиканского банка от 21 ноября 2006 года № 18-И «О регулировании размера валютного риска в кредитных организациях Приднестровской Молдавской Республики» (</w:t>
      </w:r>
      <w:r w:rsidR="00D06F47">
        <w:rPr>
          <w:rFonts w:ascii="Times New Roman" w:hAnsi="Times New Roman" w:cs="Times New Roman"/>
          <w:snapToGrid w:val="0"/>
          <w:sz w:val="24"/>
          <w:szCs w:val="24"/>
        </w:rPr>
        <w:t xml:space="preserve">Регистрационный № 3758 от </w:t>
      </w:r>
      <w:r w:rsidRPr="001E028B">
        <w:rPr>
          <w:rFonts w:ascii="Times New Roman" w:hAnsi="Times New Roman" w:cs="Times New Roman"/>
          <w:snapToGrid w:val="0"/>
          <w:sz w:val="24"/>
          <w:szCs w:val="24"/>
        </w:rPr>
        <w:t>18</w:t>
      </w:r>
      <w:r w:rsidR="00D06F47">
        <w:rPr>
          <w:rFonts w:ascii="Times New Roman" w:hAnsi="Times New Roman" w:cs="Times New Roman"/>
          <w:snapToGrid w:val="0"/>
          <w:sz w:val="24"/>
          <w:szCs w:val="24"/>
        </w:rPr>
        <w:t>.12.2006</w:t>
      </w:r>
      <w:r w:rsidRPr="001E028B">
        <w:rPr>
          <w:rFonts w:ascii="Times New Roman" w:hAnsi="Times New Roman" w:cs="Times New Roman"/>
          <w:snapToGrid w:val="0"/>
          <w:sz w:val="24"/>
          <w:szCs w:val="24"/>
        </w:rPr>
        <w:t>) (САЗ 06-52)» (Регистрационный № 8829 от 25</w:t>
      </w:r>
      <w:r w:rsidR="00D06F47">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w:t>
      </w:r>
      <w:r w:rsidR="00D06F47">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19-16);</w:t>
      </w:r>
    </w:p>
    <w:p w14:paraId="691F3A04" w14:textId="1F6816CB"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5. Указание Приднестровского республиканского банка от 19 апреля 2019 года № 1153-У «О внесении дополнений в Положение Приднестровского республиканского банка от </w:t>
      </w:r>
      <w:r w:rsidRPr="001E028B">
        <w:rPr>
          <w:rFonts w:ascii="Times New Roman" w:hAnsi="Times New Roman" w:cs="Times New Roman"/>
          <w:snapToGrid w:val="0"/>
          <w:sz w:val="24"/>
          <w:szCs w:val="24"/>
        </w:rPr>
        <w:br/>
        <w:t>14 августа 2007 года № 80-П «Об обязательных резервах кредитных организаций» (Регис</w:t>
      </w:r>
      <w:r w:rsidR="00D06F47">
        <w:rPr>
          <w:rFonts w:ascii="Times New Roman" w:hAnsi="Times New Roman" w:cs="Times New Roman"/>
          <w:snapToGrid w:val="0"/>
          <w:sz w:val="24"/>
          <w:szCs w:val="24"/>
        </w:rPr>
        <w:t>трационный № 4048 от 22.08.2007</w:t>
      </w:r>
      <w:r w:rsidRPr="001E028B">
        <w:rPr>
          <w:rFonts w:ascii="Times New Roman" w:hAnsi="Times New Roman" w:cs="Times New Roman"/>
          <w:snapToGrid w:val="0"/>
          <w:sz w:val="24"/>
          <w:szCs w:val="24"/>
        </w:rPr>
        <w:t>) (САЗ 07-35)» (Регистрационный № 8827 от</w:t>
      </w:r>
      <w:r w:rsidR="006C168D">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25</w:t>
      </w:r>
      <w:r w:rsidR="00D06F47">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 (САЗ 19-16);</w:t>
      </w:r>
    </w:p>
    <w:p w14:paraId="6E019480" w14:textId="56EA8122" w:rsidR="001E028B" w:rsidRPr="001E028B" w:rsidRDefault="001E028B" w:rsidP="006C168D">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6. Указание Приднестровского республиканского банка от 14 мая 2019 года № 1156-У «О внесении изменений и дополнения в Положение Приднестровского республиканского банка от 25 апреля 2007 года № 72-П «О порядке эмиссии банковских карт и об операциях, совершаемых с использованием платежных карт</w:t>
      </w:r>
      <w:r w:rsidR="006C168D">
        <w:rPr>
          <w:rFonts w:ascii="Times New Roman" w:hAnsi="Times New Roman" w:cs="Times New Roman"/>
          <w:snapToGrid w:val="0"/>
          <w:sz w:val="24"/>
          <w:szCs w:val="24"/>
        </w:rPr>
        <w:t>» (регистрационный № 3945 от 31.05.</w:t>
      </w:r>
      <w:r w:rsidRPr="001E028B">
        <w:rPr>
          <w:rFonts w:ascii="Times New Roman" w:hAnsi="Times New Roman" w:cs="Times New Roman"/>
          <w:snapToGrid w:val="0"/>
          <w:sz w:val="24"/>
          <w:szCs w:val="24"/>
        </w:rPr>
        <w:t>2007)</w:t>
      </w:r>
      <w:r w:rsidR="006C168D">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07-23)» (Ре</w:t>
      </w:r>
      <w:r w:rsidR="006C168D">
        <w:rPr>
          <w:rFonts w:ascii="Times New Roman" w:hAnsi="Times New Roman" w:cs="Times New Roman"/>
          <w:snapToGrid w:val="0"/>
          <w:sz w:val="24"/>
          <w:szCs w:val="24"/>
        </w:rPr>
        <w:t>гистрационный № 8924 от 19.06.</w:t>
      </w:r>
      <w:r w:rsidRPr="001E028B">
        <w:rPr>
          <w:rFonts w:ascii="Times New Roman" w:hAnsi="Times New Roman" w:cs="Times New Roman"/>
          <w:snapToGrid w:val="0"/>
          <w:sz w:val="24"/>
          <w:szCs w:val="24"/>
        </w:rPr>
        <w:t>2019) (САЗ 19-23);</w:t>
      </w:r>
    </w:p>
    <w:p w14:paraId="4DAAE5AA" w14:textId="5CFE7139"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7) Указание Приднестровского республиканского банка от 27 мая 2019 года № 1162-У «О внесении изменений в Положение Приднестровского республиканского банка от </w:t>
      </w:r>
      <w:r w:rsidRPr="001E028B">
        <w:rPr>
          <w:rFonts w:ascii="Times New Roman" w:hAnsi="Times New Roman" w:cs="Times New Roman"/>
          <w:snapToGrid w:val="0"/>
          <w:sz w:val="24"/>
          <w:szCs w:val="24"/>
        </w:rPr>
        <w:br/>
        <w:t>14 августа 2007 года № 80-П «Об обязательных резервах кредитных организаций» (Регис</w:t>
      </w:r>
      <w:r w:rsidR="006C168D">
        <w:rPr>
          <w:rFonts w:ascii="Times New Roman" w:hAnsi="Times New Roman" w:cs="Times New Roman"/>
          <w:snapToGrid w:val="0"/>
          <w:sz w:val="24"/>
          <w:szCs w:val="24"/>
        </w:rPr>
        <w:t>трационный № 4048 от 22.08.</w:t>
      </w:r>
      <w:r w:rsidRPr="001E028B">
        <w:rPr>
          <w:rFonts w:ascii="Times New Roman" w:hAnsi="Times New Roman" w:cs="Times New Roman"/>
          <w:snapToGrid w:val="0"/>
          <w:sz w:val="24"/>
          <w:szCs w:val="24"/>
        </w:rPr>
        <w:t xml:space="preserve">2007) (САЗ 07-35)» (Регистрационный </w:t>
      </w:r>
      <w:r w:rsidR="006C168D">
        <w:rPr>
          <w:rFonts w:ascii="Times New Roman" w:hAnsi="Times New Roman" w:cs="Times New Roman"/>
          <w:snapToGrid w:val="0"/>
          <w:sz w:val="24"/>
          <w:szCs w:val="24"/>
        </w:rPr>
        <w:t xml:space="preserve">№ 8940 от </w:t>
      </w:r>
      <w:r w:rsidRPr="001E028B">
        <w:rPr>
          <w:rFonts w:ascii="Times New Roman" w:hAnsi="Times New Roman" w:cs="Times New Roman"/>
          <w:snapToGrid w:val="0"/>
          <w:sz w:val="24"/>
          <w:szCs w:val="24"/>
        </w:rPr>
        <w:t>25</w:t>
      </w:r>
      <w:r w:rsidR="006C168D">
        <w:rPr>
          <w:rFonts w:ascii="Times New Roman" w:hAnsi="Times New Roman" w:cs="Times New Roman"/>
          <w:snapToGrid w:val="0"/>
          <w:sz w:val="24"/>
          <w:szCs w:val="24"/>
        </w:rPr>
        <w:t>.06.</w:t>
      </w:r>
      <w:r w:rsidRPr="001E028B">
        <w:rPr>
          <w:rFonts w:ascii="Times New Roman" w:hAnsi="Times New Roman" w:cs="Times New Roman"/>
          <w:snapToGrid w:val="0"/>
          <w:sz w:val="24"/>
          <w:szCs w:val="24"/>
        </w:rPr>
        <w:t>2019) (САЗ 19-24);</w:t>
      </w:r>
    </w:p>
    <w:p w14:paraId="30398BA4" w14:textId="6580BB69"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8. Указание Приднестровского республиканского банка от 25 июля 2019 года № 1174-У «О внесении дополнений и изменения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 (Регистрационный № 5089 от 17</w:t>
      </w:r>
      <w:r w:rsidR="006C168D">
        <w:rPr>
          <w:rFonts w:ascii="Times New Roman" w:hAnsi="Times New Roman" w:cs="Times New Roman"/>
          <w:snapToGrid w:val="0"/>
          <w:sz w:val="24"/>
          <w:szCs w:val="24"/>
        </w:rPr>
        <w:t>.12.2</w:t>
      </w:r>
      <w:r w:rsidRPr="001E028B">
        <w:rPr>
          <w:rFonts w:ascii="Times New Roman" w:hAnsi="Times New Roman" w:cs="Times New Roman"/>
          <w:snapToGrid w:val="0"/>
          <w:sz w:val="24"/>
          <w:szCs w:val="24"/>
        </w:rPr>
        <w:t xml:space="preserve">009) (САЗ 09-51)» </w:t>
      </w:r>
      <w:r w:rsidRPr="001E028B">
        <w:rPr>
          <w:rFonts w:ascii="Times New Roman" w:hAnsi="Times New Roman" w:cs="Times New Roman"/>
          <w:snapToGrid w:val="0"/>
          <w:sz w:val="24"/>
          <w:szCs w:val="24"/>
        </w:rPr>
        <w:lastRenderedPageBreak/>
        <w:t>(Регистрационный № 9026 от 20</w:t>
      </w:r>
      <w:r w:rsidR="006C168D">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2019) (САЗ 19-32);</w:t>
      </w:r>
    </w:p>
    <w:p w14:paraId="2AAEE719" w14:textId="49BD0BEE"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9. Указание Приднестровского республиканского банка от 30 августа 2019 года </w:t>
      </w:r>
      <w:r w:rsidRPr="001E028B">
        <w:rPr>
          <w:rFonts w:ascii="Times New Roman" w:hAnsi="Times New Roman" w:cs="Times New Roman"/>
          <w:snapToGrid w:val="0"/>
          <w:sz w:val="24"/>
          <w:szCs w:val="24"/>
        </w:rPr>
        <w:br/>
        <w:t>№ 1181-У «О внесении изменений и дополнения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w:t>
      </w:r>
      <w:r w:rsidR="006C168D">
        <w:rPr>
          <w:rFonts w:ascii="Times New Roman" w:hAnsi="Times New Roman" w:cs="Times New Roman"/>
          <w:snapToGrid w:val="0"/>
          <w:sz w:val="24"/>
          <w:szCs w:val="24"/>
        </w:rPr>
        <w:t xml:space="preserve"> (Регистрационный № 5089 от </w:t>
      </w:r>
      <w:r w:rsidR="006C168D">
        <w:rPr>
          <w:rFonts w:ascii="Times New Roman" w:hAnsi="Times New Roman" w:cs="Times New Roman"/>
          <w:snapToGrid w:val="0"/>
          <w:sz w:val="24"/>
          <w:szCs w:val="24"/>
        </w:rPr>
        <w:br/>
        <w:t>17.12.2</w:t>
      </w:r>
      <w:r w:rsidRPr="001E028B">
        <w:rPr>
          <w:rFonts w:ascii="Times New Roman" w:hAnsi="Times New Roman" w:cs="Times New Roman"/>
          <w:snapToGrid w:val="0"/>
          <w:sz w:val="24"/>
          <w:szCs w:val="24"/>
        </w:rPr>
        <w:t xml:space="preserve">009) (САЗ 09-51)» (Регистрационный № 9105 от </w:t>
      </w:r>
      <w:r w:rsidR="006C168D">
        <w:rPr>
          <w:rFonts w:ascii="Times New Roman" w:hAnsi="Times New Roman" w:cs="Times New Roman"/>
          <w:snapToGrid w:val="0"/>
          <w:sz w:val="24"/>
          <w:szCs w:val="24"/>
        </w:rPr>
        <w:t>0</w:t>
      </w:r>
      <w:r w:rsidRPr="001E028B">
        <w:rPr>
          <w:rFonts w:ascii="Times New Roman" w:hAnsi="Times New Roman" w:cs="Times New Roman"/>
          <w:snapToGrid w:val="0"/>
          <w:sz w:val="24"/>
          <w:szCs w:val="24"/>
        </w:rPr>
        <w:t>1</w:t>
      </w:r>
      <w:r w:rsidR="006C168D">
        <w:rPr>
          <w:rFonts w:ascii="Times New Roman" w:hAnsi="Times New Roman" w:cs="Times New Roman"/>
          <w:snapToGrid w:val="0"/>
          <w:sz w:val="24"/>
          <w:szCs w:val="24"/>
        </w:rPr>
        <w:t>.10.</w:t>
      </w:r>
      <w:r w:rsidRPr="001E028B">
        <w:rPr>
          <w:rFonts w:ascii="Times New Roman" w:hAnsi="Times New Roman" w:cs="Times New Roman"/>
          <w:snapToGrid w:val="0"/>
          <w:sz w:val="24"/>
          <w:szCs w:val="24"/>
        </w:rPr>
        <w:t>2019)</w:t>
      </w:r>
      <w:r w:rsidR="006C168D">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19-38);</w:t>
      </w:r>
    </w:p>
    <w:p w14:paraId="12E47FBA" w14:textId="02E0BA0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10. Указание Приднестровского республиканского банка от 30 августа 2019 года </w:t>
      </w:r>
      <w:r w:rsidRPr="001E028B">
        <w:rPr>
          <w:rFonts w:ascii="Times New Roman" w:hAnsi="Times New Roman" w:cs="Times New Roman"/>
          <w:snapToGrid w:val="0"/>
          <w:sz w:val="24"/>
          <w:szCs w:val="24"/>
        </w:rPr>
        <w:br/>
        <w:t>№ 1182-У «О внесении изменений и дополнений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w:t>
      </w:r>
      <w:r w:rsidR="006C168D">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2007) (САЗ 07-52)» (Регистрационный № 9082 от 12</w:t>
      </w:r>
      <w:r w:rsidR="006C168D">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2019) (САЗ 19-35);</w:t>
      </w:r>
    </w:p>
    <w:p w14:paraId="6304CDA6" w14:textId="11184798"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11. Указание Приднестровского республиканского банка от 30 августа 2019 года </w:t>
      </w:r>
      <w:r w:rsidRPr="001E028B">
        <w:rPr>
          <w:rFonts w:ascii="Times New Roman" w:hAnsi="Times New Roman" w:cs="Times New Roman"/>
          <w:snapToGrid w:val="0"/>
          <w:sz w:val="24"/>
          <w:szCs w:val="24"/>
        </w:rPr>
        <w:br/>
        <w:t xml:space="preserve">№1183-У «О внесении изменения в Указание Приднестровского республиканского банка от </w:t>
      </w:r>
      <w:r w:rsidR="006C168D">
        <w:rPr>
          <w:rFonts w:ascii="Times New Roman" w:hAnsi="Times New Roman" w:cs="Times New Roman"/>
          <w:snapToGrid w:val="0"/>
          <w:sz w:val="24"/>
          <w:szCs w:val="24"/>
        </w:rPr>
        <w:br/>
      </w:r>
      <w:r w:rsidRPr="001E028B">
        <w:rPr>
          <w:rFonts w:ascii="Times New Roman" w:hAnsi="Times New Roman" w:cs="Times New Roman"/>
          <w:snapToGrid w:val="0"/>
          <w:sz w:val="24"/>
          <w:szCs w:val="24"/>
        </w:rPr>
        <w:t>3 марта 2011 года № 441-У «О порядке составления и представления отчётности в Приднестровский республиканский банк» (Регистрационный № 5602 от 20</w:t>
      </w:r>
      <w:r w:rsidR="006C168D">
        <w:rPr>
          <w:rFonts w:ascii="Times New Roman" w:hAnsi="Times New Roman" w:cs="Times New Roman"/>
          <w:snapToGrid w:val="0"/>
          <w:sz w:val="24"/>
          <w:szCs w:val="24"/>
        </w:rPr>
        <w:t>.04.</w:t>
      </w:r>
      <w:r w:rsidRPr="001E028B">
        <w:rPr>
          <w:rFonts w:ascii="Times New Roman" w:hAnsi="Times New Roman" w:cs="Times New Roman"/>
          <w:snapToGrid w:val="0"/>
          <w:sz w:val="24"/>
          <w:szCs w:val="24"/>
        </w:rPr>
        <w:t xml:space="preserve">2011) </w:t>
      </w:r>
      <w:r w:rsidR="006C168D">
        <w:rPr>
          <w:rFonts w:ascii="Times New Roman" w:hAnsi="Times New Roman" w:cs="Times New Roman"/>
          <w:snapToGrid w:val="0"/>
          <w:sz w:val="24"/>
          <w:szCs w:val="24"/>
        </w:rPr>
        <w:br/>
      </w:r>
      <w:r w:rsidRPr="001E028B">
        <w:rPr>
          <w:rFonts w:ascii="Times New Roman" w:hAnsi="Times New Roman" w:cs="Times New Roman"/>
          <w:snapToGrid w:val="0"/>
          <w:sz w:val="24"/>
          <w:szCs w:val="24"/>
        </w:rPr>
        <w:t>(САЗ 11-16)» (Регистрационный № 9081 от 12</w:t>
      </w:r>
      <w:r w:rsidR="006C168D">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2019) (САЗ 19-35);</w:t>
      </w:r>
    </w:p>
    <w:p w14:paraId="4A52334B" w14:textId="6ACF5CE1"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12. Положение Приднестровского республиканского банка от 20 ноября 2019 года </w:t>
      </w:r>
      <w:r w:rsidRPr="001E028B">
        <w:rPr>
          <w:rFonts w:ascii="Times New Roman" w:hAnsi="Times New Roman" w:cs="Times New Roman"/>
          <w:snapToGrid w:val="0"/>
          <w:sz w:val="24"/>
          <w:szCs w:val="24"/>
        </w:rPr>
        <w:br/>
        <w:t>№ 133-П «О внутренних структурных подразделениях кредитной организации» (Реги</w:t>
      </w:r>
      <w:r w:rsidR="006C168D">
        <w:rPr>
          <w:rFonts w:ascii="Times New Roman" w:hAnsi="Times New Roman" w:cs="Times New Roman"/>
          <w:snapToGrid w:val="0"/>
          <w:sz w:val="24"/>
          <w:szCs w:val="24"/>
        </w:rPr>
        <w:t>страционный № 9222 от 18.12.2019</w:t>
      </w:r>
      <w:r w:rsidRPr="001E028B">
        <w:rPr>
          <w:rFonts w:ascii="Times New Roman" w:hAnsi="Times New Roman" w:cs="Times New Roman"/>
          <w:snapToGrid w:val="0"/>
          <w:sz w:val="24"/>
          <w:szCs w:val="24"/>
        </w:rPr>
        <w:t xml:space="preserve">) (САЗ 19-49); </w:t>
      </w:r>
    </w:p>
    <w:p w14:paraId="4E86A3DB" w14:textId="7AD55976"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13. Положение Приднестровского республиканского банка от 20 ноября 2019 года </w:t>
      </w:r>
      <w:r w:rsidRPr="001E028B">
        <w:rPr>
          <w:rFonts w:ascii="Times New Roman" w:hAnsi="Times New Roman" w:cs="Times New Roman"/>
          <w:snapToGrid w:val="0"/>
          <w:sz w:val="24"/>
          <w:szCs w:val="24"/>
        </w:rPr>
        <w:br/>
        <w:t>№ 132-П «О порядке осуществления кредитными организациями (филиалами) отдельных видов банковских операций с наличной иностранной валютой с участием физических лиц» (Регистрационный № 9221 от 18</w:t>
      </w:r>
      <w:r w:rsidR="006C168D">
        <w:rPr>
          <w:rFonts w:ascii="Times New Roman" w:hAnsi="Times New Roman" w:cs="Times New Roman"/>
          <w:snapToGrid w:val="0"/>
          <w:sz w:val="24"/>
          <w:szCs w:val="24"/>
        </w:rPr>
        <w:t>.12.</w:t>
      </w:r>
      <w:r w:rsidRPr="001E028B">
        <w:rPr>
          <w:rFonts w:ascii="Times New Roman" w:hAnsi="Times New Roman" w:cs="Times New Roman"/>
          <w:snapToGrid w:val="0"/>
          <w:sz w:val="24"/>
          <w:szCs w:val="24"/>
        </w:rPr>
        <w:t xml:space="preserve">2019) (САЗ 19-49); </w:t>
      </w:r>
    </w:p>
    <w:p w14:paraId="1E48D9B5" w14:textId="15C38583"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14. Указание Приднестровского республиканского банка от 15 октября 2019 года </w:t>
      </w:r>
      <w:r w:rsidRPr="001E028B">
        <w:rPr>
          <w:rFonts w:ascii="Times New Roman" w:hAnsi="Times New Roman" w:cs="Times New Roman"/>
          <w:snapToGrid w:val="0"/>
          <w:sz w:val="24"/>
          <w:szCs w:val="24"/>
        </w:rPr>
        <w:br/>
        <w:t>№1193-У «О внесении дополнения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 (Регистрационный № 5089 от 17</w:t>
      </w:r>
      <w:r w:rsidR="006C168D">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2009)</w:t>
      </w:r>
      <w:r w:rsidR="006C168D">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09-51)» (Регистрационный № 9157 от 11</w:t>
      </w:r>
      <w:r w:rsidR="006C168D">
        <w:rPr>
          <w:rFonts w:ascii="Times New Roman" w:hAnsi="Times New Roman" w:cs="Times New Roman"/>
          <w:snapToGrid w:val="0"/>
          <w:sz w:val="24"/>
          <w:szCs w:val="24"/>
        </w:rPr>
        <w:t>.11.</w:t>
      </w:r>
      <w:r w:rsidRPr="001E028B">
        <w:rPr>
          <w:rFonts w:ascii="Times New Roman" w:hAnsi="Times New Roman" w:cs="Times New Roman"/>
          <w:snapToGrid w:val="0"/>
          <w:sz w:val="24"/>
          <w:szCs w:val="24"/>
        </w:rPr>
        <w:t>2019) (САЗ 19-44);</w:t>
      </w:r>
    </w:p>
    <w:p w14:paraId="6BD4C3BA" w14:textId="294812F2" w:rsidR="001E028B" w:rsidRPr="005428E5"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15. Указание Приднестровского республиканского банка от 15 октября 2019 года </w:t>
      </w:r>
      <w:r w:rsidRPr="001E028B">
        <w:rPr>
          <w:rFonts w:ascii="Times New Roman" w:hAnsi="Times New Roman" w:cs="Times New Roman"/>
          <w:snapToGrid w:val="0"/>
          <w:sz w:val="24"/>
          <w:szCs w:val="24"/>
        </w:rPr>
        <w:br/>
      </w:r>
      <w:r w:rsidRPr="005428E5">
        <w:rPr>
          <w:rFonts w:ascii="Times New Roman" w:hAnsi="Times New Roman" w:cs="Times New Roman"/>
          <w:snapToGrid w:val="0"/>
          <w:sz w:val="24"/>
          <w:szCs w:val="24"/>
        </w:rPr>
        <w:t xml:space="preserve">№1195-У «О внесении дополнений в Инструкцию Приднестровского республиканского банка от 2 июля 2008 года № 25-И «О порядке представления кредитными организациями отдельных форм отчетности в Приднестровский республиканский банк» (Регистрационный № 4548 от </w:t>
      </w:r>
      <w:r w:rsidR="00666904">
        <w:rPr>
          <w:rFonts w:ascii="Times New Roman" w:hAnsi="Times New Roman" w:cs="Times New Roman"/>
          <w:snapToGrid w:val="0"/>
          <w:sz w:val="24"/>
          <w:szCs w:val="24"/>
        </w:rPr>
        <w:br/>
      </w:r>
      <w:r w:rsidRPr="005428E5">
        <w:rPr>
          <w:rFonts w:ascii="Times New Roman" w:hAnsi="Times New Roman" w:cs="Times New Roman"/>
          <w:snapToGrid w:val="0"/>
          <w:sz w:val="24"/>
          <w:szCs w:val="24"/>
        </w:rPr>
        <w:t>19</w:t>
      </w:r>
      <w:r w:rsidR="006C168D">
        <w:rPr>
          <w:rFonts w:ascii="Times New Roman" w:hAnsi="Times New Roman" w:cs="Times New Roman"/>
          <w:snapToGrid w:val="0"/>
          <w:sz w:val="24"/>
          <w:szCs w:val="24"/>
        </w:rPr>
        <w:t>.08.</w:t>
      </w:r>
      <w:r w:rsidRPr="005428E5">
        <w:rPr>
          <w:rFonts w:ascii="Times New Roman" w:hAnsi="Times New Roman" w:cs="Times New Roman"/>
          <w:snapToGrid w:val="0"/>
          <w:sz w:val="24"/>
          <w:szCs w:val="24"/>
        </w:rPr>
        <w:t>2008) (САЗ 08-33)» (Реги</w:t>
      </w:r>
      <w:r w:rsidR="006C168D">
        <w:rPr>
          <w:rFonts w:ascii="Times New Roman" w:hAnsi="Times New Roman" w:cs="Times New Roman"/>
          <w:snapToGrid w:val="0"/>
          <w:sz w:val="24"/>
          <w:szCs w:val="24"/>
        </w:rPr>
        <w:t>страционный № 9176 от 22.11.2019</w:t>
      </w:r>
      <w:r w:rsidRPr="005428E5">
        <w:rPr>
          <w:rFonts w:ascii="Times New Roman" w:hAnsi="Times New Roman" w:cs="Times New Roman"/>
          <w:snapToGrid w:val="0"/>
          <w:sz w:val="24"/>
          <w:szCs w:val="24"/>
        </w:rPr>
        <w:t>) (САЗ 19-45);</w:t>
      </w:r>
    </w:p>
    <w:p w14:paraId="5C65A1A4" w14:textId="183803A9" w:rsidR="001E028B" w:rsidRPr="005428E5"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5428E5">
        <w:rPr>
          <w:rFonts w:ascii="Times New Roman" w:hAnsi="Times New Roman" w:cs="Times New Roman"/>
          <w:snapToGrid w:val="0"/>
          <w:sz w:val="24"/>
          <w:szCs w:val="24"/>
        </w:rPr>
        <w:t xml:space="preserve">16. Указание Приднестровского республиканского банка от 15 октября 2019 года </w:t>
      </w:r>
      <w:r w:rsidRPr="005428E5">
        <w:rPr>
          <w:rFonts w:ascii="Times New Roman" w:hAnsi="Times New Roman" w:cs="Times New Roman"/>
          <w:snapToGrid w:val="0"/>
          <w:sz w:val="24"/>
          <w:szCs w:val="24"/>
        </w:rPr>
        <w:br/>
        <w:t>№1196-У «О внесении дополнения в Указание Приднестровского республиканского банка от 3 марта 2011 года № 441-У «О порядке составления и представления отчетности в Приднестровский республиканский банк» (Регистрационный № 5602 от 20</w:t>
      </w:r>
      <w:r w:rsidR="006C168D">
        <w:rPr>
          <w:rFonts w:ascii="Times New Roman" w:hAnsi="Times New Roman" w:cs="Times New Roman"/>
          <w:snapToGrid w:val="0"/>
          <w:sz w:val="24"/>
          <w:szCs w:val="24"/>
        </w:rPr>
        <w:t>.04.</w:t>
      </w:r>
      <w:r w:rsidRPr="005428E5">
        <w:rPr>
          <w:rFonts w:ascii="Times New Roman" w:hAnsi="Times New Roman" w:cs="Times New Roman"/>
          <w:snapToGrid w:val="0"/>
          <w:sz w:val="24"/>
          <w:szCs w:val="24"/>
        </w:rPr>
        <w:t xml:space="preserve">2011) </w:t>
      </w:r>
      <w:r w:rsidR="006C168D">
        <w:rPr>
          <w:rFonts w:ascii="Times New Roman" w:hAnsi="Times New Roman" w:cs="Times New Roman"/>
          <w:snapToGrid w:val="0"/>
          <w:sz w:val="24"/>
          <w:szCs w:val="24"/>
        </w:rPr>
        <w:br/>
      </w:r>
      <w:r w:rsidRPr="005428E5">
        <w:rPr>
          <w:rFonts w:ascii="Times New Roman" w:hAnsi="Times New Roman" w:cs="Times New Roman"/>
          <w:snapToGrid w:val="0"/>
          <w:sz w:val="24"/>
          <w:szCs w:val="24"/>
        </w:rPr>
        <w:t>(САЗ 11-16)» (Регистрационный № 9175 от 22</w:t>
      </w:r>
      <w:r w:rsidR="006C168D">
        <w:rPr>
          <w:rFonts w:ascii="Times New Roman" w:hAnsi="Times New Roman" w:cs="Times New Roman"/>
          <w:snapToGrid w:val="0"/>
          <w:sz w:val="24"/>
          <w:szCs w:val="24"/>
        </w:rPr>
        <w:t>.11.</w:t>
      </w:r>
      <w:r w:rsidRPr="005428E5">
        <w:rPr>
          <w:rFonts w:ascii="Times New Roman" w:hAnsi="Times New Roman" w:cs="Times New Roman"/>
          <w:snapToGrid w:val="0"/>
          <w:sz w:val="24"/>
          <w:szCs w:val="24"/>
        </w:rPr>
        <w:t>2019) (САЗ 19-45);</w:t>
      </w:r>
    </w:p>
    <w:p w14:paraId="41F70026" w14:textId="12A6670C"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5428E5">
        <w:rPr>
          <w:rFonts w:ascii="Times New Roman" w:hAnsi="Times New Roman" w:cs="Times New Roman"/>
          <w:snapToGrid w:val="0"/>
          <w:sz w:val="24"/>
          <w:szCs w:val="24"/>
        </w:rPr>
        <w:t xml:space="preserve">17. Указание Приднестровского республиканского банка от 20 ноября 2019 года </w:t>
      </w:r>
      <w:r w:rsidRPr="005428E5">
        <w:rPr>
          <w:rFonts w:ascii="Times New Roman" w:hAnsi="Times New Roman" w:cs="Times New Roman"/>
          <w:snapToGrid w:val="0"/>
          <w:sz w:val="24"/>
          <w:szCs w:val="24"/>
        </w:rPr>
        <w:br/>
        <w:t>№1208-У «О</w:t>
      </w:r>
      <w:r w:rsidRPr="001E028B">
        <w:rPr>
          <w:rFonts w:ascii="Times New Roman" w:hAnsi="Times New Roman" w:cs="Times New Roman"/>
          <w:snapToGrid w:val="0"/>
          <w:sz w:val="24"/>
          <w:szCs w:val="24"/>
        </w:rPr>
        <w:t xml:space="preserve"> внесении изменений и дополнения в Положение Приднестровского республиканского банка от 25 апреля 2007 года № 72-П «О порядке эмиссии банковских карт и об операциях, совершаемых с использованием платёжных карт» (Регистрационный </w:t>
      </w:r>
      <w:r w:rsidRPr="001E028B">
        <w:rPr>
          <w:rFonts w:ascii="Times New Roman" w:hAnsi="Times New Roman" w:cs="Times New Roman"/>
          <w:snapToGrid w:val="0"/>
          <w:sz w:val="24"/>
          <w:szCs w:val="24"/>
        </w:rPr>
        <w:br/>
        <w:t>№ 3945 от 31</w:t>
      </w:r>
      <w:r w:rsidR="006C168D">
        <w:rPr>
          <w:rFonts w:ascii="Times New Roman" w:hAnsi="Times New Roman" w:cs="Times New Roman"/>
          <w:snapToGrid w:val="0"/>
          <w:sz w:val="24"/>
          <w:szCs w:val="24"/>
        </w:rPr>
        <w:t>.05.2007</w:t>
      </w:r>
      <w:r w:rsidRPr="001E028B">
        <w:rPr>
          <w:rFonts w:ascii="Times New Roman" w:hAnsi="Times New Roman" w:cs="Times New Roman"/>
          <w:snapToGrid w:val="0"/>
          <w:sz w:val="24"/>
          <w:szCs w:val="24"/>
        </w:rPr>
        <w:t>) (САЗ 07-23)» (Регистрационный № 9223 от 18</w:t>
      </w:r>
      <w:r w:rsidR="006C168D">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(САЗ 19-49);</w:t>
      </w:r>
    </w:p>
    <w:p w14:paraId="3BCD770A" w14:textId="5BAA354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18. Указание Приднестровского республиканского банка от 20 ноября 2019 года </w:t>
      </w:r>
      <w:r w:rsidRPr="001E028B">
        <w:rPr>
          <w:rFonts w:ascii="Times New Roman" w:hAnsi="Times New Roman" w:cs="Times New Roman"/>
          <w:snapToGrid w:val="0"/>
          <w:sz w:val="24"/>
          <w:szCs w:val="24"/>
        </w:rPr>
        <w:br/>
        <w:t>№1210-У «О внесении дополнения и изменений в Положение Приднестровского республиканского банка от 14 августа 2007 года № 80-П «Об обязательных резервах кредитных организаций» (Регистрационный № 4048 от 22</w:t>
      </w:r>
      <w:r w:rsidR="006C168D">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2007) (САЗ 07-35)» (Регистрационный № 9224 от 18</w:t>
      </w:r>
      <w:r w:rsidR="006C168D">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(САЗ 19-49);</w:t>
      </w:r>
    </w:p>
    <w:p w14:paraId="545C8E2D" w14:textId="56B1DFB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19. Указание Приднестровского республиканского банка от 20 ноября 2019 года </w:t>
      </w:r>
      <w:r w:rsidRPr="001E028B">
        <w:rPr>
          <w:rFonts w:ascii="Times New Roman" w:hAnsi="Times New Roman" w:cs="Times New Roman"/>
          <w:snapToGrid w:val="0"/>
          <w:sz w:val="24"/>
          <w:szCs w:val="24"/>
        </w:rPr>
        <w:br/>
      </w:r>
      <w:r w:rsidRPr="001E028B">
        <w:rPr>
          <w:rFonts w:ascii="Times New Roman" w:hAnsi="Times New Roman" w:cs="Times New Roman"/>
          <w:snapToGrid w:val="0"/>
          <w:sz w:val="24"/>
          <w:szCs w:val="24"/>
        </w:rPr>
        <w:lastRenderedPageBreak/>
        <w:t>№1211-У «О внесении изменений и дополнений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w:t>
      </w:r>
      <w:r w:rsidR="006C168D">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2007) (САЗ 07-52)» (Регистрационный № 9218 от 13</w:t>
      </w:r>
      <w:r w:rsidR="006C168D">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(САЗ 19-48);</w:t>
      </w:r>
    </w:p>
    <w:p w14:paraId="7DC7427D" w14:textId="50EBA16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20. Указание Приднестровского республиканского банка от 28 ноября 2019 года </w:t>
      </w:r>
      <w:r w:rsidRPr="001E028B">
        <w:rPr>
          <w:rFonts w:ascii="Times New Roman" w:hAnsi="Times New Roman" w:cs="Times New Roman"/>
          <w:snapToGrid w:val="0"/>
          <w:sz w:val="24"/>
          <w:szCs w:val="24"/>
        </w:rPr>
        <w:br/>
        <w:t>№</w:t>
      </w:r>
      <w:r w:rsidRPr="005428E5">
        <w:rPr>
          <w:rFonts w:ascii="Times New Roman" w:hAnsi="Times New Roman" w:cs="Times New Roman"/>
          <w:snapToGrid w:val="0"/>
          <w:sz w:val="24"/>
          <w:szCs w:val="24"/>
        </w:rPr>
        <w:t xml:space="preserve">1212-У </w:t>
      </w:r>
      <w:r w:rsidRPr="001E028B">
        <w:rPr>
          <w:rFonts w:ascii="Times New Roman" w:hAnsi="Times New Roman" w:cs="Times New Roman"/>
          <w:snapToGrid w:val="0"/>
          <w:sz w:val="24"/>
          <w:szCs w:val="24"/>
        </w:rPr>
        <w:t>«О внесении изменений и дополнений в Инструкцию Приднестровского республиканского банка от 2 июля 2008 года № 25-И «О порядке представления кредитными организациями отдельных форм отчетности в Приднестровский республиканский банк» (Регистрационный № 4548 от 19</w:t>
      </w:r>
      <w:r w:rsidR="006C168D">
        <w:rPr>
          <w:rFonts w:ascii="Times New Roman" w:hAnsi="Times New Roman" w:cs="Times New Roman"/>
          <w:snapToGrid w:val="0"/>
          <w:sz w:val="24"/>
          <w:szCs w:val="24"/>
        </w:rPr>
        <w:t>.08.2</w:t>
      </w:r>
      <w:r w:rsidRPr="001E028B">
        <w:rPr>
          <w:rFonts w:ascii="Times New Roman" w:hAnsi="Times New Roman" w:cs="Times New Roman"/>
          <w:snapToGrid w:val="0"/>
          <w:sz w:val="24"/>
          <w:szCs w:val="24"/>
        </w:rPr>
        <w:t>008) (САЗ 08-33)» (Регистрационный</w:t>
      </w:r>
      <w:r w:rsidR="006C168D">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 9247 от 24</w:t>
      </w:r>
      <w:r w:rsidR="006C168D">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19-50);</w:t>
      </w:r>
    </w:p>
    <w:p w14:paraId="604EB60F" w14:textId="35B5F45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21. Указание Приднестровского республиканского банка от 28 ноября 2019 года </w:t>
      </w:r>
      <w:r w:rsidRPr="001E028B">
        <w:rPr>
          <w:rFonts w:ascii="Times New Roman" w:hAnsi="Times New Roman" w:cs="Times New Roman"/>
          <w:snapToGrid w:val="0"/>
          <w:sz w:val="24"/>
          <w:szCs w:val="24"/>
        </w:rPr>
        <w:br/>
        <w:t>№1213-У «О внесении изменений в Инструкцию Приднестровского республиканского банка от 6 апреля 2004 года № 12-И «О регистрации банков, кредитных организаций и лицензировании банковской деятельности» (Регистрационный № 2813 от 16</w:t>
      </w:r>
      <w:r w:rsidR="006C168D">
        <w:rPr>
          <w:rFonts w:ascii="Times New Roman" w:hAnsi="Times New Roman" w:cs="Times New Roman"/>
          <w:snapToGrid w:val="0"/>
          <w:sz w:val="24"/>
          <w:szCs w:val="24"/>
        </w:rPr>
        <w:t>.06.</w:t>
      </w:r>
      <w:r w:rsidRPr="001E028B">
        <w:rPr>
          <w:rFonts w:ascii="Times New Roman" w:hAnsi="Times New Roman" w:cs="Times New Roman"/>
          <w:snapToGrid w:val="0"/>
          <w:sz w:val="24"/>
          <w:szCs w:val="24"/>
        </w:rPr>
        <w:t xml:space="preserve">2004) </w:t>
      </w:r>
      <w:r w:rsidR="006C168D">
        <w:rPr>
          <w:rFonts w:ascii="Times New Roman" w:hAnsi="Times New Roman" w:cs="Times New Roman"/>
          <w:snapToGrid w:val="0"/>
          <w:sz w:val="24"/>
          <w:szCs w:val="24"/>
        </w:rPr>
        <w:br/>
      </w:r>
      <w:r w:rsidRPr="001E028B">
        <w:rPr>
          <w:rFonts w:ascii="Times New Roman" w:hAnsi="Times New Roman" w:cs="Times New Roman"/>
          <w:snapToGrid w:val="0"/>
          <w:sz w:val="24"/>
          <w:szCs w:val="24"/>
        </w:rPr>
        <w:t>(САЗ 04-25)» (Регистрационный № 9248 от 24</w:t>
      </w:r>
      <w:r w:rsidR="006C168D">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xml:space="preserve">) (САЗ 19-50); </w:t>
      </w:r>
    </w:p>
    <w:p w14:paraId="46AB5902" w14:textId="6C73775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22. Указание Приднестровского республиканского банка от 28 ноября 2019 года </w:t>
      </w:r>
      <w:r w:rsidRPr="001E028B">
        <w:rPr>
          <w:rFonts w:ascii="Times New Roman" w:hAnsi="Times New Roman" w:cs="Times New Roman"/>
          <w:snapToGrid w:val="0"/>
          <w:sz w:val="24"/>
          <w:szCs w:val="24"/>
        </w:rPr>
        <w:br/>
        <w:t>№1214-У «О переводе обменных пунктов (отделений) в статус иных видов внутренних структурных подразделений кредитных организаций (филиалов кредитных организаций), о закрытии обменных пунктов (отделений) и об упорядочении деятельности внутренних структурных подразделений кредитных организаций (филиалов кредитных организаций)» (Регистрационный № 9251 от 25</w:t>
      </w:r>
      <w:r w:rsidR="006C168D">
        <w:rPr>
          <w:rFonts w:ascii="Times New Roman" w:hAnsi="Times New Roman" w:cs="Times New Roman"/>
          <w:snapToGrid w:val="0"/>
          <w:sz w:val="24"/>
          <w:szCs w:val="24"/>
        </w:rPr>
        <w:t>.12.</w:t>
      </w:r>
      <w:r w:rsidRPr="001E028B">
        <w:rPr>
          <w:rFonts w:ascii="Times New Roman" w:hAnsi="Times New Roman" w:cs="Times New Roman"/>
          <w:snapToGrid w:val="0"/>
          <w:sz w:val="24"/>
          <w:szCs w:val="24"/>
        </w:rPr>
        <w:t xml:space="preserve">2019) (САЗ 19-50); </w:t>
      </w:r>
    </w:p>
    <w:p w14:paraId="3682695C" w14:textId="7E031663"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23. Указание Приднестровского республиканского банка от28 ноября 2019 года </w:t>
      </w:r>
      <w:r w:rsidRPr="001E028B">
        <w:rPr>
          <w:rFonts w:ascii="Times New Roman" w:hAnsi="Times New Roman" w:cs="Times New Roman"/>
          <w:snapToGrid w:val="0"/>
          <w:sz w:val="24"/>
          <w:szCs w:val="24"/>
        </w:rPr>
        <w:br/>
        <w:t>№ 1215-У «О внесении изменений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w:t>
      </w:r>
      <w:r w:rsidR="00D41C44">
        <w:rPr>
          <w:rFonts w:ascii="Times New Roman" w:hAnsi="Times New Roman" w:cs="Times New Roman"/>
          <w:snapToGrid w:val="0"/>
          <w:sz w:val="24"/>
          <w:szCs w:val="24"/>
        </w:rPr>
        <w:t>.12.</w:t>
      </w:r>
      <w:r w:rsidRPr="001E028B">
        <w:rPr>
          <w:rFonts w:ascii="Times New Roman" w:hAnsi="Times New Roman" w:cs="Times New Roman"/>
          <w:snapToGrid w:val="0"/>
          <w:sz w:val="24"/>
          <w:szCs w:val="24"/>
        </w:rPr>
        <w:t xml:space="preserve">2007) (САЗ 07-52)» (Регистрационный </w:t>
      </w:r>
      <w:r w:rsidR="00D41C44">
        <w:rPr>
          <w:rFonts w:ascii="Times New Roman" w:hAnsi="Times New Roman" w:cs="Times New Roman"/>
          <w:snapToGrid w:val="0"/>
          <w:sz w:val="24"/>
          <w:szCs w:val="24"/>
        </w:rPr>
        <w:br/>
      </w:r>
      <w:r w:rsidRPr="001E028B">
        <w:rPr>
          <w:rFonts w:ascii="Times New Roman" w:hAnsi="Times New Roman" w:cs="Times New Roman"/>
          <w:snapToGrid w:val="0"/>
          <w:sz w:val="24"/>
          <w:szCs w:val="24"/>
        </w:rPr>
        <w:t>№ 9250 от 25</w:t>
      </w:r>
      <w:r w:rsidR="00D41C44">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(САЗ 19-50);</w:t>
      </w:r>
    </w:p>
    <w:p w14:paraId="4410BAC6" w14:textId="128A427D" w:rsidR="001E028B" w:rsidRPr="005428E5"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5428E5">
        <w:rPr>
          <w:rFonts w:ascii="Times New Roman" w:hAnsi="Times New Roman" w:cs="Times New Roman"/>
          <w:snapToGrid w:val="0"/>
          <w:sz w:val="24"/>
          <w:szCs w:val="24"/>
        </w:rPr>
        <w:t xml:space="preserve">24. Указание Приднестровского республиканского банка от 10 декабря 2019 года </w:t>
      </w:r>
      <w:r w:rsidRPr="005428E5">
        <w:rPr>
          <w:rFonts w:ascii="Times New Roman" w:hAnsi="Times New Roman" w:cs="Times New Roman"/>
          <w:snapToGrid w:val="0"/>
          <w:sz w:val="24"/>
          <w:szCs w:val="24"/>
        </w:rPr>
        <w:br/>
        <w:t>№1222-У «О внесении изменений и дополнений в Положение Приднестровского республиканского банка от 25 апреля 2007 года № 72-П «О порядке эмиссии банковских карт и об операциях, совершаемых с использованием платёжных карт» (Ре</w:t>
      </w:r>
      <w:r w:rsidR="00D41C44">
        <w:rPr>
          <w:rFonts w:ascii="Times New Roman" w:hAnsi="Times New Roman" w:cs="Times New Roman"/>
          <w:snapToGrid w:val="0"/>
          <w:sz w:val="24"/>
          <w:szCs w:val="24"/>
        </w:rPr>
        <w:t xml:space="preserve">гистрационный </w:t>
      </w:r>
      <w:r w:rsidR="00D41C44">
        <w:rPr>
          <w:rFonts w:ascii="Times New Roman" w:hAnsi="Times New Roman" w:cs="Times New Roman"/>
          <w:snapToGrid w:val="0"/>
          <w:sz w:val="24"/>
          <w:szCs w:val="24"/>
        </w:rPr>
        <w:br/>
        <w:t>№ 3945 от 31.05.</w:t>
      </w:r>
      <w:r w:rsidRPr="005428E5">
        <w:rPr>
          <w:rFonts w:ascii="Times New Roman" w:hAnsi="Times New Roman" w:cs="Times New Roman"/>
          <w:snapToGrid w:val="0"/>
          <w:sz w:val="24"/>
          <w:szCs w:val="24"/>
        </w:rPr>
        <w:t>2007) (САЗ 07-23)» (Регис</w:t>
      </w:r>
      <w:r w:rsidR="00D41C44">
        <w:rPr>
          <w:rFonts w:ascii="Times New Roman" w:hAnsi="Times New Roman" w:cs="Times New Roman"/>
          <w:snapToGrid w:val="0"/>
          <w:sz w:val="24"/>
          <w:szCs w:val="24"/>
        </w:rPr>
        <w:t>трационный № 9259 от 26.12.</w:t>
      </w:r>
      <w:r w:rsidRPr="005428E5">
        <w:rPr>
          <w:rFonts w:ascii="Times New Roman" w:hAnsi="Times New Roman" w:cs="Times New Roman"/>
          <w:snapToGrid w:val="0"/>
          <w:sz w:val="24"/>
          <w:szCs w:val="24"/>
        </w:rPr>
        <w:t>2019) (САЗ 19-50);</w:t>
      </w:r>
    </w:p>
    <w:p w14:paraId="50DA1B4A" w14:textId="1C3231FD" w:rsidR="001E028B" w:rsidRPr="005428E5"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5428E5">
        <w:rPr>
          <w:rFonts w:ascii="Times New Roman" w:hAnsi="Times New Roman" w:cs="Times New Roman"/>
          <w:snapToGrid w:val="0"/>
          <w:sz w:val="24"/>
          <w:szCs w:val="24"/>
        </w:rPr>
        <w:t xml:space="preserve">25. Указание Приднестровского республиканского банка от 10 декабря 2019 года </w:t>
      </w:r>
      <w:r w:rsidRPr="005428E5">
        <w:rPr>
          <w:rFonts w:ascii="Times New Roman" w:hAnsi="Times New Roman" w:cs="Times New Roman"/>
          <w:snapToGrid w:val="0"/>
          <w:sz w:val="24"/>
          <w:szCs w:val="24"/>
        </w:rPr>
        <w:br/>
        <w:t xml:space="preserve">№1223-У «О внесении изменений и дополнения в Указание Приднестровского республиканского банка от 3 марта 2011 года № 441-У «О порядке составления и представления отчётности в Приднестровский республиканский банк» (Регистрационный </w:t>
      </w:r>
      <w:r w:rsidRPr="005428E5">
        <w:rPr>
          <w:rFonts w:ascii="Times New Roman" w:hAnsi="Times New Roman" w:cs="Times New Roman"/>
          <w:snapToGrid w:val="0"/>
          <w:sz w:val="24"/>
          <w:szCs w:val="24"/>
        </w:rPr>
        <w:br/>
        <w:t>№ 5602 от 20</w:t>
      </w:r>
      <w:r w:rsidR="00D41C44">
        <w:rPr>
          <w:rFonts w:ascii="Times New Roman" w:hAnsi="Times New Roman" w:cs="Times New Roman"/>
          <w:snapToGrid w:val="0"/>
          <w:sz w:val="24"/>
          <w:szCs w:val="24"/>
        </w:rPr>
        <w:t>.04.</w:t>
      </w:r>
      <w:r w:rsidRPr="005428E5">
        <w:rPr>
          <w:rFonts w:ascii="Times New Roman" w:hAnsi="Times New Roman" w:cs="Times New Roman"/>
          <w:snapToGrid w:val="0"/>
          <w:sz w:val="24"/>
          <w:szCs w:val="24"/>
        </w:rPr>
        <w:t>2011) (САЗ 11-16)» (Регистрационный № 9261 от 26</w:t>
      </w:r>
      <w:r w:rsidR="00D41C44">
        <w:rPr>
          <w:rFonts w:ascii="Times New Roman" w:hAnsi="Times New Roman" w:cs="Times New Roman"/>
          <w:snapToGrid w:val="0"/>
          <w:sz w:val="24"/>
          <w:szCs w:val="24"/>
        </w:rPr>
        <w:t>.12.</w:t>
      </w:r>
      <w:r w:rsidRPr="005428E5">
        <w:rPr>
          <w:rFonts w:ascii="Times New Roman" w:hAnsi="Times New Roman" w:cs="Times New Roman"/>
          <w:snapToGrid w:val="0"/>
          <w:sz w:val="24"/>
          <w:szCs w:val="24"/>
        </w:rPr>
        <w:t>2019) (САЗ 19-50);</w:t>
      </w:r>
    </w:p>
    <w:p w14:paraId="5A55CC29" w14:textId="2B1FF80D" w:rsidR="005428E5" w:rsidRPr="005428E5"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5428E5">
        <w:rPr>
          <w:rFonts w:ascii="Times New Roman" w:hAnsi="Times New Roman" w:cs="Times New Roman"/>
          <w:snapToGrid w:val="0"/>
          <w:sz w:val="24"/>
          <w:szCs w:val="24"/>
        </w:rPr>
        <w:t xml:space="preserve">26. </w:t>
      </w:r>
      <w:r w:rsidR="005428E5" w:rsidRPr="005428E5">
        <w:rPr>
          <w:rFonts w:ascii="Times New Roman" w:hAnsi="Times New Roman" w:cs="Times New Roman"/>
          <w:snapToGrid w:val="0"/>
          <w:sz w:val="24"/>
          <w:szCs w:val="24"/>
        </w:rPr>
        <w:t xml:space="preserve">Указание Приднестровского республиканского банка от 24 декабря 2019 года </w:t>
      </w:r>
      <w:r w:rsidR="005428E5" w:rsidRPr="005428E5">
        <w:rPr>
          <w:rFonts w:ascii="Times New Roman" w:hAnsi="Times New Roman" w:cs="Times New Roman"/>
          <w:snapToGrid w:val="0"/>
          <w:sz w:val="24"/>
          <w:szCs w:val="24"/>
        </w:rPr>
        <w:br/>
        <w:t>№1228-У «О внесении изменений в Указание Приднестровского республиканского банка от 21 июля 2016 года № 920-У «О правилах учёта и хранения драгоценных металлов в кредитных организациях, расположенных на территории Приднестровской Молдавской Республики» (Регистрационный № 7507) (САЗ 16-31)»</w:t>
      </w:r>
      <w:r w:rsidR="00D41C44">
        <w:rPr>
          <w:rFonts w:ascii="Times New Roman" w:hAnsi="Times New Roman" w:cs="Times New Roman"/>
          <w:snapToGrid w:val="0"/>
          <w:sz w:val="24"/>
          <w:szCs w:val="24"/>
        </w:rPr>
        <w:t>;</w:t>
      </w:r>
    </w:p>
    <w:p w14:paraId="2886186A" w14:textId="09A9C0E9" w:rsidR="001E028B" w:rsidRDefault="005428E5" w:rsidP="005428E5">
      <w:pPr>
        <w:widowControl w:val="0"/>
        <w:spacing w:before="0" w:after="0" w:line="240" w:lineRule="auto"/>
        <w:ind w:firstLine="425"/>
        <w:jc w:val="both"/>
        <w:rPr>
          <w:rFonts w:ascii="Times New Roman" w:hAnsi="Times New Roman" w:cs="Times New Roman"/>
          <w:snapToGrid w:val="0"/>
          <w:sz w:val="24"/>
          <w:szCs w:val="24"/>
        </w:rPr>
      </w:pPr>
      <w:r w:rsidRPr="005428E5">
        <w:rPr>
          <w:rFonts w:ascii="Times New Roman" w:hAnsi="Times New Roman" w:cs="Times New Roman"/>
          <w:snapToGrid w:val="0"/>
          <w:sz w:val="24"/>
          <w:szCs w:val="24"/>
        </w:rPr>
        <w:t xml:space="preserve">27. </w:t>
      </w:r>
      <w:r w:rsidR="001E028B" w:rsidRPr="005428E5">
        <w:rPr>
          <w:rFonts w:ascii="Times New Roman" w:hAnsi="Times New Roman" w:cs="Times New Roman"/>
          <w:snapToGrid w:val="0"/>
          <w:sz w:val="24"/>
          <w:szCs w:val="24"/>
        </w:rPr>
        <w:t xml:space="preserve">Указание Приднестровского республиканского банка от 24 декабря 2019 года </w:t>
      </w:r>
      <w:r w:rsidR="001E028B" w:rsidRPr="005428E5">
        <w:rPr>
          <w:rFonts w:ascii="Times New Roman" w:hAnsi="Times New Roman" w:cs="Times New Roman"/>
          <w:snapToGrid w:val="0"/>
          <w:sz w:val="24"/>
          <w:szCs w:val="24"/>
        </w:rPr>
        <w:br/>
        <w:t>№1229-У «О внесении изменений в Указание Приднестровского республиканского банка от 26 июня</w:t>
      </w:r>
      <w:r w:rsidR="001E028B" w:rsidRPr="001E028B">
        <w:rPr>
          <w:rFonts w:ascii="Times New Roman" w:hAnsi="Times New Roman" w:cs="Times New Roman"/>
          <w:snapToGrid w:val="0"/>
          <w:sz w:val="24"/>
          <w:szCs w:val="24"/>
        </w:rPr>
        <w:t xml:space="preserve"> 2007 года № 78-П «О порядке составления и представления отчётности в Приднестровский республиканский банк» (Регистрационный № 4317 от 20</w:t>
      </w:r>
      <w:r w:rsidR="00D41C44">
        <w:rPr>
          <w:rFonts w:ascii="Times New Roman" w:hAnsi="Times New Roman" w:cs="Times New Roman"/>
          <w:snapToGrid w:val="0"/>
          <w:sz w:val="24"/>
          <w:szCs w:val="24"/>
        </w:rPr>
        <w:t>.04.</w:t>
      </w:r>
      <w:r w:rsidR="001E028B" w:rsidRPr="001E028B">
        <w:rPr>
          <w:rFonts w:ascii="Times New Roman" w:hAnsi="Times New Roman" w:cs="Times New Roman"/>
          <w:snapToGrid w:val="0"/>
          <w:sz w:val="24"/>
          <w:szCs w:val="24"/>
        </w:rPr>
        <w:t xml:space="preserve">2011) </w:t>
      </w:r>
      <w:r w:rsidR="00D41C44">
        <w:rPr>
          <w:rFonts w:ascii="Times New Roman" w:hAnsi="Times New Roman" w:cs="Times New Roman"/>
          <w:snapToGrid w:val="0"/>
          <w:sz w:val="24"/>
          <w:szCs w:val="24"/>
        </w:rPr>
        <w:br/>
      </w:r>
      <w:r w:rsidR="001E028B" w:rsidRPr="001E028B">
        <w:rPr>
          <w:rFonts w:ascii="Times New Roman" w:hAnsi="Times New Roman" w:cs="Times New Roman"/>
          <w:snapToGrid w:val="0"/>
          <w:sz w:val="24"/>
          <w:szCs w:val="24"/>
        </w:rPr>
        <w:t>(САЗ 08-7)» (Регистрационный № 9261 от 26</w:t>
      </w:r>
      <w:r w:rsidR="00D41C44">
        <w:rPr>
          <w:rFonts w:ascii="Times New Roman" w:hAnsi="Times New Roman" w:cs="Times New Roman"/>
          <w:snapToGrid w:val="0"/>
          <w:sz w:val="24"/>
          <w:szCs w:val="24"/>
        </w:rPr>
        <w:t>.12.20</w:t>
      </w:r>
      <w:r w:rsidR="001E028B" w:rsidRPr="001E028B">
        <w:rPr>
          <w:rFonts w:ascii="Times New Roman" w:hAnsi="Times New Roman" w:cs="Times New Roman"/>
          <w:snapToGrid w:val="0"/>
          <w:sz w:val="24"/>
          <w:szCs w:val="24"/>
        </w:rPr>
        <w:t>19) (САЗ 19-50)</w:t>
      </w:r>
      <w:r w:rsidR="00D41C44">
        <w:rPr>
          <w:rFonts w:ascii="Times New Roman" w:hAnsi="Times New Roman" w:cs="Times New Roman"/>
          <w:snapToGrid w:val="0"/>
          <w:sz w:val="24"/>
          <w:szCs w:val="24"/>
        </w:rPr>
        <w:t>.</w:t>
      </w:r>
    </w:p>
    <w:p w14:paraId="505A5A26" w14:textId="35C93C73" w:rsidR="001D426F" w:rsidRDefault="001D426F" w:rsidP="005428E5">
      <w:pPr>
        <w:widowControl w:val="0"/>
        <w:spacing w:before="0" w:after="0" w:line="240" w:lineRule="auto"/>
        <w:ind w:firstLine="425"/>
        <w:jc w:val="both"/>
        <w:rPr>
          <w:rFonts w:ascii="Times New Roman" w:hAnsi="Times New Roman" w:cs="Times New Roman"/>
          <w:snapToGrid w:val="0"/>
          <w:sz w:val="24"/>
          <w:szCs w:val="24"/>
        </w:rPr>
      </w:pPr>
    </w:p>
    <w:p w14:paraId="0420D063" w14:textId="77777777" w:rsidR="001D426F" w:rsidRPr="001E028B" w:rsidRDefault="001D426F" w:rsidP="005428E5">
      <w:pPr>
        <w:widowControl w:val="0"/>
        <w:spacing w:before="0" w:after="0" w:line="240" w:lineRule="auto"/>
        <w:ind w:firstLine="425"/>
        <w:jc w:val="both"/>
        <w:rPr>
          <w:rFonts w:ascii="Times New Roman" w:hAnsi="Times New Roman" w:cs="Times New Roman"/>
          <w:snapToGrid w:val="0"/>
          <w:sz w:val="24"/>
          <w:szCs w:val="24"/>
        </w:rPr>
      </w:pPr>
    </w:p>
    <w:p w14:paraId="3B6353FA" w14:textId="5AF731AA" w:rsidR="001E028B" w:rsidRDefault="001E028B" w:rsidP="001E028B">
      <w:pPr>
        <w:pStyle w:val="2"/>
        <w:spacing w:before="120" w:after="120" w:line="240" w:lineRule="auto"/>
        <w:rPr>
          <w:b/>
          <w:noProof/>
        </w:rPr>
      </w:pPr>
      <w:r w:rsidRPr="001E028B">
        <w:rPr>
          <w:b/>
          <w:noProof/>
        </w:rPr>
        <w:lastRenderedPageBreak/>
        <w:t xml:space="preserve">В сфере регулирования и надзора страховой деятельности: </w:t>
      </w:r>
    </w:p>
    <w:p w14:paraId="58392EFB" w14:textId="77777777" w:rsidR="001D426F" w:rsidRPr="001D426F" w:rsidRDefault="001D426F" w:rsidP="001D426F">
      <w:pPr>
        <w:spacing w:before="0" w:after="0"/>
      </w:pPr>
    </w:p>
    <w:p w14:paraId="6C9983DF" w14:textId="6DAA770A"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1. Указание Приднестровского республиканского банка от 12 марта 2019 года № 1141-У «О внесении изменений в некоторые нормативные акты Приднестровского республиканского банка</w:t>
      </w:r>
      <w:r w:rsidR="00D41C44">
        <w:rPr>
          <w:rFonts w:ascii="Times New Roman" w:hAnsi="Times New Roman" w:cs="Times New Roman"/>
          <w:snapToGrid w:val="0"/>
          <w:sz w:val="24"/>
          <w:szCs w:val="24"/>
        </w:rPr>
        <w:t>» (Регистрационный № 8793 от 10.04.</w:t>
      </w:r>
      <w:r w:rsidRPr="001E028B">
        <w:rPr>
          <w:rFonts w:ascii="Times New Roman" w:hAnsi="Times New Roman" w:cs="Times New Roman"/>
          <w:snapToGrid w:val="0"/>
          <w:sz w:val="24"/>
          <w:szCs w:val="24"/>
        </w:rPr>
        <w:t>2019) (САЗ 19-14);</w:t>
      </w:r>
    </w:p>
    <w:p w14:paraId="5864EAFC" w14:textId="31583643"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2. Указание Приднестровского республиканского банка от 12 марта 2019 года № 1143-У «Об утверждении методологии расчёта базовой страховой премии для обязательного страхования гражданской ответственности владельцев транспортных средств» (Регистрационный № 8868 от 25</w:t>
      </w:r>
      <w:r w:rsidR="00D41C44">
        <w:rPr>
          <w:rFonts w:ascii="Times New Roman" w:hAnsi="Times New Roman" w:cs="Times New Roman"/>
          <w:snapToGrid w:val="0"/>
          <w:sz w:val="24"/>
          <w:szCs w:val="24"/>
        </w:rPr>
        <w:t>.05.</w:t>
      </w:r>
      <w:r w:rsidRPr="001E028B">
        <w:rPr>
          <w:rFonts w:ascii="Times New Roman" w:hAnsi="Times New Roman" w:cs="Times New Roman"/>
          <w:snapToGrid w:val="0"/>
          <w:sz w:val="24"/>
          <w:szCs w:val="24"/>
        </w:rPr>
        <w:t xml:space="preserve">2019) (САЗ 19-19); </w:t>
      </w:r>
    </w:p>
    <w:p w14:paraId="3297B1D2" w14:textId="24082F9E"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3. Указание Приднестровского республиканского банка от 18 марта 2019 года № 1144-У «О внесении изменений в Указание Приднестровского республиканского банка от 13 декабря 2018 года № 1130-У «Об утверждении формы страхового полиса обязательного страхования гражданской ответственности владельцев транспортных средств» (Регистрационный № 8737 от 14</w:t>
      </w:r>
      <w:r w:rsidR="00D41C44">
        <w:rPr>
          <w:rFonts w:ascii="Times New Roman" w:hAnsi="Times New Roman" w:cs="Times New Roman"/>
          <w:snapToGrid w:val="0"/>
          <w:sz w:val="24"/>
          <w:szCs w:val="24"/>
        </w:rPr>
        <w:t>.03.2</w:t>
      </w:r>
      <w:r w:rsidRPr="001E028B">
        <w:rPr>
          <w:rFonts w:ascii="Times New Roman" w:hAnsi="Times New Roman" w:cs="Times New Roman"/>
          <w:snapToGrid w:val="0"/>
          <w:sz w:val="24"/>
          <w:szCs w:val="24"/>
        </w:rPr>
        <w:t>019</w:t>
      </w:r>
      <w:r w:rsidR="00D41C44">
        <w:rPr>
          <w:rFonts w:ascii="Times New Roman" w:hAnsi="Times New Roman" w:cs="Times New Roman"/>
          <w:snapToGrid w:val="0"/>
          <w:sz w:val="24"/>
          <w:szCs w:val="24"/>
        </w:rPr>
        <w:t>)</w:t>
      </w:r>
      <w:r w:rsidRPr="001E028B">
        <w:rPr>
          <w:rFonts w:ascii="Times New Roman" w:hAnsi="Times New Roman" w:cs="Times New Roman"/>
          <w:snapToGrid w:val="0"/>
          <w:sz w:val="24"/>
          <w:szCs w:val="24"/>
        </w:rPr>
        <w:t xml:space="preserve"> (САЗ 19-10)» (Регистрационный № 8761 от 29</w:t>
      </w:r>
      <w:r w:rsidR="00D41C44">
        <w:rPr>
          <w:rFonts w:ascii="Times New Roman" w:hAnsi="Times New Roman" w:cs="Times New Roman"/>
          <w:snapToGrid w:val="0"/>
          <w:sz w:val="24"/>
          <w:szCs w:val="24"/>
        </w:rPr>
        <w:t>.03.</w:t>
      </w:r>
      <w:r w:rsidRPr="001E028B">
        <w:rPr>
          <w:rFonts w:ascii="Times New Roman" w:hAnsi="Times New Roman" w:cs="Times New Roman"/>
          <w:snapToGrid w:val="0"/>
          <w:sz w:val="24"/>
          <w:szCs w:val="24"/>
        </w:rPr>
        <w:t>2019)</w:t>
      </w:r>
      <w:r w:rsidR="00D41C44">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19-12);</w:t>
      </w:r>
    </w:p>
    <w:p w14:paraId="008D8AD4" w14:textId="7ECDFBCD"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4. Указание Приднестровского республиканского банка от 18 марта 2019 года № 1145-У «О внесении изменения в Инструкцию Приднестровского республиканского банка от </w:t>
      </w:r>
      <w:r w:rsidRPr="001E028B">
        <w:rPr>
          <w:rFonts w:ascii="Times New Roman" w:hAnsi="Times New Roman" w:cs="Times New Roman"/>
          <w:snapToGrid w:val="0"/>
          <w:sz w:val="24"/>
          <w:szCs w:val="24"/>
        </w:rPr>
        <w:br/>
        <w:t>31 октября 2018 года № 40-И «О формах, сроках и порядке составления и представления отчётности страховыми организациями в Приднестровский республиканский банк» (Регистрационный № 8728 от 12</w:t>
      </w:r>
      <w:r w:rsidR="00D41C44">
        <w:rPr>
          <w:rFonts w:ascii="Times New Roman" w:hAnsi="Times New Roman" w:cs="Times New Roman"/>
          <w:snapToGrid w:val="0"/>
          <w:sz w:val="24"/>
          <w:szCs w:val="24"/>
        </w:rPr>
        <w:t>.03.</w:t>
      </w:r>
      <w:r w:rsidRPr="001E028B">
        <w:rPr>
          <w:rFonts w:ascii="Times New Roman" w:hAnsi="Times New Roman" w:cs="Times New Roman"/>
          <w:snapToGrid w:val="0"/>
          <w:sz w:val="24"/>
          <w:szCs w:val="24"/>
        </w:rPr>
        <w:t>2019) (САЗ 19-10)» (Регистрационный № 8762 от 29</w:t>
      </w:r>
      <w:r w:rsidR="00D41C44">
        <w:rPr>
          <w:rFonts w:ascii="Times New Roman" w:hAnsi="Times New Roman" w:cs="Times New Roman"/>
          <w:snapToGrid w:val="0"/>
          <w:sz w:val="24"/>
          <w:szCs w:val="24"/>
        </w:rPr>
        <w:t>.03.</w:t>
      </w:r>
      <w:r w:rsidRPr="001E028B">
        <w:rPr>
          <w:rFonts w:ascii="Times New Roman" w:hAnsi="Times New Roman" w:cs="Times New Roman"/>
          <w:snapToGrid w:val="0"/>
          <w:sz w:val="24"/>
          <w:szCs w:val="24"/>
        </w:rPr>
        <w:t>2019) (САЗ 19-12);</w:t>
      </w:r>
    </w:p>
    <w:p w14:paraId="511389B5" w14:textId="44F440DA"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5. Указание Приднестровского республиканского банка от 5 апреля 2019 года № 1149-У «О наглядной информации страховой организации на территории Приднестровской Молдавской Республики» (Регистрационный № 8839 от </w:t>
      </w:r>
      <w:r w:rsidR="00D41C44">
        <w:rPr>
          <w:rFonts w:ascii="Times New Roman" w:hAnsi="Times New Roman" w:cs="Times New Roman"/>
          <w:snapToGrid w:val="0"/>
          <w:sz w:val="24"/>
          <w:szCs w:val="24"/>
        </w:rPr>
        <w:t>0</w:t>
      </w:r>
      <w:r w:rsidRPr="001E028B">
        <w:rPr>
          <w:rFonts w:ascii="Times New Roman" w:hAnsi="Times New Roman" w:cs="Times New Roman"/>
          <w:snapToGrid w:val="0"/>
          <w:sz w:val="24"/>
          <w:szCs w:val="24"/>
        </w:rPr>
        <w:t>9</w:t>
      </w:r>
      <w:r w:rsidR="00D41C44">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2019) (САЗ 19-17);</w:t>
      </w:r>
    </w:p>
    <w:p w14:paraId="7596C26A" w14:textId="541DACA2"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6. Указание Приднестровского республиканского банка от 26 апреля 2019 года № 1155-У «О внесении изменений в Инструкцию Приднестровского республиканского банка от </w:t>
      </w:r>
      <w:r w:rsidRPr="001E028B">
        <w:rPr>
          <w:rFonts w:ascii="Times New Roman" w:hAnsi="Times New Roman" w:cs="Times New Roman"/>
          <w:snapToGrid w:val="0"/>
          <w:sz w:val="24"/>
          <w:szCs w:val="24"/>
        </w:rPr>
        <w:br/>
        <w:t>23 октября 2018 года № 39-И «О порядке расчёта стоимости чистых активов страховой организации» (Регистрационный № 8606 от 24</w:t>
      </w:r>
      <w:r w:rsidR="00D41C44">
        <w:rPr>
          <w:rFonts w:ascii="Times New Roman" w:hAnsi="Times New Roman" w:cs="Times New Roman"/>
          <w:snapToGrid w:val="0"/>
          <w:sz w:val="24"/>
          <w:szCs w:val="24"/>
        </w:rPr>
        <w:t>.12.</w:t>
      </w:r>
      <w:r w:rsidRPr="001E028B">
        <w:rPr>
          <w:rFonts w:ascii="Times New Roman" w:hAnsi="Times New Roman" w:cs="Times New Roman"/>
          <w:snapToGrid w:val="0"/>
          <w:sz w:val="24"/>
          <w:szCs w:val="24"/>
        </w:rPr>
        <w:t xml:space="preserve">2018) (САЗ 18-52)» (Регистрационный </w:t>
      </w:r>
      <w:r w:rsidR="00D41C44">
        <w:rPr>
          <w:rFonts w:ascii="Times New Roman" w:hAnsi="Times New Roman" w:cs="Times New Roman"/>
          <w:snapToGrid w:val="0"/>
          <w:sz w:val="24"/>
          <w:szCs w:val="24"/>
        </w:rPr>
        <w:br/>
      </w:r>
      <w:r w:rsidRPr="001E028B">
        <w:rPr>
          <w:rFonts w:ascii="Times New Roman" w:hAnsi="Times New Roman" w:cs="Times New Roman"/>
          <w:snapToGrid w:val="0"/>
          <w:sz w:val="24"/>
          <w:szCs w:val="24"/>
        </w:rPr>
        <w:t>№ 8854 от 18</w:t>
      </w:r>
      <w:r w:rsidR="00D41C44">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2019) (САЗ 19-18);</w:t>
      </w:r>
    </w:p>
    <w:p w14:paraId="33AD43C3" w14:textId="11834488"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7. Указание Приднестровского республиканского банка от 17 июня 2019 года № 1165-У «О порядке опубликования страховыми организациями годовой финансовой отчётности» (Регистрационный № 8979 от 11</w:t>
      </w:r>
      <w:r w:rsidR="00D41C44">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2019) (САЗ 19-26)»;</w:t>
      </w:r>
    </w:p>
    <w:p w14:paraId="190D4F02" w14:textId="399045AD"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8. Указание Приднестровского республиканского банка от 11 июля 2019 года № 1169-У «О внесении изменений и дополнений в Инструкцию Приднестровского республиканского банка от 31 октября 2018 года № 40-И «О формах, сроках и порядке составления и представления отчётности страховыми организациями в Приднестровский республиканский банк» (Регистрационный № 8728 от 12</w:t>
      </w:r>
      <w:r w:rsidR="00D41C44">
        <w:rPr>
          <w:rFonts w:ascii="Times New Roman" w:hAnsi="Times New Roman" w:cs="Times New Roman"/>
          <w:snapToGrid w:val="0"/>
          <w:sz w:val="24"/>
          <w:szCs w:val="24"/>
        </w:rPr>
        <w:t>.03.2019</w:t>
      </w:r>
      <w:r w:rsidRPr="001E028B">
        <w:rPr>
          <w:rFonts w:ascii="Times New Roman" w:hAnsi="Times New Roman" w:cs="Times New Roman"/>
          <w:snapToGrid w:val="0"/>
          <w:sz w:val="24"/>
          <w:szCs w:val="24"/>
        </w:rPr>
        <w:t>) (САЗ 19-10)» (Регистрационный № 9027 от 20</w:t>
      </w:r>
      <w:r w:rsidR="00D41C44">
        <w:rPr>
          <w:rFonts w:ascii="Times New Roman" w:hAnsi="Times New Roman" w:cs="Times New Roman"/>
          <w:snapToGrid w:val="0"/>
          <w:sz w:val="24"/>
          <w:szCs w:val="24"/>
        </w:rPr>
        <w:t>.08.</w:t>
      </w:r>
      <w:r w:rsidRPr="001E028B">
        <w:rPr>
          <w:rFonts w:ascii="Times New Roman" w:hAnsi="Times New Roman" w:cs="Times New Roman"/>
          <w:snapToGrid w:val="0"/>
          <w:sz w:val="24"/>
          <w:szCs w:val="24"/>
        </w:rPr>
        <w:t xml:space="preserve">2019) (САЗ 19-32); </w:t>
      </w:r>
    </w:p>
    <w:p w14:paraId="2E9CB7ED" w14:textId="31621EF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9. Указание Приднестровского республиканского банка от 19 июля 2019 года № 1171-У «Об установлении размеров базовой страховой премии и корректирующих коэффициентов в целях определения страховой премии по договору обязательного страхования гражданской ответственности владельцев транспортных средств» (Регистрационный № 9018 от 14</w:t>
      </w:r>
      <w:r w:rsidR="00D41C44">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2019) (САЗ 19-31);</w:t>
      </w:r>
      <w:r w:rsidRPr="001E028B">
        <w:rPr>
          <w:rFonts w:ascii="Times New Roman" w:hAnsi="Times New Roman" w:cs="Times New Roman"/>
          <w:snapToGrid w:val="0"/>
          <w:sz w:val="24"/>
          <w:szCs w:val="24"/>
        </w:rPr>
        <w:tab/>
      </w:r>
    </w:p>
    <w:p w14:paraId="4D48BB6A" w14:textId="1BA2072F"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10. Указание Приднестровского республиканского банка от 25 июля 2019 года № 1172-У «О внесении изменения в Указание Приднестровского республиканского банка от 5 апреля 2019 года № 1149-У «О наглядной информации страховой организации на территории Приднестровской Молдавской Республики» (Регистрационный № 8839 от </w:t>
      </w:r>
      <w:r w:rsidR="00D41C44">
        <w:rPr>
          <w:rFonts w:ascii="Times New Roman" w:hAnsi="Times New Roman" w:cs="Times New Roman"/>
          <w:snapToGrid w:val="0"/>
          <w:sz w:val="24"/>
          <w:szCs w:val="24"/>
        </w:rPr>
        <w:t>0</w:t>
      </w:r>
      <w:r w:rsidRPr="001E028B">
        <w:rPr>
          <w:rFonts w:ascii="Times New Roman" w:hAnsi="Times New Roman" w:cs="Times New Roman"/>
          <w:snapToGrid w:val="0"/>
          <w:sz w:val="24"/>
          <w:szCs w:val="24"/>
        </w:rPr>
        <w:t>9</w:t>
      </w:r>
      <w:r w:rsidR="00D41C44">
        <w:rPr>
          <w:rFonts w:ascii="Times New Roman" w:hAnsi="Times New Roman" w:cs="Times New Roman"/>
          <w:snapToGrid w:val="0"/>
          <w:sz w:val="24"/>
          <w:szCs w:val="24"/>
        </w:rPr>
        <w:t>.05.</w:t>
      </w:r>
      <w:r w:rsidRPr="001E028B">
        <w:rPr>
          <w:rFonts w:ascii="Times New Roman" w:hAnsi="Times New Roman" w:cs="Times New Roman"/>
          <w:snapToGrid w:val="0"/>
          <w:sz w:val="24"/>
          <w:szCs w:val="24"/>
        </w:rPr>
        <w:t xml:space="preserve">2019) </w:t>
      </w:r>
      <w:r w:rsidR="00D41C44">
        <w:rPr>
          <w:rFonts w:ascii="Times New Roman" w:hAnsi="Times New Roman" w:cs="Times New Roman"/>
          <w:snapToGrid w:val="0"/>
          <w:sz w:val="24"/>
          <w:szCs w:val="24"/>
        </w:rPr>
        <w:br/>
      </w:r>
      <w:r w:rsidRPr="001E028B">
        <w:rPr>
          <w:rFonts w:ascii="Times New Roman" w:hAnsi="Times New Roman" w:cs="Times New Roman"/>
          <w:snapToGrid w:val="0"/>
          <w:sz w:val="24"/>
          <w:szCs w:val="24"/>
        </w:rPr>
        <w:t>(САЗ 19-17)» (Регистрационный № 9037 от 21</w:t>
      </w:r>
      <w:r w:rsidR="00D41C44">
        <w:rPr>
          <w:rFonts w:ascii="Times New Roman" w:hAnsi="Times New Roman" w:cs="Times New Roman"/>
          <w:snapToGrid w:val="0"/>
          <w:sz w:val="24"/>
          <w:szCs w:val="24"/>
        </w:rPr>
        <w:t>.08.2019</w:t>
      </w:r>
      <w:r w:rsidRPr="001E028B">
        <w:rPr>
          <w:rFonts w:ascii="Times New Roman" w:hAnsi="Times New Roman" w:cs="Times New Roman"/>
          <w:snapToGrid w:val="0"/>
          <w:sz w:val="24"/>
          <w:szCs w:val="24"/>
        </w:rPr>
        <w:t>) (САЗ 19-32);</w:t>
      </w:r>
    </w:p>
    <w:p w14:paraId="7A4AB3CF" w14:textId="62624D6B"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11. Указание Приднестровского республиканского банка от 22 августа 2019 года </w:t>
      </w:r>
      <w:r w:rsidRPr="001E028B">
        <w:rPr>
          <w:rFonts w:ascii="Times New Roman" w:hAnsi="Times New Roman" w:cs="Times New Roman"/>
          <w:snapToGrid w:val="0"/>
          <w:sz w:val="24"/>
          <w:szCs w:val="24"/>
        </w:rPr>
        <w:br/>
      </w:r>
      <w:r w:rsidRPr="001E028B">
        <w:rPr>
          <w:rFonts w:ascii="Times New Roman" w:hAnsi="Times New Roman" w:cs="Times New Roman"/>
          <w:snapToGrid w:val="0"/>
          <w:sz w:val="24"/>
          <w:szCs w:val="24"/>
        </w:rPr>
        <w:lastRenderedPageBreak/>
        <w:t>№ 1179-У «О внесении изменений и дополнений в Инструкцию Приднестровского республиканского банка от 23 октября 2018 года № 39-И «О порядке расчёта стоимости чистых активов страховой организации» (Регистрационный № 8606 от 24</w:t>
      </w:r>
      <w:r w:rsidR="00D41C44">
        <w:rPr>
          <w:rFonts w:ascii="Times New Roman" w:hAnsi="Times New Roman" w:cs="Times New Roman"/>
          <w:snapToGrid w:val="0"/>
          <w:sz w:val="24"/>
          <w:szCs w:val="24"/>
        </w:rPr>
        <w:t>.12.2018</w:t>
      </w:r>
      <w:r w:rsidRPr="001E028B">
        <w:rPr>
          <w:rFonts w:ascii="Times New Roman" w:hAnsi="Times New Roman" w:cs="Times New Roman"/>
          <w:snapToGrid w:val="0"/>
          <w:sz w:val="24"/>
          <w:szCs w:val="24"/>
        </w:rPr>
        <w:t xml:space="preserve">) </w:t>
      </w:r>
      <w:r w:rsidR="00D41C44">
        <w:rPr>
          <w:rFonts w:ascii="Times New Roman" w:hAnsi="Times New Roman" w:cs="Times New Roman"/>
          <w:snapToGrid w:val="0"/>
          <w:sz w:val="24"/>
          <w:szCs w:val="24"/>
        </w:rPr>
        <w:br/>
      </w:r>
      <w:r w:rsidRPr="001E028B">
        <w:rPr>
          <w:rFonts w:ascii="Times New Roman" w:hAnsi="Times New Roman" w:cs="Times New Roman"/>
          <w:snapToGrid w:val="0"/>
          <w:sz w:val="24"/>
          <w:szCs w:val="24"/>
        </w:rPr>
        <w:t>(САЗ 18-52)» (Регистрационный № 9077 от 10</w:t>
      </w:r>
      <w:r w:rsidR="00D41C44">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2019) (САЗ 19-35);</w:t>
      </w:r>
    </w:p>
    <w:p w14:paraId="1EE11864" w14:textId="4FD60CC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12. Положение Приднестровского республиканского банка от 25 октября 2019 года </w:t>
      </w:r>
      <w:r w:rsidRPr="001E028B">
        <w:rPr>
          <w:rFonts w:ascii="Times New Roman" w:hAnsi="Times New Roman" w:cs="Times New Roman"/>
          <w:snapToGrid w:val="0"/>
          <w:sz w:val="24"/>
          <w:szCs w:val="24"/>
        </w:rPr>
        <w:br/>
        <w:t>№ 131-П «О правилах формирования страховых резервов по страхованию иному, чем страхование жизни» (Регистрационный № 9219 от 16</w:t>
      </w:r>
      <w:r w:rsidR="00D41C44">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19-49);</w:t>
      </w:r>
    </w:p>
    <w:p w14:paraId="3C718879" w14:textId="7638F5B2"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13. Положение Приднестровского республиканского банка от 10 декабря 2019 года </w:t>
      </w:r>
      <w:r w:rsidRPr="001E028B">
        <w:rPr>
          <w:rFonts w:ascii="Times New Roman" w:hAnsi="Times New Roman" w:cs="Times New Roman"/>
          <w:snapToGrid w:val="0"/>
          <w:sz w:val="24"/>
          <w:szCs w:val="24"/>
        </w:rPr>
        <w:br/>
        <w:t>№ 134-П «О плане счетов бухгалтерского учёта субъектов страхового дела» (Регистрационный № 9275 от 11</w:t>
      </w:r>
      <w:r w:rsidR="00D41C44">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 (САЗ 20-2);</w:t>
      </w:r>
    </w:p>
    <w:p w14:paraId="6A8D631F" w14:textId="7CB25CB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14. Положение Приднестровского республиканского банка от 10 декабря 2019 года </w:t>
      </w:r>
      <w:r w:rsidRPr="001E028B">
        <w:rPr>
          <w:rFonts w:ascii="Times New Roman" w:hAnsi="Times New Roman" w:cs="Times New Roman"/>
          <w:snapToGrid w:val="0"/>
          <w:sz w:val="24"/>
          <w:szCs w:val="24"/>
        </w:rPr>
        <w:br/>
        <w:t>№ 135-П «О правилах ведения бухгалтерского учёта субъектами страхового дела» (Регистрационный № 9272 от 10</w:t>
      </w:r>
      <w:r w:rsidR="00D41C44">
        <w:rPr>
          <w:rFonts w:ascii="Times New Roman" w:hAnsi="Times New Roman" w:cs="Times New Roman"/>
          <w:snapToGrid w:val="0"/>
          <w:sz w:val="24"/>
          <w:szCs w:val="24"/>
        </w:rPr>
        <w:t>.01.2</w:t>
      </w:r>
      <w:r w:rsidRPr="001E028B">
        <w:rPr>
          <w:rFonts w:ascii="Times New Roman" w:hAnsi="Times New Roman" w:cs="Times New Roman"/>
          <w:snapToGrid w:val="0"/>
          <w:sz w:val="24"/>
          <w:szCs w:val="24"/>
        </w:rPr>
        <w:t>020) (САЗ 20-2);</w:t>
      </w:r>
    </w:p>
    <w:p w14:paraId="4D207BF2" w14:textId="70CB381C"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15. Указание Приднестровского республиканского банка от 10 декабря 2019 года </w:t>
      </w:r>
      <w:r w:rsidRPr="001E028B">
        <w:rPr>
          <w:rFonts w:ascii="Times New Roman" w:hAnsi="Times New Roman" w:cs="Times New Roman"/>
          <w:snapToGrid w:val="0"/>
          <w:sz w:val="24"/>
          <w:szCs w:val="24"/>
        </w:rPr>
        <w:br/>
        <w:t>№1224-У «О порядке перехода на план счетов бухгалтерского учёта субъектов страхового дела и правила ведения бухгалтерского учёта субъектами страхового дела, вводимые в действие с 1 января 2021 года» (Регистрационный № 9274 от 11</w:t>
      </w:r>
      <w:r w:rsidR="00D41C44">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w:t>
      </w:r>
      <w:r w:rsidR="00D41C44">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20 -2);</w:t>
      </w:r>
    </w:p>
    <w:p w14:paraId="723FCB07" w14:textId="1CCD920F"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16. Указание Приднестровского республиканского банка от 10 декабря 2019 года </w:t>
      </w:r>
      <w:r w:rsidRPr="001E028B">
        <w:rPr>
          <w:rFonts w:ascii="Times New Roman" w:hAnsi="Times New Roman" w:cs="Times New Roman"/>
          <w:snapToGrid w:val="0"/>
          <w:sz w:val="24"/>
          <w:szCs w:val="24"/>
        </w:rPr>
        <w:br/>
        <w:t>№1225-У «О порядке составления субъектами страхового дела годовой финансовой отчётности» (Регистрационный № 9273 от 10</w:t>
      </w:r>
      <w:r w:rsidR="00D41C44">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 (САЗ 20 -2);</w:t>
      </w:r>
    </w:p>
    <w:p w14:paraId="145CBCC3" w14:textId="785D7AF8"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17. Указание Приднестровского республиканского банка от 20 декабря 2019 года </w:t>
      </w:r>
      <w:r w:rsidRPr="001E028B">
        <w:rPr>
          <w:rFonts w:ascii="Times New Roman" w:hAnsi="Times New Roman" w:cs="Times New Roman"/>
          <w:snapToGrid w:val="0"/>
          <w:sz w:val="24"/>
          <w:szCs w:val="24"/>
        </w:rPr>
        <w:br/>
        <w:t>№1227-У «О порядке перехода на новые правила формирования страховых резервов по страхованию иному, чем страхование жизни» (Регистрационный № 9268 от 30</w:t>
      </w:r>
      <w:r w:rsidR="00D41C44">
        <w:rPr>
          <w:rFonts w:ascii="Times New Roman" w:hAnsi="Times New Roman" w:cs="Times New Roman"/>
          <w:snapToGrid w:val="0"/>
          <w:sz w:val="24"/>
          <w:szCs w:val="24"/>
        </w:rPr>
        <w:t>.12.</w:t>
      </w:r>
      <w:r w:rsidRPr="001E028B">
        <w:rPr>
          <w:rFonts w:ascii="Times New Roman" w:hAnsi="Times New Roman" w:cs="Times New Roman"/>
          <w:snapToGrid w:val="0"/>
          <w:sz w:val="24"/>
          <w:szCs w:val="24"/>
        </w:rPr>
        <w:t xml:space="preserve">2019) </w:t>
      </w:r>
      <w:r w:rsidR="00D41C44">
        <w:rPr>
          <w:rFonts w:ascii="Times New Roman" w:hAnsi="Times New Roman" w:cs="Times New Roman"/>
          <w:snapToGrid w:val="0"/>
          <w:sz w:val="24"/>
          <w:szCs w:val="24"/>
        </w:rPr>
        <w:br/>
      </w:r>
      <w:r w:rsidRPr="001E028B">
        <w:rPr>
          <w:rFonts w:ascii="Times New Roman" w:hAnsi="Times New Roman" w:cs="Times New Roman"/>
          <w:snapToGrid w:val="0"/>
          <w:sz w:val="24"/>
          <w:szCs w:val="24"/>
        </w:rPr>
        <w:t>(САЗ 19-50).</w:t>
      </w:r>
    </w:p>
    <w:p w14:paraId="35436C56"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44C24A00" w14:textId="5F82F280" w:rsidR="001E028B" w:rsidRDefault="001E028B" w:rsidP="001E028B">
      <w:pPr>
        <w:pStyle w:val="2"/>
        <w:spacing w:before="120" w:after="120" w:line="240" w:lineRule="auto"/>
        <w:rPr>
          <w:b/>
          <w:noProof/>
        </w:rPr>
      </w:pPr>
      <w:r w:rsidRPr="001E028B">
        <w:rPr>
          <w:b/>
          <w:noProof/>
        </w:rPr>
        <w:t>В сфере общих вопросов деятельности кредитных и страховых организаций:</w:t>
      </w:r>
    </w:p>
    <w:p w14:paraId="3D9DF4AA" w14:textId="77777777" w:rsidR="001D426F" w:rsidRPr="001D426F" w:rsidRDefault="001D426F" w:rsidP="001D426F">
      <w:pPr>
        <w:spacing w:before="0" w:after="0"/>
      </w:pPr>
    </w:p>
    <w:p w14:paraId="6C9DAE93" w14:textId="32279F37"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Указание Приднестровского республиканского банка от 12 марта 2019 года № 1142-У «О внесении изменений в Инструкцию Приднестровского республиканского банка от </w:t>
      </w:r>
      <w:r w:rsidRPr="001E028B">
        <w:rPr>
          <w:rFonts w:ascii="Times New Roman" w:hAnsi="Times New Roman" w:cs="Times New Roman"/>
          <w:snapToGrid w:val="0"/>
          <w:sz w:val="24"/>
          <w:szCs w:val="24"/>
        </w:rPr>
        <w:br/>
        <w:t>22 ноября 2007 года № 23-И «О порядке осуществления Приднестровским республиканским банком камерального надзора (контроля) за деятельностью юридических лиц, осуществляющих операции с иностранной валютой, кредитных организаций и субъектов страхового дела» (регистрационный № 4220 от 25</w:t>
      </w:r>
      <w:r w:rsidR="00D41C44">
        <w:rPr>
          <w:rFonts w:ascii="Times New Roman" w:hAnsi="Times New Roman" w:cs="Times New Roman"/>
          <w:snapToGrid w:val="0"/>
          <w:sz w:val="24"/>
          <w:szCs w:val="24"/>
        </w:rPr>
        <w:t>.12.2</w:t>
      </w:r>
      <w:r w:rsidRPr="001E028B">
        <w:rPr>
          <w:rFonts w:ascii="Times New Roman" w:hAnsi="Times New Roman" w:cs="Times New Roman"/>
          <w:snapToGrid w:val="0"/>
          <w:sz w:val="24"/>
          <w:szCs w:val="24"/>
        </w:rPr>
        <w:t xml:space="preserve">007) (САЗ 07-53)» (Регистрационный </w:t>
      </w:r>
      <w:r w:rsidR="00D41C44">
        <w:rPr>
          <w:rFonts w:ascii="Times New Roman" w:hAnsi="Times New Roman" w:cs="Times New Roman"/>
          <w:snapToGrid w:val="0"/>
          <w:sz w:val="24"/>
          <w:szCs w:val="24"/>
        </w:rPr>
        <w:br/>
      </w:r>
      <w:r w:rsidRPr="001E028B">
        <w:rPr>
          <w:rFonts w:ascii="Times New Roman" w:hAnsi="Times New Roman" w:cs="Times New Roman"/>
          <w:snapToGrid w:val="0"/>
          <w:sz w:val="24"/>
          <w:szCs w:val="24"/>
        </w:rPr>
        <w:t>№ 8794 от 10</w:t>
      </w:r>
      <w:r w:rsidR="00D41C44">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 (САЗ 19-14)</w:t>
      </w:r>
    </w:p>
    <w:p w14:paraId="3513E217"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783F2FAA" w14:textId="0F01AE28" w:rsidR="001E028B" w:rsidRDefault="001E028B" w:rsidP="001E028B">
      <w:pPr>
        <w:pStyle w:val="2"/>
        <w:spacing w:before="120" w:after="120" w:line="240" w:lineRule="auto"/>
        <w:jc w:val="both"/>
        <w:rPr>
          <w:b/>
          <w:noProof/>
        </w:rPr>
      </w:pPr>
      <w:r w:rsidRPr="001E028B">
        <w:rPr>
          <w:b/>
          <w:noProof/>
        </w:rPr>
        <w:t>В сфере противодействия легализации (отмыванию) доходов, полученных преступным путём, и финансированию терроризма:</w:t>
      </w:r>
    </w:p>
    <w:p w14:paraId="4E82E05D" w14:textId="77777777" w:rsidR="001D426F" w:rsidRPr="001D426F" w:rsidRDefault="001D426F" w:rsidP="001D426F">
      <w:pPr>
        <w:spacing w:before="0" w:after="0"/>
      </w:pPr>
    </w:p>
    <w:p w14:paraId="2B148D1D"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1. Указание Приднестровского республиканского банка от 27 мая 2019 года № 1158-У «О внесении изменений в Регламент Приднестровского республиканского банка от 4 октября 2013 года № 75-Р «О порядке принятия решения Приднестровским республиканским банком о приостановлении операций (сделок) с денежными средствами или иным имуществом в целях противодействия финансированию терроризма»;</w:t>
      </w:r>
    </w:p>
    <w:p w14:paraId="4E764ADB" w14:textId="5C30CB84"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2. Указание Приднестровского республиканского банка от 11 июня 2019</w:t>
      </w:r>
      <w:r w:rsidR="003B5E0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 xml:space="preserve">года № 1163-У «О внесении изменений и дополнений в Положение Приднестровского республиканского банка от 20 августа 2018 года № 130-П «О требованиях к правилам внутреннего контроля </w:t>
      </w:r>
      <w:r w:rsidRPr="001E028B">
        <w:rPr>
          <w:rFonts w:ascii="Times New Roman" w:hAnsi="Times New Roman" w:cs="Times New Roman"/>
          <w:snapToGrid w:val="0"/>
          <w:sz w:val="24"/>
          <w:szCs w:val="24"/>
        </w:rPr>
        <w:lastRenderedPageBreak/>
        <w:t>организаций, осуществляющих операции с денежными средствами или иным имуществом, юридических и физических лиц, осуществляющих деятельность в сфере оказания юридических или бухгалтерских услуг, адвокатов, нотариусов в целях противодействия легализации (отмыванию) доходов, полученных преступным путём, и финансированию терроризма» (Регистрационный № 8980 от 11</w:t>
      </w:r>
      <w:r w:rsidR="003B5E05">
        <w:rPr>
          <w:rFonts w:ascii="Times New Roman" w:hAnsi="Times New Roman" w:cs="Times New Roman"/>
          <w:snapToGrid w:val="0"/>
          <w:sz w:val="24"/>
          <w:szCs w:val="24"/>
        </w:rPr>
        <w:t>.07.</w:t>
      </w:r>
      <w:r w:rsidRPr="001E028B">
        <w:rPr>
          <w:rFonts w:ascii="Times New Roman" w:hAnsi="Times New Roman" w:cs="Times New Roman"/>
          <w:snapToGrid w:val="0"/>
          <w:sz w:val="24"/>
          <w:szCs w:val="24"/>
        </w:rPr>
        <w:t>2019) (САЗ 19-26);</w:t>
      </w:r>
    </w:p>
    <w:p w14:paraId="2B228BAD" w14:textId="6A455BEF"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3. Указание Приднестровского республиканского банка от 03 июля 2019 года № 1168-У «О внесении изменений и дополнения в Инструкцию Приднестровского республиканского банка от 9 ноября 2012 года № 34-И «О порядке представления в Приднестровский республиканский банк информации в целях противодействия легализации (отмыванию) доходов, полученных преступным путём, и финансированию терроризма» (Регистрационный № 6227 от 13</w:t>
      </w:r>
      <w:r w:rsidR="003B5E05">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2012) (САЗ 12-51)» (ре</w:t>
      </w:r>
      <w:r w:rsidR="003B5E05">
        <w:rPr>
          <w:rFonts w:ascii="Times New Roman" w:hAnsi="Times New Roman" w:cs="Times New Roman"/>
          <w:snapToGrid w:val="0"/>
          <w:sz w:val="24"/>
          <w:szCs w:val="24"/>
        </w:rPr>
        <w:t>гистрационный № 9002 от 24.07.2019</w:t>
      </w:r>
      <w:r w:rsidRPr="001E028B">
        <w:rPr>
          <w:rFonts w:ascii="Times New Roman" w:hAnsi="Times New Roman" w:cs="Times New Roman"/>
          <w:snapToGrid w:val="0"/>
          <w:sz w:val="24"/>
          <w:szCs w:val="24"/>
        </w:rPr>
        <w:t>) (САЗ 19-28).</w:t>
      </w:r>
    </w:p>
    <w:p w14:paraId="01E4CB80"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675536B3" w14:textId="6A7CA04F" w:rsidR="001E028B" w:rsidRDefault="001E028B" w:rsidP="001E028B">
      <w:pPr>
        <w:pStyle w:val="2"/>
        <w:spacing w:before="120" w:after="120" w:line="240" w:lineRule="auto"/>
        <w:jc w:val="both"/>
        <w:rPr>
          <w:b/>
          <w:noProof/>
        </w:rPr>
      </w:pPr>
      <w:r w:rsidRPr="001E028B">
        <w:rPr>
          <w:b/>
          <w:noProof/>
        </w:rPr>
        <w:t>В сфере бухгалтерского учёта и отчётности:</w:t>
      </w:r>
    </w:p>
    <w:p w14:paraId="4A1ED5EF" w14:textId="77777777" w:rsidR="001D426F" w:rsidRPr="001D426F" w:rsidRDefault="001D426F" w:rsidP="001D426F">
      <w:pPr>
        <w:spacing w:before="0" w:after="0"/>
      </w:pPr>
    </w:p>
    <w:p w14:paraId="4B205C79" w14:textId="6926830E"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Указание Приднестровского республиканского банка от 22 августа 2019 года </w:t>
      </w:r>
      <w:r w:rsidRPr="001E028B">
        <w:rPr>
          <w:rFonts w:ascii="Times New Roman" w:hAnsi="Times New Roman" w:cs="Times New Roman"/>
          <w:snapToGrid w:val="0"/>
          <w:sz w:val="24"/>
          <w:szCs w:val="24"/>
        </w:rPr>
        <w:br/>
        <w:t>№ 1180-У «О внесении изменения в Положение Приднестровского республиканского банка от 26 сентября 2013 года № 116-П «О правилах ведения бухгалтерского учёта в кредитных организациях, расположенных на территории Приднестровской Молдавской Республики» (Регистрационный № 6610 от 21</w:t>
      </w:r>
      <w:r w:rsidR="003B5E05">
        <w:rPr>
          <w:rFonts w:ascii="Times New Roman" w:hAnsi="Times New Roman" w:cs="Times New Roman"/>
          <w:snapToGrid w:val="0"/>
          <w:sz w:val="24"/>
          <w:szCs w:val="24"/>
        </w:rPr>
        <w:t>.11.</w:t>
      </w:r>
      <w:r w:rsidRPr="001E028B">
        <w:rPr>
          <w:rFonts w:ascii="Times New Roman" w:hAnsi="Times New Roman" w:cs="Times New Roman"/>
          <w:snapToGrid w:val="0"/>
          <w:sz w:val="24"/>
          <w:szCs w:val="24"/>
        </w:rPr>
        <w:t>2013) (САЗ 13-46)» (Регистрационный № 9075 от 10</w:t>
      </w:r>
      <w:r w:rsidR="003B5E05">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2019) (САЗ 19-35);</w:t>
      </w:r>
    </w:p>
    <w:p w14:paraId="338879EE" w14:textId="05ECF9F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 Указание Приднестровского республиканского банка от 25 октября 2019 года </w:t>
      </w:r>
      <w:r w:rsidRPr="001E028B">
        <w:rPr>
          <w:rFonts w:ascii="Times New Roman" w:hAnsi="Times New Roman" w:cs="Times New Roman"/>
          <w:snapToGrid w:val="0"/>
          <w:sz w:val="24"/>
          <w:szCs w:val="24"/>
        </w:rPr>
        <w:br/>
        <w:t xml:space="preserve">№1207-У «О внесении дополнений в Положение Приднестровского республиканского банка от 21 января 2015 года № 118-П «О плане счетов бухгалтерского учёта в кредитных организациях, расположенных на территории Приднестровской Молдавской Республики» (Регистрационный № 7037 от </w:t>
      </w:r>
      <w:r w:rsidR="003B5E05">
        <w:rPr>
          <w:rFonts w:ascii="Times New Roman" w:hAnsi="Times New Roman" w:cs="Times New Roman"/>
          <w:snapToGrid w:val="0"/>
          <w:sz w:val="24"/>
          <w:szCs w:val="24"/>
        </w:rPr>
        <w:t>0</w:t>
      </w:r>
      <w:r w:rsidRPr="001E028B">
        <w:rPr>
          <w:rFonts w:ascii="Times New Roman" w:hAnsi="Times New Roman" w:cs="Times New Roman"/>
          <w:snapToGrid w:val="0"/>
          <w:sz w:val="24"/>
          <w:szCs w:val="24"/>
        </w:rPr>
        <w:t>5</w:t>
      </w:r>
      <w:r w:rsidR="003B5E05">
        <w:rPr>
          <w:rFonts w:ascii="Times New Roman" w:hAnsi="Times New Roman" w:cs="Times New Roman"/>
          <w:snapToGrid w:val="0"/>
          <w:sz w:val="24"/>
          <w:szCs w:val="24"/>
        </w:rPr>
        <w:t>.03.</w:t>
      </w:r>
      <w:r w:rsidRPr="001E028B">
        <w:rPr>
          <w:rFonts w:ascii="Times New Roman" w:hAnsi="Times New Roman" w:cs="Times New Roman"/>
          <w:snapToGrid w:val="0"/>
          <w:sz w:val="24"/>
          <w:szCs w:val="24"/>
        </w:rPr>
        <w:t>2015) (САЗ 15-10)» (Регистрационный № 9217 от 13</w:t>
      </w:r>
      <w:r w:rsidR="003B5E05">
        <w:rPr>
          <w:rFonts w:ascii="Times New Roman" w:hAnsi="Times New Roman" w:cs="Times New Roman"/>
          <w:snapToGrid w:val="0"/>
          <w:sz w:val="24"/>
          <w:szCs w:val="24"/>
        </w:rPr>
        <w:t>.11.2</w:t>
      </w:r>
      <w:r w:rsidRPr="001E028B">
        <w:rPr>
          <w:rFonts w:ascii="Times New Roman" w:hAnsi="Times New Roman" w:cs="Times New Roman"/>
          <w:snapToGrid w:val="0"/>
          <w:sz w:val="24"/>
          <w:szCs w:val="24"/>
        </w:rPr>
        <w:t>019) (САЗ 19-48);</w:t>
      </w:r>
    </w:p>
    <w:p w14:paraId="15BA6F7D" w14:textId="7DD28A6F"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3. Указание Приднестровского республиканского банка от 5 декабря 2019 года </w:t>
      </w:r>
      <w:r w:rsidRPr="001E028B">
        <w:rPr>
          <w:rFonts w:ascii="Times New Roman" w:hAnsi="Times New Roman" w:cs="Times New Roman"/>
          <w:snapToGrid w:val="0"/>
          <w:sz w:val="24"/>
          <w:szCs w:val="24"/>
        </w:rPr>
        <w:br/>
        <w:t>№1219-У «О внесении изменений и дополнений в Положение Приднестровского республиканского банка от 7 декабря 2012 года № 112-П «О порядке ведения кассовых операций, правилах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расположенных на территории Приднестровской Молдавской Республики» (Регистрационный № 6312 от 12</w:t>
      </w:r>
      <w:r w:rsidR="003B5E05">
        <w:rPr>
          <w:rFonts w:ascii="Times New Roman" w:hAnsi="Times New Roman" w:cs="Times New Roman"/>
          <w:snapToGrid w:val="0"/>
          <w:sz w:val="24"/>
          <w:szCs w:val="24"/>
        </w:rPr>
        <w:t>.02.2013</w:t>
      </w:r>
      <w:r w:rsidRPr="001E028B">
        <w:rPr>
          <w:rFonts w:ascii="Times New Roman" w:hAnsi="Times New Roman" w:cs="Times New Roman"/>
          <w:snapToGrid w:val="0"/>
          <w:sz w:val="24"/>
          <w:szCs w:val="24"/>
        </w:rPr>
        <w:t>) (САЗ 13-6)» (Регистрационный № 9258 от 26</w:t>
      </w:r>
      <w:r w:rsidR="003B5E05">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w:t>
      </w:r>
      <w:r w:rsidR="003B5E05">
        <w:rPr>
          <w:rFonts w:ascii="Times New Roman" w:hAnsi="Times New Roman" w:cs="Times New Roman"/>
          <w:snapToGrid w:val="0"/>
          <w:sz w:val="24"/>
          <w:szCs w:val="24"/>
        </w:rPr>
        <w:t>) (САЗ 19-50)</w:t>
      </w:r>
    </w:p>
    <w:p w14:paraId="2C53C196" w14:textId="170E38F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4. Указание Приднестровского республиканского банка от 5 декабря 2019 года </w:t>
      </w:r>
      <w:r w:rsidRPr="001E028B">
        <w:rPr>
          <w:rFonts w:ascii="Times New Roman" w:hAnsi="Times New Roman" w:cs="Times New Roman"/>
          <w:snapToGrid w:val="0"/>
          <w:sz w:val="24"/>
          <w:szCs w:val="24"/>
        </w:rPr>
        <w:br/>
        <w:t>№1220-У «О внесении изменений в Положение Приднестровского республиканского банка от 26 сентября 2013 года № 116-П «О правилах ведения бухгалтерского учёта в кредитных организациях, расположенных на территории Приднестровской Молдавской Республики» (Реги</w:t>
      </w:r>
      <w:r w:rsidR="003B5E05">
        <w:rPr>
          <w:rFonts w:ascii="Times New Roman" w:hAnsi="Times New Roman" w:cs="Times New Roman"/>
          <w:snapToGrid w:val="0"/>
          <w:sz w:val="24"/>
          <w:szCs w:val="24"/>
        </w:rPr>
        <w:t>страционный № 6610 от 21.11.</w:t>
      </w:r>
      <w:r w:rsidRPr="001E028B">
        <w:rPr>
          <w:rFonts w:ascii="Times New Roman" w:hAnsi="Times New Roman" w:cs="Times New Roman"/>
          <w:snapToGrid w:val="0"/>
          <w:sz w:val="24"/>
          <w:szCs w:val="24"/>
        </w:rPr>
        <w:t>2013) (САЗ 13-46)» (Регистрационный</w:t>
      </w:r>
      <w:r w:rsidR="003B5E0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 9256 от 25</w:t>
      </w:r>
      <w:r w:rsidR="003B5E05">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19-50);</w:t>
      </w:r>
    </w:p>
    <w:p w14:paraId="243673A8" w14:textId="6F96E4E3"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5. Указание Приднестровского республиканского банка от</w:t>
      </w:r>
      <w:r w:rsidR="003B5E0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 xml:space="preserve">5 декабря 2019 года </w:t>
      </w:r>
      <w:r w:rsidRPr="001E028B">
        <w:rPr>
          <w:rFonts w:ascii="Times New Roman" w:hAnsi="Times New Roman" w:cs="Times New Roman"/>
          <w:snapToGrid w:val="0"/>
          <w:sz w:val="24"/>
          <w:szCs w:val="24"/>
        </w:rPr>
        <w:br/>
        <w:t xml:space="preserve">№1221-У «О внесении изменений в Положение Приднестровского республиканского банка от 21 января 2015 года № 118-П «О плане счетов бухгалтерского учёта в кредитных организациях, расположенных на территории Приднестровской Молдавской Республики» (Регистрационный № 7037 от </w:t>
      </w:r>
      <w:r w:rsidR="003B5E05">
        <w:rPr>
          <w:rFonts w:ascii="Times New Roman" w:hAnsi="Times New Roman" w:cs="Times New Roman"/>
          <w:snapToGrid w:val="0"/>
          <w:sz w:val="24"/>
          <w:szCs w:val="24"/>
        </w:rPr>
        <w:t>0</w:t>
      </w:r>
      <w:r w:rsidRPr="001E028B">
        <w:rPr>
          <w:rFonts w:ascii="Times New Roman" w:hAnsi="Times New Roman" w:cs="Times New Roman"/>
          <w:snapToGrid w:val="0"/>
          <w:sz w:val="24"/>
          <w:szCs w:val="24"/>
        </w:rPr>
        <w:t>5</w:t>
      </w:r>
      <w:r w:rsidR="003B5E05">
        <w:rPr>
          <w:rFonts w:ascii="Times New Roman" w:hAnsi="Times New Roman" w:cs="Times New Roman"/>
          <w:snapToGrid w:val="0"/>
          <w:sz w:val="24"/>
          <w:szCs w:val="24"/>
        </w:rPr>
        <w:t>.03.</w:t>
      </w:r>
      <w:r w:rsidRPr="001E028B">
        <w:rPr>
          <w:rFonts w:ascii="Times New Roman" w:hAnsi="Times New Roman" w:cs="Times New Roman"/>
          <w:snapToGrid w:val="0"/>
          <w:sz w:val="24"/>
          <w:szCs w:val="24"/>
        </w:rPr>
        <w:t>2015) (САЗ 15-10)» (Регистрационный № 9257 от 25</w:t>
      </w:r>
      <w:r w:rsidR="003B5E05">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(САЗ 19-50).</w:t>
      </w:r>
    </w:p>
    <w:p w14:paraId="0AD7C903"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57FFB78A" w14:textId="58FF1864" w:rsidR="001E028B" w:rsidRDefault="001E028B" w:rsidP="001E028B">
      <w:pPr>
        <w:pStyle w:val="2"/>
        <w:spacing w:before="120" w:after="120" w:line="240" w:lineRule="auto"/>
        <w:jc w:val="both"/>
        <w:rPr>
          <w:b/>
          <w:noProof/>
        </w:rPr>
      </w:pPr>
      <w:r w:rsidRPr="001E028B">
        <w:rPr>
          <w:b/>
          <w:noProof/>
        </w:rPr>
        <w:lastRenderedPageBreak/>
        <w:t xml:space="preserve">В сфере банковской статистики и отчетности: </w:t>
      </w:r>
    </w:p>
    <w:p w14:paraId="4D579FDA" w14:textId="77777777" w:rsidR="001D426F" w:rsidRPr="001D426F" w:rsidRDefault="001D426F" w:rsidP="001D426F">
      <w:pPr>
        <w:spacing w:before="0" w:after="0"/>
      </w:pPr>
    </w:p>
    <w:p w14:paraId="08311C3A" w14:textId="10B96648"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1. Указание Приднестровского республиканского банка от 14 мая 2019 года № 1157–У «О внесении изменений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w:t>
      </w:r>
      <w:r w:rsidR="003B5E05">
        <w:rPr>
          <w:rFonts w:ascii="Times New Roman" w:hAnsi="Times New Roman" w:cs="Times New Roman"/>
          <w:snapToGrid w:val="0"/>
          <w:sz w:val="24"/>
          <w:szCs w:val="24"/>
        </w:rPr>
        <w:t xml:space="preserve">нк» (Регистрационный № 4548 от </w:t>
      </w:r>
      <w:r w:rsidRPr="001E028B">
        <w:rPr>
          <w:rFonts w:ascii="Times New Roman" w:hAnsi="Times New Roman" w:cs="Times New Roman"/>
          <w:snapToGrid w:val="0"/>
          <w:sz w:val="24"/>
          <w:szCs w:val="24"/>
        </w:rPr>
        <w:t>19</w:t>
      </w:r>
      <w:r w:rsidR="003B5E05">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2008) (САЗ 08-33)» (Регистрационный № 8902 от 13</w:t>
      </w:r>
      <w:r w:rsidR="003B5E05">
        <w:rPr>
          <w:rFonts w:ascii="Times New Roman" w:hAnsi="Times New Roman" w:cs="Times New Roman"/>
          <w:snapToGrid w:val="0"/>
          <w:sz w:val="24"/>
          <w:szCs w:val="24"/>
        </w:rPr>
        <w:t>.06.</w:t>
      </w:r>
      <w:r w:rsidRPr="001E028B">
        <w:rPr>
          <w:rFonts w:ascii="Times New Roman" w:hAnsi="Times New Roman" w:cs="Times New Roman"/>
          <w:snapToGrid w:val="0"/>
          <w:sz w:val="24"/>
          <w:szCs w:val="24"/>
        </w:rPr>
        <w:t>2019)</w:t>
      </w:r>
      <w:r w:rsidR="003B5E0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19-22).</w:t>
      </w:r>
    </w:p>
    <w:p w14:paraId="33958C28"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5F14908B" w14:textId="1556AD5B" w:rsidR="001E028B" w:rsidRDefault="001E028B" w:rsidP="001E028B">
      <w:pPr>
        <w:pStyle w:val="2"/>
        <w:spacing w:before="120" w:after="120" w:line="240" w:lineRule="auto"/>
        <w:jc w:val="both"/>
        <w:rPr>
          <w:b/>
          <w:noProof/>
        </w:rPr>
      </w:pPr>
      <w:r w:rsidRPr="001E028B">
        <w:rPr>
          <w:b/>
          <w:noProof/>
        </w:rPr>
        <w:t>В сфере регулирования наличного денежного обращения и порядка проведения кассовых операций:</w:t>
      </w:r>
    </w:p>
    <w:p w14:paraId="394533A8" w14:textId="77777777" w:rsidR="001D426F" w:rsidRPr="001D426F" w:rsidRDefault="001D426F" w:rsidP="001D426F">
      <w:pPr>
        <w:spacing w:before="0" w:after="0"/>
      </w:pPr>
    </w:p>
    <w:p w14:paraId="32FA1C88" w14:textId="0F03EB4C"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Указание Приднестровского республиканского банка от 27 мая 2019 года № 1160-У «О внесении изменений в Положение Приднестровского республиканского банка от </w:t>
      </w:r>
      <w:r w:rsidRPr="001E028B">
        <w:rPr>
          <w:rFonts w:ascii="Times New Roman" w:hAnsi="Times New Roman" w:cs="Times New Roman"/>
          <w:snapToGrid w:val="0"/>
          <w:sz w:val="24"/>
          <w:szCs w:val="24"/>
        </w:rPr>
        <w:br/>
        <w:t>17 января 2012 года № 108-П «О порядке ведения кассовых операций в Приднестровской Молдавской Республике» (Регистрационный № 5930 от 29</w:t>
      </w:r>
      <w:r w:rsidR="003B5E05">
        <w:rPr>
          <w:rFonts w:ascii="Times New Roman" w:hAnsi="Times New Roman" w:cs="Times New Roman"/>
          <w:snapToGrid w:val="0"/>
          <w:sz w:val="24"/>
          <w:szCs w:val="24"/>
        </w:rPr>
        <w:t>.02.</w:t>
      </w:r>
      <w:r w:rsidRPr="001E028B">
        <w:rPr>
          <w:rFonts w:ascii="Times New Roman" w:hAnsi="Times New Roman" w:cs="Times New Roman"/>
          <w:snapToGrid w:val="0"/>
          <w:sz w:val="24"/>
          <w:szCs w:val="24"/>
        </w:rPr>
        <w:t>2012) (САЗ 12-10)» (Регистрационный № 8920 от 14</w:t>
      </w:r>
      <w:r w:rsidR="003B5E05">
        <w:rPr>
          <w:rFonts w:ascii="Times New Roman" w:hAnsi="Times New Roman" w:cs="Times New Roman"/>
          <w:snapToGrid w:val="0"/>
          <w:sz w:val="24"/>
          <w:szCs w:val="24"/>
        </w:rPr>
        <w:t>.06.2019</w:t>
      </w:r>
      <w:r w:rsidRPr="001E028B">
        <w:rPr>
          <w:rFonts w:ascii="Times New Roman" w:hAnsi="Times New Roman" w:cs="Times New Roman"/>
          <w:snapToGrid w:val="0"/>
          <w:sz w:val="24"/>
          <w:szCs w:val="24"/>
        </w:rPr>
        <w:t>) (САЗ 19-22);</w:t>
      </w:r>
    </w:p>
    <w:p w14:paraId="402566CC" w14:textId="7450583B"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2. Указание Приднестровского республиканского банка от 27 мая 2019 года № 1161-У «О внесении изменений и дополнений в Положение Приднестровского республиканского банка от 11 апреля 2012 года № 109-П «О правилах организации наличного денежного обращения на территории Приднестровской Молдавской Республики» (Регистрационный № 6005 от 18</w:t>
      </w:r>
      <w:r w:rsidR="003B5E05">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2012) (САЗ 12-21)» (Регистрационный № 8928 от 20</w:t>
      </w:r>
      <w:r w:rsidR="003B5E05">
        <w:rPr>
          <w:rFonts w:ascii="Times New Roman" w:hAnsi="Times New Roman" w:cs="Times New Roman"/>
          <w:snapToGrid w:val="0"/>
          <w:sz w:val="24"/>
          <w:szCs w:val="24"/>
        </w:rPr>
        <w:t>.06.</w:t>
      </w:r>
      <w:r w:rsidRPr="001E028B">
        <w:rPr>
          <w:rFonts w:ascii="Times New Roman" w:hAnsi="Times New Roman" w:cs="Times New Roman"/>
          <w:snapToGrid w:val="0"/>
          <w:sz w:val="24"/>
          <w:szCs w:val="24"/>
        </w:rPr>
        <w:t>2019) (САЗ 19-23);</w:t>
      </w:r>
    </w:p>
    <w:p w14:paraId="75E56E55" w14:textId="36706811"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3. Указание Приднестровского республиканского банка от 25 июня 2019 года № 1166-У «О внесении изменений и дополнения в Положение Приднестровского республиканского банка от 17 января 2012 года № 108-П «О порядке ведения кассовых операций в Приднестровской Молдавской Республике» (Регистрационный № 5930 от 29</w:t>
      </w:r>
      <w:r w:rsidR="003B5E05">
        <w:rPr>
          <w:rFonts w:ascii="Times New Roman" w:hAnsi="Times New Roman" w:cs="Times New Roman"/>
          <w:snapToGrid w:val="0"/>
          <w:sz w:val="24"/>
          <w:szCs w:val="24"/>
        </w:rPr>
        <w:t>.02.</w:t>
      </w:r>
      <w:r w:rsidRPr="001E028B">
        <w:rPr>
          <w:rFonts w:ascii="Times New Roman" w:hAnsi="Times New Roman" w:cs="Times New Roman"/>
          <w:snapToGrid w:val="0"/>
          <w:sz w:val="24"/>
          <w:szCs w:val="24"/>
        </w:rPr>
        <w:t>2012) (САЗ 12-10)» (Регистрационный № 8950 от 28</w:t>
      </w:r>
      <w:r w:rsidR="003B5E05">
        <w:rPr>
          <w:rFonts w:ascii="Times New Roman" w:hAnsi="Times New Roman" w:cs="Times New Roman"/>
          <w:snapToGrid w:val="0"/>
          <w:sz w:val="24"/>
          <w:szCs w:val="24"/>
        </w:rPr>
        <w:t>.06.</w:t>
      </w:r>
      <w:r w:rsidRPr="001E028B">
        <w:rPr>
          <w:rFonts w:ascii="Times New Roman" w:hAnsi="Times New Roman" w:cs="Times New Roman"/>
          <w:snapToGrid w:val="0"/>
          <w:sz w:val="24"/>
          <w:szCs w:val="24"/>
        </w:rPr>
        <w:t>2019) (САЗ 19-24);</w:t>
      </w:r>
    </w:p>
    <w:p w14:paraId="7DC6A4FE" w14:textId="279F174A"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4. Указание Приднестровского республиканского банка от 25 июня 2019 года № 1167-У «О внесении изменений и дополнения в Положение Приднестровского республиканского банка от 11 апреля 2012 года № 109-П «О правилах организации наличного денежного обращения на территории Приднестровской Молдавской Республики» (Регистрационный </w:t>
      </w:r>
      <w:r w:rsidRPr="001E028B">
        <w:rPr>
          <w:rFonts w:ascii="Times New Roman" w:hAnsi="Times New Roman" w:cs="Times New Roman"/>
          <w:snapToGrid w:val="0"/>
          <w:sz w:val="24"/>
          <w:szCs w:val="24"/>
        </w:rPr>
        <w:br/>
        <w:t>№ 6005 от 18</w:t>
      </w:r>
      <w:r w:rsidR="003B5E05">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2012) (САЗ 12-21)» (Регистрационный № 8951 от 28</w:t>
      </w:r>
      <w:r w:rsidR="003B5E05">
        <w:rPr>
          <w:rFonts w:ascii="Times New Roman" w:hAnsi="Times New Roman" w:cs="Times New Roman"/>
          <w:snapToGrid w:val="0"/>
          <w:sz w:val="24"/>
          <w:szCs w:val="24"/>
        </w:rPr>
        <w:t>.06.2019</w:t>
      </w:r>
      <w:r w:rsidRPr="001E028B">
        <w:rPr>
          <w:rFonts w:ascii="Times New Roman" w:hAnsi="Times New Roman" w:cs="Times New Roman"/>
          <w:snapToGrid w:val="0"/>
          <w:sz w:val="24"/>
          <w:szCs w:val="24"/>
        </w:rPr>
        <w:t>) (САЗ 19-24);</w:t>
      </w:r>
    </w:p>
    <w:p w14:paraId="48B496B0" w14:textId="79BA3102"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5. Указание Приднестровского республиканского банка от 18 декабря 2019 года </w:t>
      </w:r>
      <w:r w:rsidRPr="001E028B">
        <w:rPr>
          <w:rFonts w:ascii="Times New Roman" w:hAnsi="Times New Roman" w:cs="Times New Roman"/>
          <w:snapToGrid w:val="0"/>
          <w:sz w:val="24"/>
          <w:szCs w:val="24"/>
        </w:rPr>
        <w:br/>
        <w:t>№1226-У «О внесении дополнений и изменения в Положение Приднестровского республиканского банка от 11 апреля 2012 года № 109-П «О правилах организации наличного денежного обращения на территории Приднестровской Молдавской Республики» (Регистрационный № 6005 от 18</w:t>
      </w:r>
      <w:r w:rsidR="003B5E05">
        <w:rPr>
          <w:rFonts w:ascii="Times New Roman" w:hAnsi="Times New Roman" w:cs="Times New Roman"/>
          <w:snapToGrid w:val="0"/>
          <w:sz w:val="24"/>
          <w:szCs w:val="24"/>
        </w:rPr>
        <w:t>.05.2012</w:t>
      </w:r>
      <w:r w:rsidRPr="001E028B">
        <w:rPr>
          <w:rFonts w:ascii="Times New Roman" w:hAnsi="Times New Roman" w:cs="Times New Roman"/>
          <w:snapToGrid w:val="0"/>
          <w:sz w:val="24"/>
          <w:szCs w:val="24"/>
        </w:rPr>
        <w:t>) (САЗ 12-21)» (Регистрационный № 9260 от 26</w:t>
      </w:r>
      <w:r w:rsidR="003B5E05">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19-50).</w:t>
      </w:r>
    </w:p>
    <w:p w14:paraId="76F7088B"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5305C5DD" w14:textId="6FF7E5BC" w:rsidR="001E028B" w:rsidRDefault="001E028B" w:rsidP="001D426F">
      <w:pPr>
        <w:pStyle w:val="2"/>
        <w:spacing w:before="0" w:line="240" w:lineRule="auto"/>
        <w:jc w:val="both"/>
        <w:rPr>
          <w:b/>
          <w:noProof/>
        </w:rPr>
      </w:pPr>
      <w:r w:rsidRPr="001E028B">
        <w:rPr>
          <w:b/>
          <w:noProof/>
        </w:rPr>
        <w:t>В иных сферах, регулирование которых осуществляет Приднестровский республиканский банк:</w:t>
      </w:r>
    </w:p>
    <w:p w14:paraId="143558DB" w14:textId="77777777" w:rsidR="001D426F" w:rsidRPr="001D426F" w:rsidRDefault="001D426F" w:rsidP="001D426F">
      <w:pPr>
        <w:spacing w:before="0" w:after="0"/>
      </w:pPr>
    </w:p>
    <w:p w14:paraId="1F8486A7" w14:textId="58BFE2D6"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Указание Приднестровского республиканского банка от 15 января 2019 года </w:t>
      </w:r>
      <w:r w:rsidRPr="001E028B">
        <w:rPr>
          <w:rFonts w:ascii="Times New Roman" w:hAnsi="Times New Roman" w:cs="Times New Roman"/>
          <w:snapToGrid w:val="0"/>
          <w:sz w:val="24"/>
          <w:szCs w:val="24"/>
        </w:rPr>
        <w:br/>
        <w:t>№ 1134–У «О внесении дополнения и изменений в Инструкцию Приднестровского республиканского банка от 8 августа 2006 года № 17-И «О порядке открытия, ведения, переоформления и закрытия счетов в банках Приднестровской Молдавской Республики» (Регистрационный № 3662 от 29</w:t>
      </w:r>
      <w:r w:rsidR="003B5E05">
        <w:rPr>
          <w:rFonts w:ascii="Times New Roman" w:hAnsi="Times New Roman" w:cs="Times New Roman"/>
          <w:snapToGrid w:val="0"/>
          <w:sz w:val="24"/>
          <w:szCs w:val="24"/>
        </w:rPr>
        <w:t>.08.</w:t>
      </w:r>
      <w:r w:rsidRPr="001E028B">
        <w:rPr>
          <w:rFonts w:ascii="Times New Roman" w:hAnsi="Times New Roman" w:cs="Times New Roman"/>
          <w:snapToGrid w:val="0"/>
          <w:sz w:val="24"/>
          <w:szCs w:val="24"/>
        </w:rPr>
        <w:t xml:space="preserve">2006) (САЗ 06-36)» (Регистрационный № 8696 от </w:t>
      </w:r>
      <w:r w:rsidRPr="001E028B">
        <w:rPr>
          <w:rFonts w:ascii="Times New Roman" w:hAnsi="Times New Roman" w:cs="Times New Roman"/>
          <w:snapToGrid w:val="0"/>
          <w:sz w:val="24"/>
          <w:szCs w:val="24"/>
        </w:rPr>
        <w:lastRenderedPageBreak/>
        <w:t>15</w:t>
      </w:r>
      <w:r w:rsidR="003B5E05">
        <w:rPr>
          <w:rFonts w:ascii="Times New Roman" w:hAnsi="Times New Roman" w:cs="Times New Roman"/>
          <w:snapToGrid w:val="0"/>
          <w:sz w:val="24"/>
          <w:szCs w:val="24"/>
        </w:rPr>
        <w:t>.02.2019</w:t>
      </w:r>
      <w:r w:rsidRPr="001E028B">
        <w:rPr>
          <w:rFonts w:ascii="Times New Roman" w:hAnsi="Times New Roman" w:cs="Times New Roman"/>
          <w:snapToGrid w:val="0"/>
          <w:sz w:val="24"/>
          <w:szCs w:val="24"/>
        </w:rPr>
        <w:t>) (САЗ 19-06);</w:t>
      </w:r>
    </w:p>
    <w:p w14:paraId="3A2E8691" w14:textId="35034215"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2. Указание Приднестровского республиканского банка от 12 апреля 2019 года № 1151-У «О внесении изменения и дополнения в Инструкцию Приднестровского республиканского банка от 8 августа 2006 года № 17-И «О порядке открытия, ведения, переоформления и закрытия счетов в банках Приднестровской Молдавской Республики» (Регистрационный </w:t>
      </w:r>
      <w:r w:rsidRPr="001E028B">
        <w:rPr>
          <w:rFonts w:ascii="Times New Roman" w:hAnsi="Times New Roman" w:cs="Times New Roman"/>
          <w:snapToGrid w:val="0"/>
          <w:sz w:val="24"/>
          <w:szCs w:val="24"/>
        </w:rPr>
        <w:br/>
        <w:t>№ 3662 от 29</w:t>
      </w:r>
      <w:r w:rsidR="003B5E05">
        <w:rPr>
          <w:rFonts w:ascii="Times New Roman" w:hAnsi="Times New Roman" w:cs="Times New Roman"/>
          <w:snapToGrid w:val="0"/>
          <w:sz w:val="24"/>
          <w:szCs w:val="24"/>
        </w:rPr>
        <w:t>.08.2</w:t>
      </w:r>
      <w:r w:rsidRPr="001E028B">
        <w:rPr>
          <w:rFonts w:ascii="Times New Roman" w:hAnsi="Times New Roman" w:cs="Times New Roman"/>
          <w:snapToGrid w:val="0"/>
          <w:sz w:val="24"/>
          <w:szCs w:val="24"/>
        </w:rPr>
        <w:t>006) (САЗ 06-36)» (Регистрационный № 8853 от 18</w:t>
      </w:r>
      <w:r w:rsidR="003B5E05">
        <w:rPr>
          <w:rFonts w:ascii="Times New Roman" w:hAnsi="Times New Roman" w:cs="Times New Roman"/>
          <w:snapToGrid w:val="0"/>
          <w:sz w:val="24"/>
          <w:szCs w:val="24"/>
        </w:rPr>
        <w:t>.05.2</w:t>
      </w:r>
      <w:r w:rsidRPr="001E028B">
        <w:rPr>
          <w:rFonts w:ascii="Times New Roman" w:hAnsi="Times New Roman" w:cs="Times New Roman"/>
          <w:snapToGrid w:val="0"/>
          <w:sz w:val="24"/>
          <w:szCs w:val="24"/>
        </w:rPr>
        <w:t>019) САЗ (19-18);</w:t>
      </w:r>
    </w:p>
    <w:p w14:paraId="25ED309C" w14:textId="33CA74A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3. Указание Приднестровского республиканского банка от 8 августа 2019 года №1175-У «О внесении изменений в Указание Приднестровского республиканского банка от 11 апреля 2011 года № 451-У «О порядке кассового обслуживания, приёма (выдачи) ценностей на хранение и инкассации денежной наличности и других ценностей кредитных организаций и иных юридических лиц Приднестровским республиканским банком» (Регистрационный </w:t>
      </w:r>
      <w:r w:rsidRPr="001E028B">
        <w:rPr>
          <w:rFonts w:ascii="Times New Roman" w:hAnsi="Times New Roman" w:cs="Times New Roman"/>
          <w:snapToGrid w:val="0"/>
          <w:sz w:val="24"/>
          <w:szCs w:val="24"/>
        </w:rPr>
        <w:br/>
        <w:t>№ 5628 от 20</w:t>
      </w:r>
      <w:r w:rsidR="003B5E05">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2011) (САЗ 11-20)» (Регистрационный № 9036 от 21</w:t>
      </w:r>
      <w:r w:rsidR="003B5E05">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2019) (САЗ 19-32);</w:t>
      </w:r>
    </w:p>
    <w:p w14:paraId="176E9289" w14:textId="220CBC2D"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4. Указание Приднестровского республиканского банка от 9 августа 2019 года №1176-У «О внесении изменений в Положение Приднестровского республиканского банка от </w:t>
      </w:r>
      <w:r w:rsidRPr="001E028B">
        <w:rPr>
          <w:rFonts w:ascii="Times New Roman" w:hAnsi="Times New Roman" w:cs="Times New Roman"/>
          <w:snapToGrid w:val="0"/>
          <w:sz w:val="24"/>
          <w:szCs w:val="24"/>
        </w:rPr>
        <w:br/>
        <w:t xml:space="preserve">11 апреля 2012 года № 109-П «О правилах организации наличного денежного обращения на территории Приднестровской Молдавской Республики» (Регистрационный № 6005 от </w:t>
      </w:r>
      <w:r w:rsidRPr="001E028B">
        <w:rPr>
          <w:rFonts w:ascii="Times New Roman" w:hAnsi="Times New Roman" w:cs="Times New Roman"/>
          <w:snapToGrid w:val="0"/>
          <w:sz w:val="24"/>
          <w:szCs w:val="24"/>
        </w:rPr>
        <w:br/>
        <w:t>18</w:t>
      </w:r>
      <w:r w:rsidR="003B5E05">
        <w:rPr>
          <w:rFonts w:ascii="Times New Roman" w:hAnsi="Times New Roman" w:cs="Times New Roman"/>
          <w:snapToGrid w:val="0"/>
          <w:sz w:val="24"/>
          <w:szCs w:val="24"/>
        </w:rPr>
        <w:t>.05.</w:t>
      </w:r>
      <w:r w:rsidRPr="001E028B">
        <w:rPr>
          <w:rFonts w:ascii="Times New Roman" w:hAnsi="Times New Roman" w:cs="Times New Roman"/>
          <w:snapToGrid w:val="0"/>
          <w:sz w:val="24"/>
          <w:szCs w:val="24"/>
        </w:rPr>
        <w:t>2012) (САЗ 12-21)» (Регистрационный № 9021 от 19</w:t>
      </w:r>
      <w:r w:rsidR="003B5E05">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2019)</w:t>
      </w:r>
      <w:r w:rsidR="003B5E0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19-32);</w:t>
      </w:r>
    </w:p>
    <w:p w14:paraId="07F85EA6" w14:textId="6157B912"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5. Указание Приднестровского республиканского банка от 13 августа 2019 года </w:t>
      </w:r>
      <w:r w:rsidRPr="001E028B">
        <w:rPr>
          <w:rFonts w:ascii="Times New Roman" w:hAnsi="Times New Roman" w:cs="Times New Roman"/>
          <w:snapToGrid w:val="0"/>
          <w:sz w:val="24"/>
          <w:szCs w:val="24"/>
        </w:rPr>
        <w:br/>
        <w:t xml:space="preserve">№ 1177-У «О внесении изменений и дополнения в Положение Приднестровского республиканского банка от 17 января 2012 года № 108-П «О порядке ведения кассовых операций в Приднестровской Молдавской Республике» (Регистрационный № 5930 от </w:t>
      </w:r>
      <w:r w:rsidRPr="001E028B">
        <w:rPr>
          <w:rFonts w:ascii="Times New Roman" w:hAnsi="Times New Roman" w:cs="Times New Roman"/>
          <w:snapToGrid w:val="0"/>
          <w:sz w:val="24"/>
          <w:szCs w:val="24"/>
        </w:rPr>
        <w:br/>
        <w:t>29</w:t>
      </w:r>
      <w:r w:rsidR="003B5E05">
        <w:rPr>
          <w:rFonts w:ascii="Times New Roman" w:hAnsi="Times New Roman" w:cs="Times New Roman"/>
          <w:snapToGrid w:val="0"/>
          <w:sz w:val="24"/>
          <w:szCs w:val="24"/>
        </w:rPr>
        <w:t>.02.2</w:t>
      </w:r>
      <w:r w:rsidRPr="001E028B">
        <w:rPr>
          <w:rFonts w:ascii="Times New Roman" w:hAnsi="Times New Roman" w:cs="Times New Roman"/>
          <w:snapToGrid w:val="0"/>
          <w:sz w:val="24"/>
          <w:szCs w:val="24"/>
        </w:rPr>
        <w:t>012) (САЗ 12-10)» (Регистрационный № 9020 от 19</w:t>
      </w:r>
      <w:r w:rsidR="003B5E05">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2019</w:t>
      </w:r>
      <w:r w:rsidR="003B5E0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(САЗ 19-32);</w:t>
      </w:r>
    </w:p>
    <w:p w14:paraId="5E53C7B7" w14:textId="7CAA722E"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6. Указание Приднестровского республиканского банка от 11 ноября 2019 года №1201-У «О внесении изменений в Инструкцию Приднестровского республиканского банка от </w:t>
      </w:r>
      <w:r w:rsidRPr="001E028B">
        <w:rPr>
          <w:rFonts w:ascii="Times New Roman" w:hAnsi="Times New Roman" w:cs="Times New Roman"/>
          <w:snapToGrid w:val="0"/>
          <w:sz w:val="24"/>
          <w:szCs w:val="24"/>
        </w:rPr>
        <w:br/>
        <w:t>12 ноября 2002 года № 9-И «О безналичных расчётах в Приднестровской Молдавской Республике» (Регистрационный № 1904 от 10</w:t>
      </w:r>
      <w:r w:rsidR="002433F8">
        <w:rPr>
          <w:rFonts w:ascii="Times New Roman" w:hAnsi="Times New Roman" w:cs="Times New Roman"/>
          <w:snapToGrid w:val="0"/>
          <w:sz w:val="24"/>
          <w:szCs w:val="24"/>
        </w:rPr>
        <w:t>.12.</w:t>
      </w:r>
      <w:r w:rsidRPr="001E028B">
        <w:rPr>
          <w:rFonts w:ascii="Times New Roman" w:hAnsi="Times New Roman" w:cs="Times New Roman"/>
          <w:snapToGrid w:val="0"/>
          <w:sz w:val="24"/>
          <w:szCs w:val="24"/>
        </w:rPr>
        <w:t xml:space="preserve">2002) (САЗ 02-50)» (Регистрационный </w:t>
      </w:r>
      <w:r w:rsidR="002433F8">
        <w:rPr>
          <w:rFonts w:ascii="Times New Roman" w:hAnsi="Times New Roman" w:cs="Times New Roman"/>
          <w:snapToGrid w:val="0"/>
          <w:sz w:val="24"/>
          <w:szCs w:val="24"/>
        </w:rPr>
        <w:br/>
      </w:r>
      <w:r w:rsidRPr="001E028B">
        <w:rPr>
          <w:rFonts w:ascii="Times New Roman" w:hAnsi="Times New Roman" w:cs="Times New Roman"/>
          <w:snapToGrid w:val="0"/>
          <w:sz w:val="24"/>
          <w:szCs w:val="24"/>
        </w:rPr>
        <w:t xml:space="preserve">№ 9201 от </w:t>
      </w:r>
      <w:r w:rsidR="002433F8">
        <w:rPr>
          <w:rFonts w:ascii="Times New Roman" w:hAnsi="Times New Roman" w:cs="Times New Roman"/>
          <w:snapToGrid w:val="0"/>
          <w:sz w:val="24"/>
          <w:szCs w:val="24"/>
        </w:rPr>
        <w:t>0</w:t>
      </w:r>
      <w:r w:rsidRPr="001E028B">
        <w:rPr>
          <w:rFonts w:ascii="Times New Roman" w:hAnsi="Times New Roman" w:cs="Times New Roman"/>
          <w:snapToGrid w:val="0"/>
          <w:sz w:val="24"/>
          <w:szCs w:val="24"/>
        </w:rPr>
        <w:t>6</w:t>
      </w:r>
      <w:r w:rsidR="002433F8">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19-47);</w:t>
      </w:r>
    </w:p>
    <w:p w14:paraId="4F21A746" w14:textId="44BA94D8"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7. Указание Приднестровского республиканского банка от 11 ноября 2019 года №1202-У «О внесении дополнений и изменений в Инструкцию Приднестровского республиканского банка от 26 марта 2008 года № 24-И «О порядке представления отчётности для составления платёжного баланса Приднестровской Молдавской Республики» (Регистрационный </w:t>
      </w:r>
      <w:r w:rsidRPr="001E028B">
        <w:rPr>
          <w:rFonts w:ascii="Times New Roman" w:hAnsi="Times New Roman" w:cs="Times New Roman"/>
          <w:snapToGrid w:val="0"/>
          <w:sz w:val="24"/>
          <w:szCs w:val="24"/>
        </w:rPr>
        <w:br/>
        <w:t xml:space="preserve">№ 4377 от </w:t>
      </w:r>
      <w:r w:rsidR="002433F8">
        <w:rPr>
          <w:rFonts w:ascii="Times New Roman" w:hAnsi="Times New Roman" w:cs="Times New Roman"/>
          <w:snapToGrid w:val="0"/>
          <w:sz w:val="24"/>
          <w:szCs w:val="24"/>
        </w:rPr>
        <w:t>0</w:t>
      </w:r>
      <w:r w:rsidRPr="001E028B">
        <w:rPr>
          <w:rFonts w:ascii="Times New Roman" w:hAnsi="Times New Roman" w:cs="Times New Roman"/>
          <w:snapToGrid w:val="0"/>
          <w:sz w:val="24"/>
          <w:szCs w:val="24"/>
        </w:rPr>
        <w:t>1</w:t>
      </w:r>
      <w:r w:rsidR="002433F8">
        <w:rPr>
          <w:rFonts w:ascii="Times New Roman" w:hAnsi="Times New Roman" w:cs="Times New Roman"/>
          <w:snapToGrid w:val="0"/>
          <w:sz w:val="24"/>
          <w:szCs w:val="24"/>
        </w:rPr>
        <w:t>.04.2008</w:t>
      </w:r>
      <w:r w:rsidRPr="001E028B">
        <w:rPr>
          <w:rFonts w:ascii="Times New Roman" w:hAnsi="Times New Roman" w:cs="Times New Roman"/>
          <w:snapToGrid w:val="0"/>
          <w:sz w:val="24"/>
          <w:szCs w:val="24"/>
        </w:rPr>
        <w:t>) (САЗ 08-13)» (Регистрационный №</w:t>
      </w:r>
      <w:r w:rsidR="002433F8">
        <w:rPr>
          <w:rFonts w:ascii="Times New Roman" w:hAnsi="Times New Roman" w:cs="Times New Roman"/>
          <w:snapToGrid w:val="0"/>
          <w:sz w:val="24"/>
          <w:szCs w:val="24"/>
        </w:rPr>
        <w:t xml:space="preserve"> 9206 от 06.12.2019</w:t>
      </w:r>
      <w:r w:rsidRPr="001E028B">
        <w:rPr>
          <w:rFonts w:ascii="Times New Roman" w:hAnsi="Times New Roman" w:cs="Times New Roman"/>
          <w:snapToGrid w:val="0"/>
          <w:sz w:val="24"/>
          <w:szCs w:val="24"/>
        </w:rPr>
        <w:t>) (САЗ 19-47);</w:t>
      </w:r>
    </w:p>
    <w:p w14:paraId="591B0291" w14:textId="723E5EC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8. Указание Приднестровского республиканского банка от 20 ноября 2019 года </w:t>
      </w:r>
      <w:r w:rsidRPr="001E028B">
        <w:rPr>
          <w:rFonts w:ascii="Times New Roman" w:hAnsi="Times New Roman" w:cs="Times New Roman"/>
          <w:snapToGrid w:val="0"/>
          <w:sz w:val="24"/>
          <w:szCs w:val="24"/>
        </w:rPr>
        <w:br/>
        <w:t>№1209-У «О внесении дополнений и изменений в Инструкцию Приднестровского республиканского банка от 8 августа 2006 года № 17-И «О порядке открытия, ведения, переоформления и закрытия счетов в банках Приднестровской Молдавской Республики» (Регистрационный № 3662 от 29</w:t>
      </w:r>
      <w:r w:rsidR="002433F8">
        <w:rPr>
          <w:rFonts w:ascii="Times New Roman" w:hAnsi="Times New Roman" w:cs="Times New Roman"/>
          <w:snapToGrid w:val="0"/>
          <w:sz w:val="24"/>
          <w:szCs w:val="24"/>
        </w:rPr>
        <w:t>.08.</w:t>
      </w:r>
      <w:r w:rsidRPr="001E028B">
        <w:rPr>
          <w:rFonts w:ascii="Times New Roman" w:hAnsi="Times New Roman" w:cs="Times New Roman"/>
          <w:snapToGrid w:val="0"/>
          <w:sz w:val="24"/>
          <w:szCs w:val="24"/>
        </w:rPr>
        <w:t>2006) (САЗ 06-36)» (Регистрационный № 9211 от 10</w:t>
      </w:r>
      <w:r w:rsidR="002433F8">
        <w:rPr>
          <w:rFonts w:ascii="Times New Roman" w:hAnsi="Times New Roman" w:cs="Times New Roman"/>
          <w:snapToGrid w:val="0"/>
          <w:sz w:val="24"/>
          <w:szCs w:val="24"/>
        </w:rPr>
        <w:t>.12.2019</w:t>
      </w:r>
      <w:r w:rsidRPr="001E028B">
        <w:rPr>
          <w:rFonts w:ascii="Times New Roman" w:hAnsi="Times New Roman" w:cs="Times New Roman"/>
          <w:snapToGrid w:val="0"/>
          <w:sz w:val="24"/>
          <w:szCs w:val="24"/>
        </w:rPr>
        <w:t>) (САЗ 19-48);</w:t>
      </w:r>
    </w:p>
    <w:p w14:paraId="7C3E6238" w14:textId="7514F23B" w:rsid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9. Указание Приднестровского республиканского банка от 26 декабря 2019 года </w:t>
      </w:r>
      <w:r w:rsidRPr="001E028B">
        <w:rPr>
          <w:rFonts w:ascii="Times New Roman" w:hAnsi="Times New Roman" w:cs="Times New Roman"/>
          <w:snapToGrid w:val="0"/>
          <w:sz w:val="24"/>
          <w:szCs w:val="24"/>
        </w:rPr>
        <w:br/>
        <w:t xml:space="preserve">№1232-У «О внесении дополнений и изменений в Инструкцию Приднестровского республиканского банка от 26 марта 2008 года № 24-И «О порядке представления отчётности для составления платёжного баланса Приднестровской Молдавской Республики» (Регистрационный № 4377 от </w:t>
      </w:r>
      <w:r w:rsidR="008D363D">
        <w:rPr>
          <w:rFonts w:ascii="Times New Roman" w:hAnsi="Times New Roman" w:cs="Times New Roman"/>
          <w:snapToGrid w:val="0"/>
          <w:sz w:val="24"/>
          <w:szCs w:val="24"/>
        </w:rPr>
        <w:t>0</w:t>
      </w:r>
      <w:r w:rsidRPr="001E028B">
        <w:rPr>
          <w:rFonts w:ascii="Times New Roman" w:hAnsi="Times New Roman" w:cs="Times New Roman"/>
          <w:snapToGrid w:val="0"/>
          <w:sz w:val="24"/>
          <w:szCs w:val="24"/>
        </w:rPr>
        <w:t>1</w:t>
      </w:r>
      <w:r w:rsidR="008D363D">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2008) (САЗ 08-13)» (Регистрационный № 9295 от 22</w:t>
      </w:r>
      <w:r w:rsidR="008D363D">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 (САЗ 20-4).</w:t>
      </w:r>
    </w:p>
    <w:p w14:paraId="3F9DC0D0" w14:textId="77777777" w:rsidR="001D426F" w:rsidRPr="001E028B" w:rsidRDefault="001D426F" w:rsidP="001E028B">
      <w:pPr>
        <w:widowControl w:val="0"/>
        <w:spacing w:before="0" w:after="0" w:line="240" w:lineRule="auto"/>
        <w:ind w:firstLine="425"/>
        <w:jc w:val="both"/>
        <w:rPr>
          <w:rFonts w:ascii="Times New Roman" w:hAnsi="Times New Roman" w:cs="Times New Roman"/>
          <w:snapToGrid w:val="0"/>
          <w:sz w:val="24"/>
          <w:szCs w:val="24"/>
        </w:rPr>
      </w:pPr>
    </w:p>
    <w:p w14:paraId="004AED9E" w14:textId="77777777" w:rsidR="00953836" w:rsidRPr="00953836" w:rsidRDefault="00953836" w:rsidP="001D426F">
      <w:pPr>
        <w:pStyle w:val="2"/>
        <w:spacing w:before="0" w:line="240" w:lineRule="auto"/>
        <w:jc w:val="both"/>
        <w:rPr>
          <w:b/>
          <w:noProof/>
        </w:rPr>
      </w:pPr>
      <w:r w:rsidRPr="00953836">
        <w:rPr>
          <w:b/>
          <w:noProof/>
        </w:rPr>
        <w:t>В области регулирования деятельности Приднестровского республиканского банка</w:t>
      </w:r>
    </w:p>
    <w:p w14:paraId="558A6FD5" w14:textId="77777777" w:rsidR="00953836" w:rsidRPr="00953836" w:rsidRDefault="00953836" w:rsidP="001D426F">
      <w:pPr>
        <w:spacing w:before="120" w:after="0" w:line="240" w:lineRule="auto"/>
        <w:ind w:firstLine="425"/>
        <w:rPr>
          <w:rFonts w:ascii="Times New Roman" w:hAnsi="Times New Roman" w:cs="Times New Roman"/>
          <w:sz w:val="24"/>
          <w:szCs w:val="24"/>
        </w:rPr>
      </w:pPr>
      <w:r w:rsidRPr="00953836">
        <w:rPr>
          <w:rFonts w:ascii="Times New Roman" w:hAnsi="Times New Roman" w:cs="Times New Roman"/>
          <w:sz w:val="24"/>
          <w:szCs w:val="24"/>
        </w:rPr>
        <w:t>В целях регулирования внутренней деятельности Приднестровского республиканского банка было принято 28 внутренних нормативных актов.</w:t>
      </w:r>
    </w:p>
    <w:p w14:paraId="3AF12961" w14:textId="1C303665" w:rsidR="001E028B" w:rsidRDefault="001E028B" w:rsidP="001D426F">
      <w:pPr>
        <w:pStyle w:val="2"/>
        <w:spacing w:before="0" w:line="240" w:lineRule="auto"/>
        <w:jc w:val="both"/>
        <w:rPr>
          <w:b/>
          <w:noProof/>
        </w:rPr>
      </w:pPr>
      <w:r w:rsidRPr="001E028B">
        <w:rPr>
          <w:b/>
          <w:noProof/>
        </w:rPr>
        <w:lastRenderedPageBreak/>
        <w:t xml:space="preserve">в ходе межведомственного взаимодействия изданы или согласованы приказы: </w:t>
      </w:r>
    </w:p>
    <w:p w14:paraId="584FA9EF" w14:textId="77777777" w:rsidR="001D426F" w:rsidRPr="001D426F" w:rsidRDefault="001D426F" w:rsidP="001D426F">
      <w:pPr>
        <w:spacing w:before="0" w:after="0"/>
      </w:pPr>
    </w:p>
    <w:p w14:paraId="50CD3EC9" w14:textId="4D0CC37F"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Приказ Государственного таможенного комитета Приднестровской Молдавской Республики и Приднестровского республиканского банка от 21 марта 2019 года № 91/01-06/38 «О внесении изменений в Приказ Государственного таможенного комитета Приднестровской Молдавской Республики и Приднестровского республиканского банка от 24 августа 2018 года № 419/01-06/101 «Об утверждении порядка электронного обмена данными при осуществлении валютного контроля за репатриацией валютных средств при перемещении товаров через таможенную границу Приднестровской Молдавской Республики» (регистрационный № 8451 от </w:t>
      </w:r>
      <w:r w:rsidR="008D363D">
        <w:rPr>
          <w:rFonts w:ascii="Times New Roman" w:hAnsi="Times New Roman" w:cs="Times New Roman"/>
          <w:snapToGrid w:val="0"/>
          <w:sz w:val="24"/>
          <w:szCs w:val="24"/>
        </w:rPr>
        <w:t>0</w:t>
      </w:r>
      <w:r w:rsidRPr="001E028B">
        <w:rPr>
          <w:rFonts w:ascii="Times New Roman" w:hAnsi="Times New Roman" w:cs="Times New Roman"/>
          <w:snapToGrid w:val="0"/>
          <w:sz w:val="24"/>
          <w:szCs w:val="24"/>
        </w:rPr>
        <w:t>3</w:t>
      </w:r>
      <w:r w:rsidR="008D363D">
        <w:rPr>
          <w:rFonts w:ascii="Times New Roman" w:hAnsi="Times New Roman" w:cs="Times New Roman"/>
          <w:snapToGrid w:val="0"/>
          <w:sz w:val="24"/>
          <w:szCs w:val="24"/>
        </w:rPr>
        <w:t>.10.</w:t>
      </w:r>
      <w:r w:rsidRPr="001E028B">
        <w:rPr>
          <w:rFonts w:ascii="Times New Roman" w:hAnsi="Times New Roman" w:cs="Times New Roman"/>
          <w:snapToGrid w:val="0"/>
          <w:sz w:val="24"/>
          <w:szCs w:val="24"/>
        </w:rPr>
        <w:t>2018) (САЗ 18-40) (Регистрационный № 8795 от 10</w:t>
      </w:r>
      <w:r w:rsidR="008D363D">
        <w:rPr>
          <w:rFonts w:ascii="Times New Roman" w:hAnsi="Times New Roman" w:cs="Times New Roman"/>
          <w:snapToGrid w:val="0"/>
          <w:sz w:val="24"/>
          <w:szCs w:val="24"/>
        </w:rPr>
        <w:t>.04.</w:t>
      </w:r>
      <w:r w:rsidRPr="001E028B">
        <w:rPr>
          <w:rFonts w:ascii="Times New Roman" w:hAnsi="Times New Roman" w:cs="Times New Roman"/>
          <w:snapToGrid w:val="0"/>
          <w:sz w:val="24"/>
          <w:szCs w:val="24"/>
        </w:rPr>
        <w:t>2019) (САЗ 19-14).</w:t>
      </w:r>
    </w:p>
    <w:p w14:paraId="6CEE88F9"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Проект разработан в целях обеспечения возможности обмена данными в случаях, когда информационные сообщения были направлены в систему обмена с неверными БКК либо его отсутствием при корректировке таможенной декларации в части изменения вида оплаты (формы расчётов).</w:t>
      </w:r>
    </w:p>
    <w:p w14:paraId="16099E23" w14:textId="479C697F"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2. Согласован Приказ Министерства финансов Приднестровской Молдавской Республики от 15 марта 2019 № 62 «О внесении дополнения в Приказ Министерства финансов Приднестровской Молдавской Республики от 3 апреля 2008 года № 54 «Об утверждении Инструкции «О порядке постановки налогоплательщиков на учёт в налоговых органах, снятии их с учёта и открытия им счетов в банках и иных кредитных организациях» (</w:t>
      </w:r>
      <w:r w:rsidR="00334FA5">
        <w:rPr>
          <w:rFonts w:ascii="Times New Roman" w:hAnsi="Times New Roman" w:cs="Times New Roman"/>
          <w:snapToGrid w:val="0"/>
          <w:sz w:val="24"/>
          <w:szCs w:val="24"/>
        </w:rPr>
        <w:t>Регистрационный</w:t>
      </w:r>
      <w:r w:rsidR="00334FA5" w:rsidRPr="001E028B">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 8767</w:t>
      </w:r>
      <w:r w:rsidR="00334FA5">
        <w:rPr>
          <w:rFonts w:ascii="Times New Roman" w:hAnsi="Times New Roman" w:cs="Times New Roman"/>
          <w:snapToGrid w:val="0"/>
          <w:sz w:val="24"/>
          <w:szCs w:val="24"/>
        </w:rPr>
        <w:t xml:space="preserve"> от </w:t>
      </w:r>
      <w:r w:rsidR="00334FA5" w:rsidRPr="001E028B">
        <w:rPr>
          <w:rFonts w:ascii="Times New Roman" w:hAnsi="Times New Roman" w:cs="Times New Roman"/>
          <w:snapToGrid w:val="0"/>
          <w:sz w:val="24"/>
          <w:szCs w:val="24"/>
        </w:rPr>
        <w:t>02.04.2019</w:t>
      </w:r>
      <w:r w:rsidRPr="001E028B">
        <w:rPr>
          <w:rFonts w:ascii="Times New Roman" w:hAnsi="Times New Roman" w:cs="Times New Roman"/>
          <w:snapToGrid w:val="0"/>
          <w:sz w:val="24"/>
          <w:szCs w:val="24"/>
        </w:rPr>
        <w:t>) (САЗ 19-13);</w:t>
      </w:r>
    </w:p>
    <w:p w14:paraId="0A046AED"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Проект разработан с целью закрепления возможности сдачи налогоплательщиками ряда отчётных форм в электронном виде.</w:t>
      </w:r>
    </w:p>
    <w:p w14:paraId="6686C124"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3. Согласован подготовленный Министерством внутренних дел Приднестровской Молдавской Республики проект совместного приказа Прокуратуры Приднестровской Молдавской Республики, Министерства внутренних дел Приднестровской Молдавской Республики, Министерства юстиции Приднестровской Молдавской Республики, Верховного суда Приднестровской Молдавской Республики, Министерства государственной безопасности Приднестровской Молдавской Республики, Государственного таможенного комитета Приднестровской Молдавской Республики, Следственного комитета Приднестровской Молдавской Республики «Об утверждении и введении в действие Инструкции «О порядке изъятия, учёта,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в Приднестровской Молдавской Республике».</w:t>
      </w:r>
    </w:p>
    <w:p w14:paraId="5AAC6103"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Проект разработан в целях приведения в соответствие с действующим законодательством Приднестровской Молдавской Республики и создания условий для обеспечения учёта, хранения и передачи вещественных доказательств, изымаемых по уголовным делам ценностей и иного имущества органами предварительного следствия, дознания и судами в Приднестровской Молдавской Республике;</w:t>
      </w:r>
    </w:p>
    <w:p w14:paraId="22128F40" w14:textId="12417284"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4. Совместный приказ Приднестровского республиканского банка и Министерства финансов Приднестровской Молдавской Республики от 16 августа 2019 года № 01-06/96/214 «О внесении изменения в Приказ Приднестровского республиканского банка и Министерства финансов Приднестровской Молдавской Республики от 23 августа 2018 года № 01-06/99/166 «Об утверждении Положения о специальных бюджетных счетах, открываемых для зачисления доходов и осуществления расходования средств, поступающих от оказания платных услуг и иной приносящей доход деятельности» (регистрационный № 8437 от 26</w:t>
      </w:r>
      <w:r w:rsidR="00334FA5">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2018) (САЗ 18-39)» (Регистрационный № 9089 от 16</w:t>
      </w:r>
      <w:r w:rsidR="00334FA5">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2019) (САЗ 19-36).</w:t>
      </w:r>
    </w:p>
    <w:p w14:paraId="3D0E57F3"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Проект разработан в целях обеспечения возможности зачисления наличных денежных средств, полученных от оказания платных услуг в иностранной валюте с использованием </w:t>
      </w:r>
      <w:r w:rsidRPr="001E028B">
        <w:rPr>
          <w:rFonts w:ascii="Times New Roman" w:hAnsi="Times New Roman" w:cs="Times New Roman"/>
          <w:snapToGrid w:val="0"/>
          <w:sz w:val="24"/>
          <w:szCs w:val="24"/>
        </w:rPr>
        <w:lastRenderedPageBreak/>
        <w:t>Интернет сервисов, на предоставленный уполномоченным исполнительным органом счет в иностранной валюте;</w:t>
      </w:r>
    </w:p>
    <w:p w14:paraId="6A50ECFA" w14:textId="216A1320"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5. Совместный приказ Министерства финансов Приднестровской Молдавской Республики, Приднестровского республиканского банка и Министерства по социальной защите и труду Приднестровской Молдавской Республики от 12 сентября 2019 года </w:t>
      </w:r>
      <w:r w:rsidRPr="001E028B">
        <w:rPr>
          <w:rFonts w:ascii="Times New Roman" w:hAnsi="Times New Roman" w:cs="Times New Roman"/>
          <w:snapToGrid w:val="0"/>
          <w:sz w:val="24"/>
          <w:szCs w:val="24"/>
        </w:rPr>
        <w:br/>
        <w:t>№ 234/01-06/111/892 «О порядке проведения платёжных операций при осуществлении зачётов и (или) возвратов сумм излишне уплаченных (взысканных) налогов, сборов или иных обязательных платежей, средств, поступающих от оказания платных услуг и иной приносящей доход деятельности, а также пени, штрафных и финансовых санкций за нарушение налогового законодательства Приднестровской Молдавской Республики» (Регистрационный № 9086 от 13</w:t>
      </w:r>
      <w:r w:rsidR="00334FA5">
        <w:rPr>
          <w:rFonts w:ascii="Times New Roman" w:hAnsi="Times New Roman" w:cs="Times New Roman"/>
          <w:snapToGrid w:val="0"/>
          <w:sz w:val="24"/>
          <w:szCs w:val="24"/>
        </w:rPr>
        <w:t>.09.</w:t>
      </w:r>
      <w:r w:rsidRPr="001E028B">
        <w:rPr>
          <w:rFonts w:ascii="Times New Roman" w:hAnsi="Times New Roman" w:cs="Times New Roman"/>
          <w:snapToGrid w:val="0"/>
          <w:sz w:val="24"/>
          <w:szCs w:val="24"/>
        </w:rPr>
        <w:t>2019) (САЗ 19-35);</w:t>
      </w:r>
    </w:p>
    <w:p w14:paraId="3DA01BA5" w14:textId="4301A9AB"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6. Совместный приказ Приднестровского республиканского банка и Министерства финансов Приднестровской Молдавской Республики от 25 октября 2019 №01-06/132/284 «О порядке предоставления Министерством финансов Приднестровской Молдавской Республики Приднестровскому республиканскому банку информации о присвоении фискальных кодов» (Регистрационный №9193 от 02</w:t>
      </w:r>
      <w:r w:rsidR="00334FA5">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19-47);</w:t>
      </w:r>
    </w:p>
    <w:p w14:paraId="42516734" w14:textId="11EB1C5A"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7. Совместный приказ Министерства финансов Приднестровской Молдавской Республики и Приднестровс</w:t>
      </w:r>
      <w:r w:rsidR="00334FA5">
        <w:rPr>
          <w:rFonts w:ascii="Times New Roman" w:hAnsi="Times New Roman" w:cs="Times New Roman"/>
          <w:snapToGrid w:val="0"/>
          <w:sz w:val="24"/>
          <w:szCs w:val="24"/>
        </w:rPr>
        <w:t xml:space="preserve">кого республиканского банка от </w:t>
      </w:r>
      <w:r w:rsidRPr="001E028B">
        <w:rPr>
          <w:rFonts w:ascii="Times New Roman" w:hAnsi="Times New Roman" w:cs="Times New Roman"/>
          <w:snapToGrid w:val="0"/>
          <w:sz w:val="24"/>
          <w:szCs w:val="24"/>
        </w:rPr>
        <w:t xml:space="preserve">5 декабря 2019 года </w:t>
      </w:r>
      <w:r w:rsidR="00334FA5">
        <w:rPr>
          <w:rFonts w:ascii="Times New Roman" w:hAnsi="Times New Roman" w:cs="Times New Roman"/>
          <w:snapToGrid w:val="0"/>
          <w:sz w:val="24"/>
          <w:szCs w:val="24"/>
        </w:rPr>
        <w:br/>
      </w:r>
      <w:r w:rsidRPr="001E028B">
        <w:rPr>
          <w:rFonts w:ascii="Times New Roman" w:hAnsi="Times New Roman" w:cs="Times New Roman"/>
          <w:snapToGrid w:val="0"/>
          <w:sz w:val="24"/>
          <w:szCs w:val="24"/>
        </w:rPr>
        <w:t>№ 297/01-06/152 «О внесении дополнения в Приказ Министерства финансов Приднестровской Молдавской Республики и Приднестровского республиканского банка от 5 декабря 2012 года № 174/01-05/166 «Об утверждении Положения «О порядке представления уполномоченными банками отчётности по операциям, связанным с движением средств местных бюджетов по счетам территориальных налоговых органов Приднестровской Молдавской Республики» (Регистрационный №</w:t>
      </w:r>
      <w:r w:rsidR="00334FA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9249 от 25</w:t>
      </w:r>
      <w:r w:rsidR="00334FA5">
        <w:rPr>
          <w:rFonts w:ascii="Times New Roman" w:hAnsi="Times New Roman" w:cs="Times New Roman"/>
          <w:snapToGrid w:val="0"/>
          <w:sz w:val="24"/>
          <w:szCs w:val="24"/>
        </w:rPr>
        <w:t>.12.</w:t>
      </w:r>
      <w:r w:rsidRPr="001E028B">
        <w:rPr>
          <w:rFonts w:ascii="Times New Roman" w:hAnsi="Times New Roman" w:cs="Times New Roman"/>
          <w:snapToGrid w:val="0"/>
          <w:sz w:val="24"/>
          <w:szCs w:val="24"/>
        </w:rPr>
        <w:t>2019) (САЗ 19-50);</w:t>
      </w:r>
    </w:p>
    <w:p w14:paraId="47F0FCB3" w14:textId="61BCAE2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8. Совместный приказ Государственного таможенного комитета Приднестровской Молдавской Республики и Приднестровского республиканского банка от 12 декабря </w:t>
      </w:r>
      <w:r w:rsidRPr="001E028B">
        <w:rPr>
          <w:rFonts w:ascii="Times New Roman" w:hAnsi="Times New Roman" w:cs="Times New Roman"/>
          <w:snapToGrid w:val="0"/>
          <w:sz w:val="24"/>
          <w:szCs w:val="24"/>
        </w:rPr>
        <w:br/>
        <w:t>2019 года №</w:t>
      </w:r>
      <w:r w:rsidR="00334FA5">
        <w:rPr>
          <w:rFonts w:ascii="Times New Roman" w:hAnsi="Times New Roman" w:cs="Times New Roman"/>
          <w:snapToGrid w:val="0"/>
          <w:sz w:val="24"/>
          <w:szCs w:val="24"/>
        </w:rPr>
        <w:t xml:space="preserve"> </w:t>
      </w:r>
      <w:r w:rsidRPr="001E028B">
        <w:rPr>
          <w:rFonts w:ascii="Times New Roman" w:hAnsi="Times New Roman" w:cs="Times New Roman"/>
          <w:snapToGrid w:val="0"/>
          <w:sz w:val="24"/>
          <w:szCs w:val="24"/>
        </w:rPr>
        <w:t>421/01-06/158 «О внесении изменений и дополнений в Приказ Государственного таможенного комитета Приднестровской Молдавской Республики и Приднестровского республиканского банка от 1 сентября 2010 года № 194/01-05/90 «Об утверждении классификатора валют и классификатора стран мира (территорий)»« (Регистрационный №9280 от 15</w:t>
      </w:r>
      <w:r w:rsidR="00334FA5">
        <w:rPr>
          <w:rFonts w:ascii="Times New Roman" w:hAnsi="Times New Roman" w:cs="Times New Roman"/>
          <w:snapToGrid w:val="0"/>
          <w:sz w:val="24"/>
          <w:szCs w:val="24"/>
        </w:rPr>
        <w:t>.</w:t>
      </w:r>
      <w:r w:rsidR="00A5504D">
        <w:rPr>
          <w:rFonts w:ascii="Times New Roman" w:hAnsi="Times New Roman" w:cs="Times New Roman"/>
          <w:snapToGrid w:val="0"/>
          <w:sz w:val="24"/>
          <w:szCs w:val="24"/>
        </w:rPr>
        <w:t>01.</w:t>
      </w:r>
      <w:r w:rsidRPr="001E028B">
        <w:rPr>
          <w:rFonts w:ascii="Times New Roman" w:hAnsi="Times New Roman" w:cs="Times New Roman"/>
          <w:snapToGrid w:val="0"/>
          <w:sz w:val="24"/>
          <w:szCs w:val="24"/>
        </w:rPr>
        <w:t>2020) (САЗ 20-03).</w:t>
      </w:r>
    </w:p>
    <w:p w14:paraId="031B2B75" w14:textId="77777777" w:rsidR="001E028B" w:rsidRPr="001E028B" w:rsidRDefault="001E028B" w:rsidP="001E028B">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В 2019 году в процессе правового обеспечения деятельности Приднестровского республиканского банка рассматривались и направлялись в различные органы и организации письма разъяснительного характера и правовые заключения по вопросам, связанным с банковским законодательством, законодательством в сфере страхового дела, в том числе и по вопросам применения положений нормативных актов центрального банка. </w:t>
      </w:r>
    </w:p>
    <w:p w14:paraId="445EE578" w14:textId="77777777" w:rsidR="001E028B" w:rsidRPr="00035082" w:rsidRDefault="001E028B" w:rsidP="00953836">
      <w:pPr>
        <w:widowControl w:val="0"/>
        <w:spacing w:before="0" w:after="0" w:line="240" w:lineRule="auto"/>
        <w:ind w:firstLine="425"/>
        <w:jc w:val="both"/>
        <w:rPr>
          <w:rFonts w:ascii="Times New Roman" w:hAnsi="Times New Roman" w:cs="Times New Roman"/>
          <w:snapToGrid w:val="0"/>
          <w:color w:val="FF0000"/>
          <w:sz w:val="24"/>
          <w:szCs w:val="24"/>
        </w:rPr>
      </w:pPr>
      <w:r w:rsidRPr="00035082">
        <w:rPr>
          <w:rFonts w:ascii="Times New Roman" w:hAnsi="Times New Roman" w:cs="Times New Roman"/>
          <w:snapToGrid w:val="0"/>
          <w:sz w:val="24"/>
          <w:szCs w:val="24"/>
        </w:rPr>
        <w:t>В 2019 году Приднестровский республиканский банк принимал участие в 2 (двух) судебных процессах в Тираспольском городском суде</w:t>
      </w:r>
      <w:r w:rsidR="00953836" w:rsidRPr="00035082">
        <w:rPr>
          <w:rFonts w:ascii="Times New Roman" w:hAnsi="Times New Roman" w:cs="Times New Roman"/>
          <w:snapToGrid w:val="0"/>
          <w:sz w:val="24"/>
          <w:szCs w:val="24"/>
        </w:rPr>
        <w:t>.</w:t>
      </w:r>
      <w:r w:rsidRPr="00035082">
        <w:rPr>
          <w:iCs/>
          <w:sz w:val="24"/>
          <w:szCs w:val="24"/>
        </w:rPr>
        <w:br w:type="page"/>
      </w:r>
    </w:p>
    <w:p w14:paraId="07960EC2" w14:textId="77777777" w:rsidR="00882BBF" w:rsidRPr="00882BBF" w:rsidRDefault="00882BBF" w:rsidP="00882BBF">
      <w:pPr>
        <w:spacing w:before="0" w:after="0" w:line="240" w:lineRule="auto"/>
        <w:jc w:val="right"/>
        <w:rPr>
          <w:rFonts w:ascii="Times New Roman" w:eastAsia="Times New Roman" w:hAnsi="Times New Roman" w:cs="Times New Roman"/>
          <w:i/>
          <w:iCs/>
          <w:sz w:val="24"/>
          <w:szCs w:val="24"/>
        </w:rPr>
      </w:pPr>
      <w:r w:rsidRPr="00882BBF">
        <w:rPr>
          <w:rFonts w:ascii="Times New Roman" w:eastAsia="Times New Roman" w:hAnsi="Times New Roman" w:cs="Times New Roman"/>
          <w:i/>
          <w:iCs/>
          <w:sz w:val="24"/>
          <w:szCs w:val="24"/>
        </w:rPr>
        <w:lastRenderedPageBreak/>
        <w:t>ПРИЛОЖЕНИЕ</w:t>
      </w:r>
    </w:p>
    <w:p w14:paraId="22C0CAA5" w14:textId="77777777" w:rsidR="00882BBF" w:rsidRPr="00882BBF" w:rsidRDefault="00882BBF" w:rsidP="00882BBF">
      <w:pPr>
        <w:widowControl w:val="0"/>
        <w:spacing w:before="0" w:after="0" w:line="240" w:lineRule="auto"/>
        <w:jc w:val="center"/>
        <w:rPr>
          <w:rFonts w:ascii="Times New Roman" w:eastAsia="Times New Roman" w:hAnsi="Times New Roman" w:cs="Times New Roman"/>
          <w:b/>
          <w:bCs/>
          <w:i/>
          <w:iCs/>
          <w:sz w:val="24"/>
          <w:szCs w:val="24"/>
        </w:rPr>
      </w:pPr>
      <w:r w:rsidRPr="00882BBF">
        <w:rPr>
          <w:rFonts w:ascii="Times New Roman" w:eastAsia="Times New Roman" w:hAnsi="Times New Roman" w:cs="Times New Roman"/>
          <w:b/>
          <w:bCs/>
          <w:i/>
          <w:iCs/>
          <w:sz w:val="24"/>
          <w:szCs w:val="24"/>
        </w:rPr>
        <w:t xml:space="preserve">Отчёт об исполнении сметы доходов и расходов </w:t>
      </w:r>
    </w:p>
    <w:p w14:paraId="592AEF2F" w14:textId="77777777" w:rsidR="00882BBF" w:rsidRPr="00882BBF" w:rsidRDefault="00882BBF" w:rsidP="00882BBF">
      <w:pPr>
        <w:widowControl w:val="0"/>
        <w:spacing w:before="0" w:after="0" w:line="240" w:lineRule="auto"/>
        <w:jc w:val="center"/>
        <w:rPr>
          <w:rFonts w:ascii="Times New Roman" w:eastAsia="Times New Roman" w:hAnsi="Times New Roman" w:cs="Times New Roman"/>
          <w:b/>
          <w:bCs/>
          <w:i/>
          <w:iCs/>
          <w:sz w:val="24"/>
          <w:szCs w:val="24"/>
        </w:rPr>
      </w:pPr>
      <w:r w:rsidRPr="00882BBF">
        <w:rPr>
          <w:rFonts w:ascii="Times New Roman" w:eastAsia="Times New Roman" w:hAnsi="Times New Roman" w:cs="Times New Roman"/>
          <w:b/>
          <w:bCs/>
          <w:i/>
          <w:iCs/>
          <w:sz w:val="24"/>
          <w:szCs w:val="24"/>
        </w:rPr>
        <w:t>Приднестровского республиканского банка за 2019 год</w:t>
      </w:r>
    </w:p>
    <w:p w14:paraId="5F26D6B5" w14:textId="77777777" w:rsidR="00963C42" w:rsidRPr="00963C42" w:rsidRDefault="00963C42" w:rsidP="00963C42">
      <w:pPr>
        <w:spacing w:before="0" w:after="60" w:line="240" w:lineRule="auto"/>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xml:space="preserve">тыс. руб. </w:t>
      </w:r>
    </w:p>
    <w:tbl>
      <w:tblPr>
        <w:tblW w:w="99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046"/>
        <w:gridCol w:w="1417"/>
        <w:gridCol w:w="1417"/>
        <w:gridCol w:w="1417"/>
      </w:tblGrid>
      <w:tr w:rsidR="00963C42" w:rsidRPr="00963C42" w14:paraId="79320777" w14:textId="77777777" w:rsidTr="001C45F7">
        <w:trPr>
          <w:trHeight w:val="375"/>
        </w:trPr>
        <w:tc>
          <w:tcPr>
            <w:tcW w:w="640" w:type="dxa"/>
            <w:tcBorders>
              <w:bottom w:val="double" w:sz="4" w:space="0" w:color="auto"/>
            </w:tcBorders>
            <w:shd w:val="clear" w:color="auto" w:fill="CCCCCC"/>
            <w:vAlign w:val="center"/>
          </w:tcPr>
          <w:p w14:paraId="7007C886" w14:textId="77777777" w:rsidR="00963C42" w:rsidRPr="00963C42" w:rsidRDefault="00963C42" w:rsidP="00963C42">
            <w:pPr>
              <w:spacing w:before="0" w:after="0" w:line="240" w:lineRule="auto"/>
              <w:ind w:right="-108"/>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п/п</w:t>
            </w:r>
          </w:p>
        </w:tc>
        <w:tc>
          <w:tcPr>
            <w:tcW w:w="5046" w:type="dxa"/>
            <w:tcBorders>
              <w:bottom w:val="double" w:sz="4" w:space="0" w:color="auto"/>
            </w:tcBorders>
            <w:shd w:val="clear" w:color="auto" w:fill="CCCCCC"/>
            <w:vAlign w:val="center"/>
          </w:tcPr>
          <w:p w14:paraId="75A4B6A9" w14:textId="77777777" w:rsidR="00963C42" w:rsidRPr="00963C42" w:rsidRDefault="00963C42" w:rsidP="00963C42">
            <w:pPr>
              <w:spacing w:before="0" w:after="0" w:line="240" w:lineRule="auto"/>
              <w:ind w:right="-108"/>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Наименование статьи</w:t>
            </w:r>
          </w:p>
        </w:tc>
        <w:tc>
          <w:tcPr>
            <w:tcW w:w="1417" w:type="dxa"/>
            <w:tcBorders>
              <w:bottom w:val="double" w:sz="4" w:space="0" w:color="auto"/>
            </w:tcBorders>
            <w:shd w:val="clear" w:color="auto" w:fill="CCCCCC"/>
            <w:vAlign w:val="center"/>
          </w:tcPr>
          <w:p w14:paraId="4B006682" w14:textId="77777777" w:rsidR="00963C42" w:rsidRPr="00963C42" w:rsidRDefault="00963C42" w:rsidP="00963C42">
            <w:pPr>
              <w:spacing w:before="0" w:after="0" w:line="240" w:lineRule="auto"/>
              <w:ind w:left="-108" w:right="-108"/>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Утверждено на отчётный год</w:t>
            </w:r>
          </w:p>
        </w:tc>
        <w:tc>
          <w:tcPr>
            <w:tcW w:w="1417" w:type="dxa"/>
            <w:tcBorders>
              <w:bottom w:val="double" w:sz="4" w:space="0" w:color="auto"/>
            </w:tcBorders>
            <w:shd w:val="clear" w:color="auto" w:fill="CCCCCC"/>
            <w:vAlign w:val="center"/>
          </w:tcPr>
          <w:p w14:paraId="69695F78" w14:textId="77777777" w:rsidR="00963C42" w:rsidRPr="00963C42" w:rsidRDefault="00963C42" w:rsidP="00963C42">
            <w:pPr>
              <w:spacing w:before="0" w:after="0" w:line="240" w:lineRule="auto"/>
              <w:ind w:left="-108" w:right="-108"/>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Фактическое исполнение за отчётный период</w:t>
            </w:r>
          </w:p>
        </w:tc>
        <w:tc>
          <w:tcPr>
            <w:tcW w:w="1417" w:type="dxa"/>
            <w:tcBorders>
              <w:bottom w:val="double" w:sz="4" w:space="0" w:color="auto"/>
            </w:tcBorders>
            <w:shd w:val="clear" w:color="auto" w:fill="CCCCCC"/>
            <w:vAlign w:val="center"/>
          </w:tcPr>
          <w:p w14:paraId="0A805B0F" w14:textId="77777777" w:rsidR="00963C42" w:rsidRPr="00963C42" w:rsidRDefault="00963C42" w:rsidP="00963C42">
            <w:pPr>
              <w:spacing w:before="0" w:after="0" w:line="240" w:lineRule="auto"/>
              <w:ind w:right="-108" w:hanging="108"/>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Выполнение плана за отчётный период, %</w:t>
            </w:r>
          </w:p>
        </w:tc>
      </w:tr>
      <w:tr w:rsidR="00963C42" w:rsidRPr="00963C42" w14:paraId="136933B2" w14:textId="77777777" w:rsidTr="001C45F7">
        <w:trPr>
          <w:trHeight w:val="310"/>
        </w:trPr>
        <w:tc>
          <w:tcPr>
            <w:tcW w:w="640" w:type="dxa"/>
            <w:tcBorders>
              <w:top w:val="double" w:sz="4" w:space="0" w:color="auto"/>
            </w:tcBorders>
            <w:vAlign w:val="bottom"/>
          </w:tcPr>
          <w:p w14:paraId="0F556934" w14:textId="77777777" w:rsidR="00963C42" w:rsidRPr="00963C42" w:rsidRDefault="00963C42" w:rsidP="00963C42">
            <w:pPr>
              <w:keepNext/>
              <w:tabs>
                <w:tab w:val="left" w:pos="389"/>
              </w:tabs>
              <w:spacing w:before="20" w:after="20" w:line="240" w:lineRule="auto"/>
              <w:ind w:right="-108"/>
              <w:jc w:val="center"/>
              <w:outlineLvl w:val="2"/>
              <w:rPr>
                <w:rFonts w:ascii="Times New Roman" w:eastAsia="Times New Roman" w:hAnsi="Times New Roman" w:cs="Times New Roman"/>
                <w:b/>
                <w:bCs/>
                <w:i/>
                <w:iCs/>
                <w:sz w:val="22"/>
                <w:szCs w:val="22"/>
              </w:rPr>
            </w:pPr>
            <w:r w:rsidRPr="00963C42">
              <w:rPr>
                <w:rFonts w:ascii="Times New Roman" w:eastAsia="Times New Roman" w:hAnsi="Times New Roman" w:cs="Times New Roman"/>
                <w:b/>
                <w:bCs/>
                <w:i/>
                <w:iCs/>
                <w:sz w:val="22"/>
                <w:szCs w:val="22"/>
              </w:rPr>
              <w:t>1</w:t>
            </w:r>
          </w:p>
        </w:tc>
        <w:tc>
          <w:tcPr>
            <w:tcW w:w="5046" w:type="dxa"/>
            <w:tcBorders>
              <w:top w:val="double" w:sz="4" w:space="0" w:color="auto"/>
            </w:tcBorders>
            <w:vAlign w:val="bottom"/>
          </w:tcPr>
          <w:p w14:paraId="5AB1A4DD" w14:textId="77777777" w:rsidR="00963C42" w:rsidRPr="00963C42" w:rsidRDefault="00963C42" w:rsidP="00963C42">
            <w:pPr>
              <w:keepNext/>
              <w:spacing w:before="20" w:after="20" w:line="240" w:lineRule="auto"/>
              <w:ind w:right="-108" w:firstLine="425"/>
              <w:jc w:val="center"/>
              <w:outlineLvl w:val="2"/>
              <w:rPr>
                <w:rFonts w:ascii="Times New Roman" w:eastAsia="Times New Roman" w:hAnsi="Times New Roman" w:cs="Times New Roman"/>
                <w:b/>
                <w:bCs/>
                <w:i/>
                <w:iCs/>
                <w:sz w:val="22"/>
                <w:szCs w:val="22"/>
              </w:rPr>
            </w:pPr>
            <w:r w:rsidRPr="00963C42">
              <w:rPr>
                <w:rFonts w:ascii="Times New Roman" w:eastAsia="Times New Roman" w:hAnsi="Times New Roman" w:cs="Times New Roman"/>
                <w:b/>
                <w:bCs/>
                <w:i/>
                <w:iCs/>
                <w:sz w:val="22"/>
                <w:szCs w:val="22"/>
              </w:rPr>
              <w:t>2</w:t>
            </w:r>
          </w:p>
        </w:tc>
        <w:tc>
          <w:tcPr>
            <w:tcW w:w="1417" w:type="dxa"/>
            <w:tcBorders>
              <w:top w:val="double" w:sz="4" w:space="0" w:color="auto"/>
            </w:tcBorders>
            <w:vAlign w:val="bottom"/>
          </w:tcPr>
          <w:p w14:paraId="6C0E9C3B" w14:textId="77777777" w:rsidR="00963C42" w:rsidRPr="00963C42" w:rsidRDefault="00963C42" w:rsidP="00963C42">
            <w:pPr>
              <w:spacing w:before="20" w:after="20" w:line="240" w:lineRule="auto"/>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3</w:t>
            </w:r>
          </w:p>
        </w:tc>
        <w:tc>
          <w:tcPr>
            <w:tcW w:w="1417" w:type="dxa"/>
            <w:tcBorders>
              <w:top w:val="double" w:sz="4" w:space="0" w:color="auto"/>
            </w:tcBorders>
            <w:vAlign w:val="bottom"/>
          </w:tcPr>
          <w:p w14:paraId="078C7D7F" w14:textId="77777777" w:rsidR="00963C42" w:rsidRPr="00963C42" w:rsidRDefault="00963C42" w:rsidP="00963C42">
            <w:pPr>
              <w:spacing w:before="20" w:after="20" w:line="240" w:lineRule="auto"/>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w:t>
            </w:r>
          </w:p>
        </w:tc>
        <w:tc>
          <w:tcPr>
            <w:tcW w:w="1417" w:type="dxa"/>
            <w:tcBorders>
              <w:top w:val="double" w:sz="4" w:space="0" w:color="auto"/>
            </w:tcBorders>
            <w:vAlign w:val="bottom"/>
          </w:tcPr>
          <w:p w14:paraId="33B72091" w14:textId="77777777" w:rsidR="00963C42" w:rsidRPr="00963C42" w:rsidRDefault="00963C42" w:rsidP="00963C42">
            <w:pPr>
              <w:spacing w:before="20" w:after="20" w:line="240" w:lineRule="auto"/>
              <w:jc w:val="center"/>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5</w:t>
            </w:r>
          </w:p>
        </w:tc>
      </w:tr>
      <w:tr w:rsidR="00963C42" w:rsidRPr="00963C42" w14:paraId="3A742770" w14:textId="77777777" w:rsidTr="001C45F7">
        <w:trPr>
          <w:trHeight w:val="310"/>
        </w:trPr>
        <w:tc>
          <w:tcPr>
            <w:tcW w:w="640" w:type="dxa"/>
            <w:tcBorders>
              <w:top w:val="double" w:sz="4" w:space="0" w:color="auto"/>
            </w:tcBorders>
            <w:vAlign w:val="bottom"/>
          </w:tcPr>
          <w:p w14:paraId="45F0DF0C" w14:textId="77777777" w:rsidR="00963C42" w:rsidRPr="00963C42" w:rsidRDefault="00963C42" w:rsidP="00963C42">
            <w:pPr>
              <w:keepNext/>
              <w:spacing w:before="20" w:after="20" w:line="240" w:lineRule="auto"/>
              <w:ind w:right="-108"/>
              <w:outlineLvl w:val="2"/>
              <w:rPr>
                <w:rFonts w:ascii="Times New Roman" w:eastAsia="Times New Roman" w:hAnsi="Times New Roman" w:cs="Times New Roman"/>
                <w:b/>
                <w:iCs/>
                <w:sz w:val="22"/>
                <w:szCs w:val="22"/>
                <w:lang w:val="en-US"/>
              </w:rPr>
            </w:pPr>
            <w:r w:rsidRPr="00963C42">
              <w:rPr>
                <w:rFonts w:ascii="Times New Roman" w:eastAsia="Times New Roman" w:hAnsi="Times New Roman" w:cs="Times New Roman"/>
                <w:b/>
                <w:iCs/>
                <w:sz w:val="22"/>
                <w:szCs w:val="22"/>
                <w:lang w:val="en-US"/>
              </w:rPr>
              <w:t>I</w:t>
            </w:r>
          </w:p>
        </w:tc>
        <w:tc>
          <w:tcPr>
            <w:tcW w:w="5046" w:type="dxa"/>
            <w:tcBorders>
              <w:top w:val="double" w:sz="4" w:space="0" w:color="auto"/>
            </w:tcBorders>
            <w:vAlign w:val="bottom"/>
          </w:tcPr>
          <w:p w14:paraId="44A9AFB8" w14:textId="77777777" w:rsidR="00963C42" w:rsidRPr="00963C42" w:rsidRDefault="00963C42" w:rsidP="00963C42">
            <w:pPr>
              <w:keepNext/>
              <w:spacing w:before="20" w:after="20" w:line="240" w:lineRule="auto"/>
              <w:ind w:right="-108" w:firstLine="425"/>
              <w:jc w:val="center"/>
              <w:outlineLvl w:val="2"/>
              <w:rPr>
                <w:rFonts w:ascii="Times New Roman" w:eastAsia="Times New Roman" w:hAnsi="Times New Roman" w:cs="Times New Roman"/>
                <w:b/>
                <w:i/>
                <w:iCs/>
                <w:sz w:val="22"/>
                <w:szCs w:val="22"/>
              </w:rPr>
            </w:pPr>
            <w:r w:rsidRPr="00963C42">
              <w:rPr>
                <w:rFonts w:ascii="Times New Roman" w:eastAsia="Times New Roman" w:hAnsi="Times New Roman" w:cs="Times New Roman"/>
                <w:b/>
                <w:i/>
                <w:iCs/>
                <w:sz w:val="22"/>
                <w:szCs w:val="22"/>
              </w:rPr>
              <w:t>ДОХОДЫ</w:t>
            </w:r>
          </w:p>
        </w:tc>
        <w:tc>
          <w:tcPr>
            <w:tcW w:w="1417" w:type="dxa"/>
            <w:tcBorders>
              <w:top w:val="double" w:sz="4" w:space="0" w:color="auto"/>
            </w:tcBorders>
            <w:vAlign w:val="center"/>
          </w:tcPr>
          <w:p w14:paraId="3CC6EFF3" w14:textId="77777777" w:rsidR="00963C42" w:rsidRPr="00963C42" w:rsidRDefault="00963C42" w:rsidP="00963C42">
            <w:pPr>
              <w:spacing w:before="20" w:after="20" w:line="240" w:lineRule="auto"/>
              <w:jc w:val="right"/>
              <w:rPr>
                <w:rFonts w:ascii="Times New Roman" w:eastAsia="Times New Roman" w:hAnsi="Times New Roman" w:cs="Times New Roman"/>
                <w:sz w:val="22"/>
                <w:szCs w:val="22"/>
              </w:rPr>
            </w:pPr>
          </w:p>
        </w:tc>
        <w:tc>
          <w:tcPr>
            <w:tcW w:w="1417" w:type="dxa"/>
            <w:tcBorders>
              <w:top w:val="double" w:sz="4" w:space="0" w:color="auto"/>
            </w:tcBorders>
            <w:vAlign w:val="center"/>
          </w:tcPr>
          <w:p w14:paraId="36F00968" w14:textId="77777777" w:rsidR="00963C42" w:rsidRPr="00963C42" w:rsidRDefault="00963C42" w:rsidP="00963C42">
            <w:pPr>
              <w:spacing w:before="20" w:after="20" w:line="240" w:lineRule="auto"/>
              <w:jc w:val="right"/>
              <w:rPr>
                <w:rFonts w:ascii="Times New Roman" w:eastAsia="Times New Roman" w:hAnsi="Times New Roman" w:cs="Times New Roman"/>
                <w:sz w:val="22"/>
                <w:szCs w:val="22"/>
              </w:rPr>
            </w:pPr>
          </w:p>
        </w:tc>
        <w:tc>
          <w:tcPr>
            <w:tcW w:w="1417" w:type="dxa"/>
            <w:tcBorders>
              <w:top w:val="double" w:sz="4" w:space="0" w:color="auto"/>
            </w:tcBorders>
            <w:vAlign w:val="center"/>
          </w:tcPr>
          <w:p w14:paraId="31A5A33D" w14:textId="77777777" w:rsidR="00963C42" w:rsidRPr="00963C42" w:rsidRDefault="00963C42" w:rsidP="00963C42">
            <w:pPr>
              <w:spacing w:before="20" w:after="20" w:line="240" w:lineRule="auto"/>
              <w:jc w:val="right"/>
              <w:rPr>
                <w:rFonts w:ascii="Times New Roman" w:eastAsia="Times New Roman" w:hAnsi="Times New Roman" w:cs="Times New Roman"/>
                <w:sz w:val="22"/>
                <w:szCs w:val="22"/>
              </w:rPr>
            </w:pPr>
          </w:p>
        </w:tc>
      </w:tr>
      <w:tr w:rsidR="00963C42" w:rsidRPr="00963C42" w14:paraId="4F90594A" w14:textId="77777777" w:rsidTr="001C45F7">
        <w:trPr>
          <w:trHeight w:val="159"/>
        </w:trPr>
        <w:tc>
          <w:tcPr>
            <w:tcW w:w="640" w:type="dxa"/>
            <w:vAlign w:val="bottom"/>
          </w:tcPr>
          <w:p w14:paraId="1519CA15" w14:textId="77777777" w:rsidR="00963C42" w:rsidRPr="00963C42" w:rsidRDefault="00963C42" w:rsidP="00963C42">
            <w:pPr>
              <w:tabs>
                <w:tab w:val="num" w:pos="720"/>
              </w:tabs>
              <w:spacing w:before="20" w:after="20" w:line="240" w:lineRule="auto"/>
              <w:ind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w:t>
            </w:r>
          </w:p>
        </w:tc>
        <w:tc>
          <w:tcPr>
            <w:tcW w:w="5046" w:type="dxa"/>
            <w:vAlign w:val="bottom"/>
          </w:tcPr>
          <w:p w14:paraId="196A4BAB" w14:textId="77777777" w:rsidR="00963C42" w:rsidRPr="00963C42" w:rsidRDefault="00963C42" w:rsidP="00963C42">
            <w:pPr>
              <w:tabs>
                <w:tab w:val="num" w:pos="720"/>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Процентные доходы</w:t>
            </w:r>
          </w:p>
        </w:tc>
        <w:tc>
          <w:tcPr>
            <w:tcW w:w="1417" w:type="dxa"/>
            <w:vAlign w:val="center"/>
          </w:tcPr>
          <w:p w14:paraId="1DE58FE7"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1 430</w:t>
            </w:r>
          </w:p>
        </w:tc>
        <w:tc>
          <w:tcPr>
            <w:tcW w:w="1417" w:type="dxa"/>
            <w:tcBorders>
              <w:bottom w:val="nil"/>
            </w:tcBorders>
            <w:vAlign w:val="center"/>
          </w:tcPr>
          <w:p w14:paraId="0ACE4DEA"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3 831</w:t>
            </w:r>
          </w:p>
        </w:tc>
        <w:tc>
          <w:tcPr>
            <w:tcW w:w="1417" w:type="dxa"/>
            <w:vAlign w:val="center"/>
          </w:tcPr>
          <w:p w14:paraId="278FB7F1"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267,9</w:t>
            </w:r>
          </w:p>
        </w:tc>
      </w:tr>
      <w:tr w:rsidR="00963C42" w:rsidRPr="00963C42" w14:paraId="508B0A90" w14:textId="77777777" w:rsidTr="001C45F7">
        <w:trPr>
          <w:trHeight w:val="159"/>
        </w:trPr>
        <w:tc>
          <w:tcPr>
            <w:tcW w:w="640" w:type="dxa"/>
            <w:vAlign w:val="bottom"/>
          </w:tcPr>
          <w:p w14:paraId="6FBE4352" w14:textId="77777777" w:rsidR="00963C42" w:rsidRPr="00963C42" w:rsidRDefault="00963C42" w:rsidP="00963C42">
            <w:pPr>
              <w:tabs>
                <w:tab w:val="num" w:pos="720"/>
              </w:tabs>
              <w:spacing w:before="20" w:after="20" w:line="240" w:lineRule="auto"/>
              <w:ind w:right="-108"/>
              <w:rPr>
                <w:rFonts w:ascii="Times New Roman" w:eastAsia="Times New Roman" w:hAnsi="Times New Roman" w:cs="Times New Roman"/>
                <w:sz w:val="22"/>
                <w:szCs w:val="22"/>
              </w:rPr>
            </w:pPr>
          </w:p>
        </w:tc>
        <w:tc>
          <w:tcPr>
            <w:tcW w:w="5046" w:type="dxa"/>
            <w:vAlign w:val="bottom"/>
          </w:tcPr>
          <w:p w14:paraId="7129A004" w14:textId="77777777" w:rsidR="00963C42" w:rsidRPr="00963C42" w:rsidRDefault="00963C42" w:rsidP="00963C42">
            <w:pPr>
              <w:tabs>
                <w:tab w:val="num" w:pos="720"/>
              </w:tabs>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из них:</w:t>
            </w:r>
          </w:p>
        </w:tc>
        <w:tc>
          <w:tcPr>
            <w:tcW w:w="1417" w:type="dxa"/>
            <w:vAlign w:val="center"/>
          </w:tcPr>
          <w:p w14:paraId="64ECA3C6"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p>
        </w:tc>
        <w:tc>
          <w:tcPr>
            <w:tcW w:w="1417" w:type="dxa"/>
            <w:tcBorders>
              <w:bottom w:val="nil"/>
            </w:tcBorders>
            <w:vAlign w:val="center"/>
          </w:tcPr>
          <w:p w14:paraId="6553D98A"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p>
        </w:tc>
        <w:tc>
          <w:tcPr>
            <w:tcW w:w="1417" w:type="dxa"/>
            <w:vAlign w:val="center"/>
          </w:tcPr>
          <w:p w14:paraId="5CCD7193"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p>
        </w:tc>
      </w:tr>
      <w:tr w:rsidR="00963C42" w:rsidRPr="00963C42" w14:paraId="2C2C19D9" w14:textId="77777777" w:rsidTr="001C45F7">
        <w:trPr>
          <w:trHeight w:val="159"/>
        </w:trPr>
        <w:tc>
          <w:tcPr>
            <w:tcW w:w="640" w:type="dxa"/>
            <w:vAlign w:val="bottom"/>
          </w:tcPr>
          <w:p w14:paraId="01212150" w14:textId="77777777" w:rsidR="00963C42" w:rsidRPr="00963C42" w:rsidRDefault="00963C42" w:rsidP="00963C42">
            <w:pPr>
              <w:tabs>
                <w:tab w:val="num" w:pos="720"/>
              </w:tabs>
              <w:spacing w:before="20" w:after="20" w:line="240" w:lineRule="auto"/>
              <w:ind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1.1.</w:t>
            </w:r>
          </w:p>
        </w:tc>
        <w:tc>
          <w:tcPr>
            <w:tcW w:w="5046" w:type="dxa"/>
            <w:vAlign w:val="bottom"/>
          </w:tcPr>
          <w:p w14:paraId="6F07BC39" w14:textId="77777777" w:rsidR="00963C42" w:rsidRPr="00963C42" w:rsidRDefault="00963C42" w:rsidP="00963C42">
            <w:pPr>
              <w:tabs>
                <w:tab w:val="num" w:pos="720"/>
              </w:tabs>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xml:space="preserve">по ценным бумагам </w:t>
            </w:r>
          </w:p>
        </w:tc>
        <w:tc>
          <w:tcPr>
            <w:tcW w:w="1417" w:type="dxa"/>
            <w:vAlign w:val="center"/>
          </w:tcPr>
          <w:p w14:paraId="16CCBF76"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145</w:t>
            </w:r>
          </w:p>
        </w:tc>
        <w:tc>
          <w:tcPr>
            <w:tcW w:w="1417" w:type="dxa"/>
            <w:tcBorders>
              <w:bottom w:val="nil"/>
            </w:tcBorders>
            <w:vAlign w:val="center"/>
          </w:tcPr>
          <w:p w14:paraId="47D9CE56"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145</w:t>
            </w:r>
          </w:p>
        </w:tc>
        <w:tc>
          <w:tcPr>
            <w:tcW w:w="1417" w:type="dxa"/>
            <w:vAlign w:val="center"/>
          </w:tcPr>
          <w:p w14:paraId="09CD8320"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100,0</w:t>
            </w:r>
          </w:p>
        </w:tc>
      </w:tr>
      <w:tr w:rsidR="00963C42" w:rsidRPr="00963C42" w14:paraId="0BA5D883" w14:textId="77777777" w:rsidTr="001C45F7">
        <w:trPr>
          <w:trHeight w:val="97"/>
        </w:trPr>
        <w:tc>
          <w:tcPr>
            <w:tcW w:w="640" w:type="dxa"/>
            <w:vAlign w:val="bottom"/>
          </w:tcPr>
          <w:p w14:paraId="32E86EA7" w14:textId="77777777" w:rsidR="00963C42" w:rsidRPr="00963C42" w:rsidRDefault="00963C42" w:rsidP="00963C42">
            <w:pPr>
              <w:spacing w:before="20" w:after="20" w:line="240" w:lineRule="auto"/>
              <w:ind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1.2.</w:t>
            </w:r>
          </w:p>
        </w:tc>
        <w:tc>
          <w:tcPr>
            <w:tcW w:w="5046" w:type="dxa"/>
            <w:vAlign w:val="bottom"/>
          </w:tcPr>
          <w:p w14:paraId="19E9C7D3" w14:textId="77777777" w:rsidR="00963C42" w:rsidRPr="00963C42" w:rsidRDefault="00963C42" w:rsidP="00963C42">
            <w:pPr>
              <w:spacing w:before="20" w:after="20" w:line="240" w:lineRule="auto"/>
              <w:ind w:left="171" w:right="-108"/>
              <w:rPr>
                <w:rFonts w:ascii="Times New Roman" w:eastAsia="Times New Roman" w:hAnsi="Times New Roman" w:cs="Times New Roman"/>
                <w:i/>
                <w:iCs/>
                <w:sz w:val="22"/>
                <w:szCs w:val="22"/>
              </w:rPr>
            </w:pPr>
            <w:r w:rsidRPr="00963C42">
              <w:rPr>
                <w:rFonts w:ascii="Times New Roman" w:eastAsia="Times New Roman" w:hAnsi="Times New Roman" w:cs="Times New Roman"/>
                <w:sz w:val="22"/>
                <w:szCs w:val="22"/>
              </w:rPr>
              <w:t>по размещениям</w:t>
            </w:r>
          </w:p>
        </w:tc>
        <w:tc>
          <w:tcPr>
            <w:tcW w:w="1417" w:type="dxa"/>
            <w:vAlign w:val="center"/>
          </w:tcPr>
          <w:p w14:paraId="38A3A43F"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522</w:t>
            </w:r>
          </w:p>
        </w:tc>
        <w:tc>
          <w:tcPr>
            <w:tcW w:w="1417" w:type="dxa"/>
            <w:tcBorders>
              <w:bottom w:val="nil"/>
            </w:tcBorders>
            <w:vAlign w:val="center"/>
          </w:tcPr>
          <w:p w14:paraId="78E0E05F"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2 840</w:t>
            </w:r>
          </w:p>
        </w:tc>
        <w:tc>
          <w:tcPr>
            <w:tcW w:w="1417" w:type="dxa"/>
            <w:vAlign w:val="center"/>
          </w:tcPr>
          <w:p w14:paraId="660C9465"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544,1</w:t>
            </w:r>
          </w:p>
        </w:tc>
      </w:tr>
      <w:tr w:rsidR="00963C42" w:rsidRPr="00963C42" w14:paraId="2D9C410C" w14:textId="77777777" w:rsidTr="001C45F7">
        <w:trPr>
          <w:trHeight w:val="70"/>
        </w:trPr>
        <w:tc>
          <w:tcPr>
            <w:tcW w:w="640" w:type="dxa"/>
            <w:vAlign w:val="bottom"/>
          </w:tcPr>
          <w:p w14:paraId="746FC9B1" w14:textId="77777777" w:rsidR="00963C42" w:rsidRPr="00963C42" w:rsidRDefault="00963C42" w:rsidP="00963C42">
            <w:pPr>
              <w:spacing w:before="20" w:after="20" w:line="240" w:lineRule="auto"/>
              <w:ind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1.3.</w:t>
            </w:r>
          </w:p>
        </w:tc>
        <w:tc>
          <w:tcPr>
            <w:tcW w:w="5046" w:type="dxa"/>
            <w:vAlign w:val="bottom"/>
          </w:tcPr>
          <w:p w14:paraId="7F997CAA"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xml:space="preserve">по кредитам и прочим размещённым средствам  </w:t>
            </w:r>
          </w:p>
        </w:tc>
        <w:tc>
          <w:tcPr>
            <w:tcW w:w="1417" w:type="dxa"/>
            <w:vAlign w:val="center"/>
          </w:tcPr>
          <w:p w14:paraId="3E507F38"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763</w:t>
            </w:r>
          </w:p>
        </w:tc>
        <w:tc>
          <w:tcPr>
            <w:tcW w:w="1417" w:type="dxa"/>
            <w:tcBorders>
              <w:bottom w:val="nil"/>
            </w:tcBorders>
            <w:vAlign w:val="center"/>
          </w:tcPr>
          <w:p w14:paraId="312D4BC1"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846</w:t>
            </w:r>
          </w:p>
        </w:tc>
        <w:tc>
          <w:tcPr>
            <w:tcW w:w="1417" w:type="dxa"/>
            <w:vAlign w:val="center"/>
          </w:tcPr>
          <w:p w14:paraId="31BFFEBC"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110,9</w:t>
            </w:r>
          </w:p>
        </w:tc>
      </w:tr>
      <w:tr w:rsidR="00963C42" w:rsidRPr="00963C42" w14:paraId="6822D0CD" w14:textId="77777777" w:rsidTr="001C45F7">
        <w:trPr>
          <w:trHeight w:val="70"/>
        </w:trPr>
        <w:tc>
          <w:tcPr>
            <w:tcW w:w="640" w:type="dxa"/>
            <w:vAlign w:val="bottom"/>
          </w:tcPr>
          <w:p w14:paraId="5E783F86"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2.</w:t>
            </w:r>
          </w:p>
        </w:tc>
        <w:tc>
          <w:tcPr>
            <w:tcW w:w="5046" w:type="dxa"/>
            <w:vAlign w:val="bottom"/>
          </w:tcPr>
          <w:p w14:paraId="4629F389"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Доходы от участия в капиталах кредитных и иных организаций</w:t>
            </w:r>
          </w:p>
        </w:tc>
        <w:tc>
          <w:tcPr>
            <w:tcW w:w="1417" w:type="dxa"/>
            <w:vAlign w:val="bottom"/>
          </w:tcPr>
          <w:p w14:paraId="5270B246"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11 000</w:t>
            </w:r>
          </w:p>
        </w:tc>
        <w:tc>
          <w:tcPr>
            <w:tcW w:w="1417" w:type="dxa"/>
            <w:tcBorders>
              <w:bottom w:val="nil"/>
            </w:tcBorders>
            <w:vAlign w:val="bottom"/>
          </w:tcPr>
          <w:p w14:paraId="487409A9"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12 996</w:t>
            </w:r>
          </w:p>
        </w:tc>
        <w:tc>
          <w:tcPr>
            <w:tcW w:w="1417" w:type="dxa"/>
            <w:vAlign w:val="bottom"/>
          </w:tcPr>
          <w:p w14:paraId="26A37741"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118,1</w:t>
            </w:r>
          </w:p>
        </w:tc>
      </w:tr>
      <w:tr w:rsidR="00963C42" w:rsidRPr="00963C42" w14:paraId="54B3522D" w14:textId="77777777" w:rsidTr="001C45F7">
        <w:trPr>
          <w:trHeight w:val="70"/>
        </w:trPr>
        <w:tc>
          <w:tcPr>
            <w:tcW w:w="640" w:type="dxa"/>
            <w:vAlign w:val="bottom"/>
          </w:tcPr>
          <w:p w14:paraId="1AB140A9"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3.</w:t>
            </w:r>
          </w:p>
        </w:tc>
        <w:tc>
          <w:tcPr>
            <w:tcW w:w="5046" w:type="dxa"/>
            <w:vAlign w:val="bottom"/>
          </w:tcPr>
          <w:p w14:paraId="1D0A545C"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Чистые доходы от восстановления резервов</w:t>
            </w:r>
          </w:p>
        </w:tc>
        <w:tc>
          <w:tcPr>
            <w:tcW w:w="1417" w:type="dxa"/>
            <w:vAlign w:val="bottom"/>
          </w:tcPr>
          <w:p w14:paraId="30531368"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26 822</w:t>
            </w:r>
          </w:p>
        </w:tc>
        <w:tc>
          <w:tcPr>
            <w:tcW w:w="1417" w:type="dxa"/>
            <w:vAlign w:val="center"/>
          </w:tcPr>
          <w:p w14:paraId="7E1C4948"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9 734</w:t>
            </w:r>
          </w:p>
        </w:tc>
        <w:tc>
          <w:tcPr>
            <w:tcW w:w="1417" w:type="dxa"/>
            <w:vAlign w:val="bottom"/>
          </w:tcPr>
          <w:p w14:paraId="1E343A75"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36,3</w:t>
            </w:r>
          </w:p>
        </w:tc>
      </w:tr>
      <w:tr w:rsidR="00963C42" w:rsidRPr="00963C42" w14:paraId="06355881" w14:textId="77777777" w:rsidTr="001C45F7">
        <w:trPr>
          <w:trHeight w:val="70"/>
        </w:trPr>
        <w:tc>
          <w:tcPr>
            <w:tcW w:w="640" w:type="dxa"/>
            <w:vAlign w:val="bottom"/>
          </w:tcPr>
          <w:p w14:paraId="7E64609C"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w:t>
            </w:r>
          </w:p>
        </w:tc>
        <w:tc>
          <w:tcPr>
            <w:tcW w:w="5046" w:type="dxa"/>
            <w:vAlign w:val="bottom"/>
          </w:tcPr>
          <w:p w14:paraId="6BDB3FD3"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Прочие доходы</w:t>
            </w:r>
          </w:p>
        </w:tc>
        <w:tc>
          <w:tcPr>
            <w:tcW w:w="1417" w:type="dxa"/>
            <w:vAlign w:val="bottom"/>
          </w:tcPr>
          <w:p w14:paraId="552C64EE"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34 933</w:t>
            </w:r>
          </w:p>
        </w:tc>
        <w:tc>
          <w:tcPr>
            <w:tcW w:w="1417" w:type="dxa"/>
            <w:vAlign w:val="center"/>
          </w:tcPr>
          <w:p w14:paraId="2328F23A"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43 646</w:t>
            </w:r>
          </w:p>
        </w:tc>
        <w:tc>
          <w:tcPr>
            <w:tcW w:w="1417" w:type="dxa"/>
            <w:vAlign w:val="bottom"/>
          </w:tcPr>
          <w:p w14:paraId="74E166E5"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124,9</w:t>
            </w:r>
          </w:p>
        </w:tc>
      </w:tr>
      <w:tr w:rsidR="00963C42" w:rsidRPr="00963C42" w14:paraId="3CF59DCE" w14:textId="77777777" w:rsidTr="001C45F7">
        <w:trPr>
          <w:trHeight w:val="70"/>
        </w:trPr>
        <w:tc>
          <w:tcPr>
            <w:tcW w:w="640" w:type="dxa"/>
            <w:vAlign w:val="bottom"/>
          </w:tcPr>
          <w:p w14:paraId="47910356" w14:textId="77777777" w:rsidR="00963C42" w:rsidRPr="00963C42" w:rsidRDefault="00963C42" w:rsidP="00963C42">
            <w:pPr>
              <w:tabs>
                <w:tab w:val="num" w:pos="459"/>
              </w:tabs>
              <w:spacing w:before="20" w:after="20" w:line="240" w:lineRule="auto"/>
              <w:ind w:left="34" w:right="-108"/>
              <w:rPr>
                <w:rFonts w:ascii="Times New Roman" w:eastAsia="Times New Roman" w:hAnsi="Times New Roman" w:cs="Times New Roman"/>
                <w:sz w:val="22"/>
                <w:szCs w:val="22"/>
              </w:rPr>
            </w:pPr>
          </w:p>
        </w:tc>
        <w:tc>
          <w:tcPr>
            <w:tcW w:w="5046" w:type="dxa"/>
            <w:vAlign w:val="bottom"/>
          </w:tcPr>
          <w:p w14:paraId="2139D61B" w14:textId="77777777" w:rsidR="00963C42" w:rsidRPr="00963C42" w:rsidRDefault="00963C42" w:rsidP="00963C42">
            <w:pPr>
              <w:tabs>
                <w:tab w:val="num" w:pos="459"/>
              </w:tabs>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в том числе:</w:t>
            </w:r>
          </w:p>
        </w:tc>
        <w:tc>
          <w:tcPr>
            <w:tcW w:w="1417" w:type="dxa"/>
            <w:vAlign w:val="bottom"/>
          </w:tcPr>
          <w:p w14:paraId="42D797CF"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p>
        </w:tc>
        <w:tc>
          <w:tcPr>
            <w:tcW w:w="1417" w:type="dxa"/>
            <w:vAlign w:val="center"/>
          </w:tcPr>
          <w:p w14:paraId="63E7BD68"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p>
        </w:tc>
        <w:tc>
          <w:tcPr>
            <w:tcW w:w="1417" w:type="dxa"/>
            <w:vAlign w:val="bottom"/>
          </w:tcPr>
          <w:p w14:paraId="4C5A3D7C"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p>
        </w:tc>
      </w:tr>
      <w:tr w:rsidR="00963C42" w:rsidRPr="00963C42" w14:paraId="738D99B0" w14:textId="77777777" w:rsidTr="001C45F7">
        <w:trPr>
          <w:trHeight w:val="70"/>
        </w:trPr>
        <w:tc>
          <w:tcPr>
            <w:tcW w:w="640" w:type="dxa"/>
            <w:vAlign w:val="bottom"/>
          </w:tcPr>
          <w:p w14:paraId="35B3C6EC"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4.1.</w:t>
            </w:r>
          </w:p>
        </w:tc>
        <w:tc>
          <w:tcPr>
            <w:tcW w:w="5046" w:type="dxa"/>
            <w:vAlign w:val="bottom"/>
          </w:tcPr>
          <w:p w14:paraId="4CE31277"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доходы от операций с иностранной валютой</w:t>
            </w:r>
          </w:p>
        </w:tc>
        <w:tc>
          <w:tcPr>
            <w:tcW w:w="1417" w:type="dxa"/>
            <w:vAlign w:val="bottom"/>
          </w:tcPr>
          <w:p w14:paraId="3E484B0D"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12 970</w:t>
            </w:r>
          </w:p>
        </w:tc>
        <w:tc>
          <w:tcPr>
            <w:tcW w:w="1417" w:type="dxa"/>
            <w:vAlign w:val="center"/>
          </w:tcPr>
          <w:p w14:paraId="76741A2B"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24 302</w:t>
            </w:r>
          </w:p>
        </w:tc>
        <w:tc>
          <w:tcPr>
            <w:tcW w:w="1417" w:type="dxa"/>
            <w:vAlign w:val="bottom"/>
          </w:tcPr>
          <w:p w14:paraId="5F1CEBC4"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187,4</w:t>
            </w:r>
          </w:p>
        </w:tc>
      </w:tr>
      <w:tr w:rsidR="00963C42" w:rsidRPr="00963C42" w14:paraId="55AF54B8" w14:textId="77777777" w:rsidTr="001C45F7">
        <w:trPr>
          <w:trHeight w:val="70"/>
        </w:trPr>
        <w:tc>
          <w:tcPr>
            <w:tcW w:w="640" w:type="dxa"/>
            <w:vAlign w:val="bottom"/>
          </w:tcPr>
          <w:p w14:paraId="1A4DECD3"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4.2.</w:t>
            </w:r>
          </w:p>
        </w:tc>
        <w:tc>
          <w:tcPr>
            <w:tcW w:w="5046" w:type="dxa"/>
            <w:vAlign w:val="bottom"/>
          </w:tcPr>
          <w:p w14:paraId="3A83261B"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комиссионные доходы</w:t>
            </w:r>
          </w:p>
        </w:tc>
        <w:tc>
          <w:tcPr>
            <w:tcW w:w="1417" w:type="dxa"/>
            <w:vAlign w:val="bottom"/>
          </w:tcPr>
          <w:p w14:paraId="5459B046"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20 155</w:t>
            </w:r>
          </w:p>
        </w:tc>
        <w:tc>
          <w:tcPr>
            <w:tcW w:w="1417" w:type="dxa"/>
            <w:vAlign w:val="center"/>
          </w:tcPr>
          <w:p w14:paraId="0FCC5ECD"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18 301</w:t>
            </w:r>
          </w:p>
        </w:tc>
        <w:tc>
          <w:tcPr>
            <w:tcW w:w="1417" w:type="dxa"/>
            <w:vAlign w:val="bottom"/>
          </w:tcPr>
          <w:p w14:paraId="2E5D8B22"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89,5</w:t>
            </w:r>
          </w:p>
        </w:tc>
      </w:tr>
      <w:tr w:rsidR="00963C42" w:rsidRPr="00963C42" w14:paraId="3D94AB56" w14:textId="77777777" w:rsidTr="001C45F7">
        <w:trPr>
          <w:trHeight w:val="90"/>
        </w:trPr>
        <w:tc>
          <w:tcPr>
            <w:tcW w:w="640" w:type="dxa"/>
            <w:vAlign w:val="bottom"/>
          </w:tcPr>
          <w:p w14:paraId="4251E79E"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4.3.</w:t>
            </w:r>
          </w:p>
        </w:tc>
        <w:tc>
          <w:tcPr>
            <w:tcW w:w="5046" w:type="dxa"/>
            <w:vAlign w:val="bottom"/>
          </w:tcPr>
          <w:p w14:paraId="5B2F6AE5"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xml:space="preserve">доходы по операциям с памятными (юбилейными) банкнотами и монетами </w:t>
            </w:r>
          </w:p>
        </w:tc>
        <w:tc>
          <w:tcPr>
            <w:tcW w:w="1417" w:type="dxa"/>
            <w:vAlign w:val="bottom"/>
          </w:tcPr>
          <w:p w14:paraId="4524AC82"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1 769</w:t>
            </w:r>
          </w:p>
        </w:tc>
        <w:tc>
          <w:tcPr>
            <w:tcW w:w="1417" w:type="dxa"/>
            <w:vAlign w:val="bottom"/>
          </w:tcPr>
          <w:p w14:paraId="2AFABE7C"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988</w:t>
            </w:r>
          </w:p>
        </w:tc>
        <w:tc>
          <w:tcPr>
            <w:tcW w:w="1417" w:type="dxa"/>
            <w:vAlign w:val="bottom"/>
          </w:tcPr>
          <w:p w14:paraId="706A6AEB"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55,9</w:t>
            </w:r>
          </w:p>
        </w:tc>
      </w:tr>
      <w:tr w:rsidR="00963C42" w:rsidRPr="00963C42" w14:paraId="70C5A70C" w14:textId="77777777" w:rsidTr="001C45F7">
        <w:trPr>
          <w:trHeight w:val="84"/>
        </w:trPr>
        <w:tc>
          <w:tcPr>
            <w:tcW w:w="640" w:type="dxa"/>
            <w:vAlign w:val="bottom"/>
          </w:tcPr>
          <w:p w14:paraId="0B7DE6B9"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4.4.</w:t>
            </w:r>
          </w:p>
        </w:tc>
        <w:tc>
          <w:tcPr>
            <w:tcW w:w="5046" w:type="dxa"/>
            <w:vAlign w:val="bottom"/>
          </w:tcPr>
          <w:p w14:paraId="780910EF"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доходы от аренды и финансовой аренды (лизинга)</w:t>
            </w:r>
          </w:p>
        </w:tc>
        <w:tc>
          <w:tcPr>
            <w:tcW w:w="1417" w:type="dxa"/>
            <w:vAlign w:val="bottom"/>
          </w:tcPr>
          <w:p w14:paraId="0EDB96D7"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w:t>
            </w:r>
          </w:p>
        </w:tc>
        <w:tc>
          <w:tcPr>
            <w:tcW w:w="1417" w:type="dxa"/>
            <w:tcBorders>
              <w:bottom w:val="nil"/>
            </w:tcBorders>
            <w:vAlign w:val="center"/>
          </w:tcPr>
          <w:p w14:paraId="19366CE1"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w:t>
            </w:r>
          </w:p>
        </w:tc>
        <w:tc>
          <w:tcPr>
            <w:tcW w:w="1417" w:type="dxa"/>
            <w:vAlign w:val="bottom"/>
          </w:tcPr>
          <w:p w14:paraId="57FBC51C"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100,0</w:t>
            </w:r>
          </w:p>
        </w:tc>
      </w:tr>
      <w:tr w:rsidR="00963C42" w:rsidRPr="00963C42" w14:paraId="221D623D" w14:textId="77777777" w:rsidTr="001C45F7">
        <w:trPr>
          <w:trHeight w:val="135"/>
        </w:trPr>
        <w:tc>
          <w:tcPr>
            <w:tcW w:w="640" w:type="dxa"/>
            <w:vAlign w:val="bottom"/>
          </w:tcPr>
          <w:p w14:paraId="69A67C6E"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4.5.</w:t>
            </w:r>
          </w:p>
        </w:tc>
        <w:tc>
          <w:tcPr>
            <w:tcW w:w="5046" w:type="dxa"/>
            <w:vAlign w:val="bottom"/>
          </w:tcPr>
          <w:p w14:paraId="33007894"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доходы от выбытия (реализации) активов</w:t>
            </w:r>
          </w:p>
        </w:tc>
        <w:tc>
          <w:tcPr>
            <w:tcW w:w="1417" w:type="dxa"/>
            <w:vAlign w:val="bottom"/>
          </w:tcPr>
          <w:p w14:paraId="341E9FD5"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24</w:t>
            </w:r>
          </w:p>
        </w:tc>
        <w:tc>
          <w:tcPr>
            <w:tcW w:w="1417" w:type="dxa"/>
            <w:tcBorders>
              <w:bottom w:val="nil"/>
            </w:tcBorders>
            <w:vAlign w:val="center"/>
          </w:tcPr>
          <w:p w14:paraId="15E66E98"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221</w:t>
            </w:r>
          </w:p>
        </w:tc>
        <w:tc>
          <w:tcPr>
            <w:tcW w:w="1417" w:type="dxa"/>
            <w:vAlign w:val="bottom"/>
          </w:tcPr>
          <w:p w14:paraId="442D8A3F"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920,8</w:t>
            </w:r>
          </w:p>
        </w:tc>
      </w:tr>
      <w:tr w:rsidR="00963C42" w:rsidRPr="00963C42" w14:paraId="4E52B0C9" w14:textId="77777777" w:rsidTr="001C45F7">
        <w:trPr>
          <w:trHeight w:val="70"/>
        </w:trPr>
        <w:tc>
          <w:tcPr>
            <w:tcW w:w="640" w:type="dxa"/>
            <w:vAlign w:val="bottom"/>
          </w:tcPr>
          <w:p w14:paraId="5C4E7F59"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4.6.</w:t>
            </w:r>
          </w:p>
        </w:tc>
        <w:tc>
          <w:tcPr>
            <w:tcW w:w="5046" w:type="dxa"/>
            <w:vAlign w:val="bottom"/>
          </w:tcPr>
          <w:p w14:paraId="4A785438"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другие доходы</w:t>
            </w:r>
          </w:p>
        </w:tc>
        <w:tc>
          <w:tcPr>
            <w:tcW w:w="1417" w:type="dxa"/>
            <w:vAlign w:val="bottom"/>
          </w:tcPr>
          <w:p w14:paraId="0543CED9"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14</w:t>
            </w:r>
          </w:p>
        </w:tc>
        <w:tc>
          <w:tcPr>
            <w:tcW w:w="1417" w:type="dxa"/>
            <w:tcBorders>
              <w:bottom w:val="nil"/>
            </w:tcBorders>
            <w:vAlign w:val="center"/>
          </w:tcPr>
          <w:p w14:paraId="156320E5" w14:textId="77777777" w:rsidR="00963C42" w:rsidRPr="00963C42" w:rsidRDefault="00963C42" w:rsidP="00963C42">
            <w:pPr>
              <w:spacing w:before="0" w:after="0" w:line="240" w:lineRule="auto"/>
              <w:ind w:right="123" w:hanging="11"/>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103</w:t>
            </w:r>
          </w:p>
        </w:tc>
        <w:tc>
          <w:tcPr>
            <w:tcW w:w="1417" w:type="dxa"/>
            <w:vAlign w:val="bottom"/>
          </w:tcPr>
          <w:p w14:paraId="16F19E4D"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735,7</w:t>
            </w:r>
          </w:p>
        </w:tc>
      </w:tr>
      <w:tr w:rsidR="00963C42" w:rsidRPr="00963C42" w14:paraId="19DF09F9" w14:textId="77777777" w:rsidTr="001C45F7">
        <w:trPr>
          <w:trHeight w:val="126"/>
        </w:trPr>
        <w:tc>
          <w:tcPr>
            <w:tcW w:w="640" w:type="dxa"/>
            <w:shd w:val="clear" w:color="auto" w:fill="CCCCCC"/>
            <w:vAlign w:val="bottom"/>
          </w:tcPr>
          <w:p w14:paraId="5554ED6E" w14:textId="77777777" w:rsidR="00963C42" w:rsidRPr="00963C42" w:rsidRDefault="00963C42" w:rsidP="00963C42">
            <w:pPr>
              <w:keepNext/>
              <w:spacing w:before="20" w:after="20" w:line="240" w:lineRule="auto"/>
              <w:ind w:right="-108"/>
              <w:outlineLvl w:val="5"/>
              <w:rPr>
                <w:rFonts w:ascii="Times New Roman" w:eastAsia="Times New Roman" w:hAnsi="Times New Roman" w:cs="Times New Roman"/>
                <w:b/>
                <w:sz w:val="22"/>
                <w:szCs w:val="22"/>
              </w:rPr>
            </w:pPr>
          </w:p>
        </w:tc>
        <w:tc>
          <w:tcPr>
            <w:tcW w:w="5046" w:type="dxa"/>
            <w:shd w:val="clear" w:color="auto" w:fill="CCCCCC"/>
            <w:vAlign w:val="bottom"/>
          </w:tcPr>
          <w:p w14:paraId="362569B5" w14:textId="77777777" w:rsidR="00963C42" w:rsidRPr="00963C42" w:rsidRDefault="00963C42" w:rsidP="00963C42">
            <w:pPr>
              <w:keepNext/>
              <w:spacing w:before="20" w:after="20" w:line="240" w:lineRule="auto"/>
              <w:ind w:right="-108"/>
              <w:outlineLvl w:val="5"/>
              <w:rPr>
                <w:rFonts w:ascii="Times New Roman" w:eastAsia="Times New Roman" w:hAnsi="Times New Roman" w:cs="Times New Roman"/>
                <w:b/>
                <w:sz w:val="22"/>
                <w:szCs w:val="22"/>
              </w:rPr>
            </w:pPr>
            <w:r w:rsidRPr="00963C42">
              <w:rPr>
                <w:rFonts w:ascii="Times New Roman" w:eastAsia="Times New Roman" w:hAnsi="Times New Roman" w:cs="Times New Roman"/>
                <w:b/>
                <w:sz w:val="22"/>
                <w:szCs w:val="22"/>
              </w:rPr>
              <w:t>Итого доходов</w:t>
            </w:r>
          </w:p>
        </w:tc>
        <w:tc>
          <w:tcPr>
            <w:tcW w:w="1417" w:type="dxa"/>
            <w:shd w:val="clear" w:color="auto" w:fill="CCCCCC"/>
            <w:vAlign w:val="bottom"/>
          </w:tcPr>
          <w:p w14:paraId="545508F0" w14:textId="77777777" w:rsidR="00963C42" w:rsidRPr="00963C42" w:rsidRDefault="00963C42" w:rsidP="00963C42">
            <w:pPr>
              <w:spacing w:before="20" w:after="2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74 185</w:t>
            </w:r>
          </w:p>
        </w:tc>
        <w:tc>
          <w:tcPr>
            <w:tcW w:w="1417" w:type="dxa"/>
            <w:shd w:val="clear" w:color="auto" w:fill="CCCCCC"/>
            <w:vAlign w:val="bottom"/>
          </w:tcPr>
          <w:p w14:paraId="5D44C444" w14:textId="77777777" w:rsidR="00963C42" w:rsidRPr="00963C42" w:rsidRDefault="00963C42" w:rsidP="00963C42">
            <w:pPr>
              <w:spacing w:before="20" w:after="20" w:line="240" w:lineRule="auto"/>
              <w:ind w:right="123"/>
              <w:jc w:val="right"/>
              <w:rPr>
                <w:rFonts w:ascii="Times New Roman" w:eastAsia="Times New Roman" w:hAnsi="Times New Roman" w:cs="Times New Roman"/>
                <w:b/>
                <w:bCs/>
                <w:snapToGrid w:val="0"/>
                <w:sz w:val="22"/>
                <w:szCs w:val="22"/>
              </w:rPr>
            </w:pPr>
            <w:r w:rsidRPr="00963C42">
              <w:rPr>
                <w:rFonts w:ascii="Times New Roman" w:eastAsia="Times New Roman" w:hAnsi="Times New Roman" w:cs="Times New Roman"/>
                <w:b/>
                <w:bCs/>
                <w:snapToGrid w:val="0"/>
                <w:sz w:val="22"/>
                <w:szCs w:val="22"/>
              </w:rPr>
              <w:t>70 207</w:t>
            </w:r>
          </w:p>
        </w:tc>
        <w:tc>
          <w:tcPr>
            <w:tcW w:w="1417" w:type="dxa"/>
            <w:shd w:val="clear" w:color="auto" w:fill="CCCCCC"/>
            <w:vAlign w:val="bottom"/>
          </w:tcPr>
          <w:p w14:paraId="322A3FD1" w14:textId="77777777" w:rsidR="00963C42" w:rsidRPr="00963C42" w:rsidRDefault="00963C42" w:rsidP="00963C42">
            <w:pPr>
              <w:spacing w:before="20" w:after="20" w:line="240" w:lineRule="auto"/>
              <w:ind w:right="123"/>
              <w:jc w:val="right"/>
              <w:rPr>
                <w:rFonts w:ascii="Times New Roman" w:eastAsia="Times New Roman" w:hAnsi="Times New Roman" w:cs="Times New Roman"/>
                <w:b/>
                <w:bCs/>
                <w:snapToGrid w:val="0"/>
                <w:sz w:val="22"/>
                <w:szCs w:val="22"/>
              </w:rPr>
            </w:pPr>
            <w:r w:rsidRPr="00963C42">
              <w:rPr>
                <w:rFonts w:ascii="Times New Roman" w:eastAsia="Times New Roman" w:hAnsi="Times New Roman" w:cs="Times New Roman"/>
                <w:b/>
                <w:bCs/>
                <w:snapToGrid w:val="0"/>
                <w:sz w:val="22"/>
                <w:szCs w:val="22"/>
              </w:rPr>
              <w:t>94,6</w:t>
            </w:r>
          </w:p>
        </w:tc>
      </w:tr>
      <w:tr w:rsidR="00963C42" w:rsidRPr="00963C42" w14:paraId="053EAFA8" w14:textId="77777777" w:rsidTr="001C45F7">
        <w:trPr>
          <w:trHeight w:val="70"/>
        </w:trPr>
        <w:tc>
          <w:tcPr>
            <w:tcW w:w="640" w:type="dxa"/>
            <w:tcBorders>
              <w:top w:val="nil"/>
            </w:tcBorders>
            <w:vAlign w:val="bottom"/>
          </w:tcPr>
          <w:p w14:paraId="1C8E4F28" w14:textId="77777777" w:rsidR="00963C42" w:rsidRPr="00963C42" w:rsidRDefault="00963C42" w:rsidP="00963C42">
            <w:pPr>
              <w:keepNext/>
              <w:spacing w:before="20" w:after="20" w:line="240" w:lineRule="auto"/>
              <w:ind w:right="-108"/>
              <w:outlineLvl w:val="5"/>
              <w:rPr>
                <w:rFonts w:ascii="Times New Roman" w:eastAsia="Times New Roman" w:hAnsi="Times New Roman" w:cs="Times New Roman"/>
                <w:b/>
                <w:sz w:val="22"/>
                <w:szCs w:val="22"/>
                <w:lang w:val="en-US"/>
              </w:rPr>
            </w:pPr>
            <w:r w:rsidRPr="00963C42">
              <w:rPr>
                <w:rFonts w:ascii="Times New Roman" w:eastAsia="Times New Roman" w:hAnsi="Times New Roman" w:cs="Times New Roman"/>
                <w:b/>
                <w:sz w:val="22"/>
                <w:szCs w:val="22"/>
                <w:lang w:val="en-US"/>
              </w:rPr>
              <w:t>II</w:t>
            </w:r>
          </w:p>
        </w:tc>
        <w:tc>
          <w:tcPr>
            <w:tcW w:w="5046" w:type="dxa"/>
            <w:tcBorders>
              <w:top w:val="nil"/>
            </w:tcBorders>
            <w:vAlign w:val="bottom"/>
          </w:tcPr>
          <w:p w14:paraId="1A7F5FC4" w14:textId="77777777" w:rsidR="00963C42" w:rsidRPr="00963C42" w:rsidRDefault="00963C42" w:rsidP="00963C42">
            <w:pPr>
              <w:keepNext/>
              <w:spacing w:before="20" w:after="20" w:line="240" w:lineRule="auto"/>
              <w:ind w:right="-108" w:firstLine="425"/>
              <w:jc w:val="center"/>
              <w:outlineLvl w:val="5"/>
              <w:rPr>
                <w:rFonts w:ascii="Times New Roman" w:eastAsia="Times New Roman" w:hAnsi="Times New Roman" w:cs="Times New Roman"/>
                <w:b/>
                <w:sz w:val="22"/>
                <w:szCs w:val="22"/>
              </w:rPr>
            </w:pPr>
            <w:r w:rsidRPr="00963C42">
              <w:rPr>
                <w:rFonts w:ascii="Times New Roman" w:eastAsia="Times New Roman" w:hAnsi="Times New Roman" w:cs="Times New Roman"/>
                <w:b/>
                <w:sz w:val="22"/>
                <w:szCs w:val="22"/>
              </w:rPr>
              <w:t>РАСХОДЫ</w:t>
            </w:r>
          </w:p>
        </w:tc>
        <w:tc>
          <w:tcPr>
            <w:tcW w:w="1417" w:type="dxa"/>
            <w:tcBorders>
              <w:top w:val="nil"/>
            </w:tcBorders>
            <w:vAlign w:val="bottom"/>
          </w:tcPr>
          <w:p w14:paraId="23899874" w14:textId="77777777" w:rsidR="00963C42" w:rsidRPr="00963C42" w:rsidRDefault="00963C42" w:rsidP="00963C42">
            <w:pPr>
              <w:spacing w:before="20" w:after="20" w:line="240" w:lineRule="auto"/>
              <w:jc w:val="right"/>
              <w:rPr>
                <w:rFonts w:ascii="Times New Roman" w:eastAsia="Times New Roman" w:hAnsi="Times New Roman" w:cs="Times New Roman"/>
                <w:sz w:val="22"/>
                <w:szCs w:val="22"/>
              </w:rPr>
            </w:pPr>
          </w:p>
        </w:tc>
        <w:tc>
          <w:tcPr>
            <w:tcW w:w="1417" w:type="dxa"/>
            <w:tcBorders>
              <w:top w:val="nil"/>
            </w:tcBorders>
            <w:vAlign w:val="bottom"/>
          </w:tcPr>
          <w:p w14:paraId="70AA6118" w14:textId="77777777" w:rsidR="00963C42" w:rsidRPr="00963C42" w:rsidRDefault="00963C42" w:rsidP="00963C42">
            <w:pPr>
              <w:spacing w:before="20" w:after="20" w:line="240" w:lineRule="auto"/>
              <w:jc w:val="right"/>
              <w:rPr>
                <w:rFonts w:ascii="Times New Roman" w:eastAsia="Times New Roman" w:hAnsi="Times New Roman" w:cs="Times New Roman"/>
                <w:snapToGrid w:val="0"/>
                <w:sz w:val="22"/>
                <w:szCs w:val="22"/>
              </w:rPr>
            </w:pPr>
          </w:p>
        </w:tc>
        <w:tc>
          <w:tcPr>
            <w:tcW w:w="1417" w:type="dxa"/>
            <w:tcBorders>
              <w:top w:val="nil"/>
            </w:tcBorders>
            <w:vAlign w:val="bottom"/>
          </w:tcPr>
          <w:p w14:paraId="535BD672" w14:textId="77777777" w:rsidR="00963C42" w:rsidRPr="00963C42" w:rsidRDefault="00963C42" w:rsidP="00963C42">
            <w:pPr>
              <w:spacing w:before="20" w:after="20" w:line="240" w:lineRule="auto"/>
              <w:ind w:right="-20"/>
              <w:jc w:val="right"/>
              <w:rPr>
                <w:rFonts w:ascii="Times New Roman" w:eastAsia="Times New Roman" w:hAnsi="Times New Roman" w:cs="Times New Roman"/>
                <w:snapToGrid w:val="0"/>
                <w:sz w:val="22"/>
                <w:szCs w:val="22"/>
              </w:rPr>
            </w:pPr>
          </w:p>
        </w:tc>
      </w:tr>
      <w:tr w:rsidR="00963C42" w:rsidRPr="00963C42" w14:paraId="4D13C889" w14:textId="77777777" w:rsidTr="001C45F7">
        <w:trPr>
          <w:trHeight w:val="70"/>
        </w:trPr>
        <w:tc>
          <w:tcPr>
            <w:tcW w:w="640" w:type="dxa"/>
            <w:vAlign w:val="bottom"/>
          </w:tcPr>
          <w:p w14:paraId="50E56425" w14:textId="77777777" w:rsidR="00963C42" w:rsidRPr="00963C42" w:rsidRDefault="00963C42" w:rsidP="00963C42">
            <w:pPr>
              <w:tabs>
                <w:tab w:val="num" w:pos="720"/>
              </w:tabs>
              <w:spacing w:before="20" w:after="20" w:line="240" w:lineRule="auto"/>
              <w:ind w:left="72"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5.</w:t>
            </w:r>
          </w:p>
        </w:tc>
        <w:tc>
          <w:tcPr>
            <w:tcW w:w="5046" w:type="dxa"/>
            <w:vAlign w:val="bottom"/>
          </w:tcPr>
          <w:p w14:paraId="0B3FCE6A" w14:textId="77777777" w:rsidR="00963C42" w:rsidRPr="00963C42" w:rsidRDefault="00963C42" w:rsidP="00963C42">
            <w:pPr>
              <w:tabs>
                <w:tab w:val="num" w:pos="720"/>
              </w:tabs>
              <w:spacing w:before="20" w:after="20" w:line="240" w:lineRule="auto"/>
              <w:ind w:left="72"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xml:space="preserve">Процентные расходы </w:t>
            </w:r>
          </w:p>
        </w:tc>
        <w:tc>
          <w:tcPr>
            <w:tcW w:w="1417" w:type="dxa"/>
            <w:vAlign w:val="center"/>
          </w:tcPr>
          <w:p w14:paraId="29DE6C5C"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8</w:t>
            </w:r>
          </w:p>
        </w:tc>
        <w:tc>
          <w:tcPr>
            <w:tcW w:w="1417" w:type="dxa"/>
            <w:vAlign w:val="center"/>
          </w:tcPr>
          <w:p w14:paraId="54EFD392"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91</w:t>
            </w:r>
          </w:p>
        </w:tc>
        <w:tc>
          <w:tcPr>
            <w:tcW w:w="1417" w:type="dxa"/>
            <w:vAlign w:val="center"/>
          </w:tcPr>
          <w:p w14:paraId="0F947331" w14:textId="77777777" w:rsidR="00963C42" w:rsidRPr="00963C42" w:rsidRDefault="00963C42" w:rsidP="00963C42">
            <w:pPr>
              <w:spacing w:before="20" w:after="20" w:line="240" w:lineRule="auto"/>
              <w:ind w:right="123"/>
              <w:jc w:val="right"/>
              <w:rPr>
                <w:rFonts w:ascii="Times New Roman" w:eastAsia="Times New Roman" w:hAnsi="Times New Roman" w:cs="Times New Roman"/>
                <w:snapToGrid w:val="0"/>
                <w:sz w:val="22"/>
                <w:szCs w:val="22"/>
              </w:rPr>
            </w:pPr>
            <w:r w:rsidRPr="00963C42">
              <w:rPr>
                <w:rFonts w:ascii="Times New Roman" w:eastAsia="Times New Roman" w:hAnsi="Times New Roman" w:cs="Times New Roman"/>
                <w:snapToGrid w:val="0"/>
                <w:sz w:val="22"/>
                <w:szCs w:val="22"/>
              </w:rPr>
              <w:t>1 137,5</w:t>
            </w:r>
          </w:p>
        </w:tc>
      </w:tr>
      <w:tr w:rsidR="00963C42" w:rsidRPr="00963C42" w14:paraId="1FF5AD1A" w14:textId="77777777" w:rsidTr="001C45F7">
        <w:trPr>
          <w:trHeight w:val="327"/>
        </w:trPr>
        <w:tc>
          <w:tcPr>
            <w:tcW w:w="640" w:type="dxa"/>
            <w:vAlign w:val="bottom"/>
          </w:tcPr>
          <w:p w14:paraId="0B011048" w14:textId="77777777" w:rsidR="00963C42" w:rsidRPr="00963C42" w:rsidRDefault="00963C42" w:rsidP="00963C42">
            <w:pPr>
              <w:spacing w:before="20" w:after="20" w:line="240" w:lineRule="auto"/>
              <w:ind w:left="72"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6.</w:t>
            </w:r>
          </w:p>
        </w:tc>
        <w:tc>
          <w:tcPr>
            <w:tcW w:w="5046" w:type="dxa"/>
            <w:vAlign w:val="bottom"/>
          </w:tcPr>
          <w:p w14:paraId="42DA4BD5" w14:textId="77777777" w:rsidR="00963C42" w:rsidRPr="00963C42" w:rsidRDefault="00963C42" w:rsidP="00963C42">
            <w:pPr>
              <w:spacing w:before="20" w:after="20" w:line="240" w:lineRule="auto"/>
              <w:ind w:left="72"/>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Расходы по организации налично-денежного обращения</w:t>
            </w:r>
          </w:p>
        </w:tc>
        <w:tc>
          <w:tcPr>
            <w:tcW w:w="1417" w:type="dxa"/>
            <w:vAlign w:val="bottom"/>
          </w:tcPr>
          <w:p w14:paraId="4B9C14A0"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8 227</w:t>
            </w:r>
          </w:p>
        </w:tc>
        <w:tc>
          <w:tcPr>
            <w:tcW w:w="1417" w:type="dxa"/>
            <w:vAlign w:val="bottom"/>
          </w:tcPr>
          <w:p w14:paraId="3DD02DB2"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8 371</w:t>
            </w:r>
          </w:p>
        </w:tc>
        <w:tc>
          <w:tcPr>
            <w:tcW w:w="1417" w:type="dxa"/>
            <w:vAlign w:val="bottom"/>
          </w:tcPr>
          <w:p w14:paraId="7675CAE5" w14:textId="77777777" w:rsidR="00963C42" w:rsidRPr="00963C42" w:rsidRDefault="00963C42" w:rsidP="00963C42">
            <w:pPr>
              <w:spacing w:before="20" w:after="20" w:line="240" w:lineRule="auto"/>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101,8</w:t>
            </w:r>
          </w:p>
        </w:tc>
      </w:tr>
      <w:tr w:rsidR="00963C42" w:rsidRPr="00963C42" w14:paraId="6FEA3CEE" w14:textId="77777777" w:rsidTr="001C45F7">
        <w:trPr>
          <w:trHeight w:val="70"/>
        </w:trPr>
        <w:tc>
          <w:tcPr>
            <w:tcW w:w="640" w:type="dxa"/>
            <w:vAlign w:val="bottom"/>
          </w:tcPr>
          <w:p w14:paraId="2EFE864E" w14:textId="77777777" w:rsidR="00963C42" w:rsidRPr="00963C42" w:rsidRDefault="00963C42" w:rsidP="00963C42">
            <w:pPr>
              <w:spacing w:before="20" w:after="20" w:line="240" w:lineRule="auto"/>
              <w:ind w:left="72"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7.</w:t>
            </w:r>
          </w:p>
        </w:tc>
        <w:tc>
          <w:tcPr>
            <w:tcW w:w="5046" w:type="dxa"/>
            <w:vAlign w:val="bottom"/>
          </w:tcPr>
          <w:p w14:paraId="7573193A" w14:textId="77777777" w:rsidR="00963C42" w:rsidRPr="00963C42" w:rsidRDefault="00963C42" w:rsidP="00963C42">
            <w:pPr>
              <w:spacing w:before="20" w:after="20" w:line="240" w:lineRule="auto"/>
              <w:ind w:left="72"/>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Прочие расходы</w:t>
            </w:r>
          </w:p>
        </w:tc>
        <w:tc>
          <w:tcPr>
            <w:tcW w:w="1417" w:type="dxa"/>
            <w:vAlign w:val="bottom"/>
          </w:tcPr>
          <w:p w14:paraId="5B9BBD6E"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41 321</w:t>
            </w:r>
          </w:p>
        </w:tc>
        <w:tc>
          <w:tcPr>
            <w:tcW w:w="1417" w:type="dxa"/>
            <w:vAlign w:val="bottom"/>
          </w:tcPr>
          <w:p w14:paraId="00BF0C71"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37 846</w:t>
            </w:r>
          </w:p>
        </w:tc>
        <w:tc>
          <w:tcPr>
            <w:tcW w:w="1417" w:type="dxa"/>
            <w:vAlign w:val="bottom"/>
          </w:tcPr>
          <w:p w14:paraId="3C4CF89C"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91,6</w:t>
            </w:r>
          </w:p>
        </w:tc>
      </w:tr>
      <w:tr w:rsidR="00963C42" w:rsidRPr="00963C42" w14:paraId="13380E7C" w14:textId="77777777" w:rsidTr="001C45F7">
        <w:trPr>
          <w:trHeight w:val="70"/>
        </w:trPr>
        <w:tc>
          <w:tcPr>
            <w:tcW w:w="640" w:type="dxa"/>
            <w:vAlign w:val="bottom"/>
          </w:tcPr>
          <w:p w14:paraId="08306DFA" w14:textId="77777777" w:rsidR="00963C42" w:rsidRPr="00963C42" w:rsidRDefault="00963C42" w:rsidP="00963C42">
            <w:pPr>
              <w:spacing w:before="20" w:after="20" w:line="240" w:lineRule="auto"/>
              <w:ind w:left="72" w:right="-108"/>
              <w:rPr>
                <w:rFonts w:ascii="Times New Roman" w:eastAsia="Times New Roman" w:hAnsi="Times New Roman" w:cs="Times New Roman"/>
                <w:sz w:val="22"/>
                <w:szCs w:val="22"/>
              </w:rPr>
            </w:pPr>
          </w:p>
        </w:tc>
        <w:tc>
          <w:tcPr>
            <w:tcW w:w="5046" w:type="dxa"/>
            <w:vAlign w:val="bottom"/>
          </w:tcPr>
          <w:p w14:paraId="44F7B882" w14:textId="77777777" w:rsidR="00963C42" w:rsidRPr="00963C42" w:rsidRDefault="00963C42" w:rsidP="00963C42">
            <w:pPr>
              <w:spacing w:before="20" w:after="20" w:line="240" w:lineRule="auto"/>
              <w:ind w:left="171"/>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в том числе:</w:t>
            </w:r>
          </w:p>
        </w:tc>
        <w:tc>
          <w:tcPr>
            <w:tcW w:w="1417" w:type="dxa"/>
            <w:vAlign w:val="bottom"/>
          </w:tcPr>
          <w:p w14:paraId="6E6E1EE7"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p>
        </w:tc>
        <w:tc>
          <w:tcPr>
            <w:tcW w:w="1417" w:type="dxa"/>
            <w:vAlign w:val="bottom"/>
          </w:tcPr>
          <w:p w14:paraId="11A46F4B"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p>
        </w:tc>
        <w:tc>
          <w:tcPr>
            <w:tcW w:w="1417" w:type="dxa"/>
            <w:vAlign w:val="bottom"/>
          </w:tcPr>
          <w:p w14:paraId="6C4E4EF5"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p>
        </w:tc>
      </w:tr>
      <w:tr w:rsidR="00963C42" w:rsidRPr="00963C42" w14:paraId="5BF1250C" w14:textId="77777777" w:rsidTr="001C45F7">
        <w:trPr>
          <w:trHeight w:val="70"/>
        </w:trPr>
        <w:tc>
          <w:tcPr>
            <w:tcW w:w="640" w:type="dxa"/>
            <w:vAlign w:val="bottom"/>
          </w:tcPr>
          <w:p w14:paraId="689059BA" w14:textId="77777777" w:rsidR="00963C42" w:rsidRPr="00963C42" w:rsidRDefault="00963C42" w:rsidP="00963C42">
            <w:pPr>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7.1.</w:t>
            </w:r>
          </w:p>
        </w:tc>
        <w:tc>
          <w:tcPr>
            <w:tcW w:w="5046" w:type="dxa"/>
            <w:vAlign w:val="bottom"/>
          </w:tcPr>
          <w:p w14:paraId="04CF14A2" w14:textId="77777777" w:rsidR="00963C42" w:rsidRPr="00963C42" w:rsidRDefault="00963C42" w:rsidP="00963C42">
            <w:pPr>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административно-хозяйственные расходы</w:t>
            </w:r>
          </w:p>
        </w:tc>
        <w:tc>
          <w:tcPr>
            <w:tcW w:w="1417" w:type="dxa"/>
            <w:vAlign w:val="bottom"/>
          </w:tcPr>
          <w:p w14:paraId="17573916"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11 041</w:t>
            </w:r>
          </w:p>
        </w:tc>
        <w:tc>
          <w:tcPr>
            <w:tcW w:w="1417" w:type="dxa"/>
            <w:vAlign w:val="bottom"/>
          </w:tcPr>
          <w:p w14:paraId="0835B73E"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8 439</w:t>
            </w:r>
          </w:p>
        </w:tc>
        <w:tc>
          <w:tcPr>
            <w:tcW w:w="1417" w:type="dxa"/>
            <w:vAlign w:val="bottom"/>
          </w:tcPr>
          <w:p w14:paraId="0FC38C7C"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76,4</w:t>
            </w:r>
          </w:p>
        </w:tc>
      </w:tr>
      <w:tr w:rsidR="00963C42" w:rsidRPr="00963C42" w14:paraId="2185042D" w14:textId="77777777" w:rsidTr="001C45F7">
        <w:trPr>
          <w:trHeight w:val="131"/>
        </w:trPr>
        <w:tc>
          <w:tcPr>
            <w:tcW w:w="640" w:type="dxa"/>
            <w:vAlign w:val="bottom"/>
          </w:tcPr>
          <w:p w14:paraId="4D271972" w14:textId="77777777" w:rsidR="00963C42" w:rsidRPr="00963C42" w:rsidRDefault="00963C42" w:rsidP="00963C42">
            <w:pPr>
              <w:tabs>
                <w:tab w:val="num" w:pos="432"/>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7.2.</w:t>
            </w:r>
          </w:p>
        </w:tc>
        <w:tc>
          <w:tcPr>
            <w:tcW w:w="5046" w:type="dxa"/>
            <w:vAlign w:val="bottom"/>
          </w:tcPr>
          <w:p w14:paraId="70080D51" w14:textId="77777777" w:rsidR="00963C42" w:rsidRPr="00963C42" w:rsidRDefault="00963C42" w:rsidP="00963C42">
            <w:pPr>
              <w:tabs>
                <w:tab w:val="num" w:pos="432"/>
              </w:tabs>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 xml:space="preserve">расходы на содержание служащих </w:t>
            </w:r>
          </w:p>
        </w:tc>
        <w:tc>
          <w:tcPr>
            <w:tcW w:w="1417" w:type="dxa"/>
            <w:vAlign w:val="bottom"/>
          </w:tcPr>
          <w:p w14:paraId="7FF3D3A2"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28 900</w:t>
            </w:r>
          </w:p>
        </w:tc>
        <w:tc>
          <w:tcPr>
            <w:tcW w:w="1417" w:type="dxa"/>
            <w:vAlign w:val="bottom"/>
          </w:tcPr>
          <w:p w14:paraId="480AEDC1"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28 900</w:t>
            </w:r>
          </w:p>
        </w:tc>
        <w:tc>
          <w:tcPr>
            <w:tcW w:w="1417" w:type="dxa"/>
            <w:vAlign w:val="bottom"/>
          </w:tcPr>
          <w:p w14:paraId="664FE159"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100,0</w:t>
            </w:r>
          </w:p>
        </w:tc>
      </w:tr>
      <w:tr w:rsidR="00963C42" w:rsidRPr="00963C42" w14:paraId="544060F6" w14:textId="77777777" w:rsidTr="001C45F7">
        <w:trPr>
          <w:trHeight w:val="131"/>
        </w:trPr>
        <w:tc>
          <w:tcPr>
            <w:tcW w:w="640" w:type="dxa"/>
            <w:vAlign w:val="bottom"/>
          </w:tcPr>
          <w:p w14:paraId="06FDFAF5" w14:textId="77777777" w:rsidR="00963C42" w:rsidRPr="00963C42" w:rsidRDefault="00963C42" w:rsidP="00963C42">
            <w:pPr>
              <w:tabs>
                <w:tab w:val="num" w:pos="432"/>
              </w:tabs>
              <w:spacing w:before="20" w:after="20" w:line="240" w:lineRule="auto"/>
              <w:ind w:left="34"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7.3.</w:t>
            </w:r>
          </w:p>
        </w:tc>
        <w:tc>
          <w:tcPr>
            <w:tcW w:w="5046" w:type="dxa"/>
            <w:vAlign w:val="bottom"/>
          </w:tcPr>
          <w:p w14:paraId="58913CDA" w14:textId="77777777" w:rsidR="00963C42" w:rsidRPr="00963C42" w:rsidRDefault="00963C42" w:rsidP="00963C42">
            <w:pPr>
              <w:tabs>
                <w:tab w:val="num" w:pos="432"/>
              </w:tabs>
              <w:spacing w:before="20" w:after="20" w:line="240" w:lineRule="auto"/>
              <w:ind w:left="171" w:right="-108"/>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другие расходы</w:t>
            </w:r>
          </w:p>
        </w:tc>
        <w:tc>
          <w:tcPr>
            <w:tcW w:w="1417" w:type="dxa"/>
            <w:vAlign w:val="bottom"/>
          </w:tcPr>
          <w:p w14:paraId="56D86BB5"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1 380</w:t>
            </w:r>
          </w:p>
        </w:tc>
        <w:tc>
          <w:tcPr>
            <w:tcW w:w="1417" w:type="dxa"/>
            <w:vAlign w:val="bottom"/>
          </w:tcPr>
          <w:p w14:paraId="47A8E9E7"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507</w:t>
            </w:r>
          </w:p>
        </w:tc>
        <w:tc>
          <w:tcPr>
            <w:tcW w:w="1417" w:type="dxa"/>
            <w:vAlign w:val="bottom"/>
          </w:tcPr>
          <w:p w14:paraId="36221304" w14:textId="77777777" w:rsidR="00963C42" w:rsidRPr="00963C42" w:rsidRDefault="00963C42" w:rsidP="00963C42">
            <w:pPr>
              <w:widowControl w:val="0"/>
              <w:spacing w:before="0" w:after="0" w:line="200" w:lineRule="exact"/>
              <w:ind w:right="123"/>
              <w:jc w:val="right"/>
              <w:rPr>
                <w:rFonts w:ascii="Times New Roman" w:eastAsia="Times New Roman" w:hAnsi="Times New Roman" w:cs="Times New Roman"/>
                <w:sz w:val="22"/>
                <w:szCs w:val="22"/>
              </w:rPr>
            </w:pPr>
            <w:r w:rsidRPr="00963C42">
              <w:rPr>
                <w:rFonts w:ascii="Times New Roman" w:eastAsia="Times New Roman" w:hAnsi="Times New Roman" w:cs="Times New Roman"/>
                <w:sz w:val="22"/>
                <w:szCs w:val="22"/>
              </w:rPr>
              <w:t>36,7</w:t>
            </w:r>
          </w:p>
        </w:tc>
      </w:tr>
      <w:tr w:rsidR="00963C42" w:rsidRPr="00963C42" w14:paraId="26A69751" w14:textId="77777777" w:rsidTr="001C45F7">
        <w:trPr>
          <w:trHeight w:val="70"/>
        </w:trPr>
        <w:tc>
          <w:tcPr>
            <w:tcW w:w="640" w:type="dxa"/>
            <w:shd w:val="clear" w:color="auto" w:fill="CCCCCC"/>
            <w:vAlign w:val="bottom"/>
          </w:tcPr>
          <w:p w14:paraId="44D49568" w14:textId="77777777" w:rsidR="00963C42" w:rsidRPr="00963C42" w:rsidRDefault="00963C42" w:rsidP="00963C42">
            <w:pPr>
              <w:keepNext/>
              <w:spacing w:before="20" w:after="20" w:line="240" w:lineRule="auto"/>
              <w:ind w:right="-108"/>
              <w:outlineLvl w:val="5"/>
              <w:rPr>
                <w:rFonts w:ascii="Times New Roman" w:eastAsia="Times New Roman" w:hAnsi="Times New Roman" w:cs="Times New Roman"/>
                <w:b/>
                <w:bCs/>
                <w:sz w:val="22"/>
                <w:szCs w:val="22"/>
              </w:rPr>
            </w:pPr>
          </w:p>
        </w:tc>
        <w:tc>
          <w:tcPr>
            <w:tcW w:w="5046" w:type="dxa"/>
            <w:shd w:val="clear" w:color="auto" w:fill="CCCCCC"/>
            <w:vAlign w:val="bottom"/>
          </w:tcPr>
          <w:p w14:paraId="2A74A108" w14:textId="77777777" w:rsidR="00963C42" w:rsidRPr="00963C42" w:rsidRDefault="00963C42" w:rsidP="00963C42">
            <w:pPr>
              <w:keepNext/>
              <w:spacing w:before="20" w:after="20" w:line="240" w:lineRule="auto"/>
              <w:ind w:right="-108"/>
              <w:outlineLvl w:val="5"/>
              <w:rPr>
                <w:rFonts w:ascii="Verdana" w:eastAsia="Times New Roman" w:hAnsi="Verdana" w:cs="Verdana"/>
                <w:b/>
                <w:i/>
                <w:iCs/>
                <w:sz w:val="22"/>
                <w:szCs w:val="22"/>
              </w:rPr>
            </w:pPr>
            <w:r w:rsidRPr="00963C42">
              <w:rPr>
                <w:rFonts w:ascii="Times New Roman" w:eastAsia="Times New Roman" w:hAnsi="Times New Roman" w:cs="Times New Roman"/>
                <w:b/>
                <w:sz w:val="22"/>
                <w:szCs w:val="22"/>
              </w:rPr>
              <w:t>Итого расходов</w:t>
            </w:r>
          </w:p>
        </w:tc>
        <w:tc>
          <w:tcPr>
            <w:tcW w:w="1417" w:type="dxa"/>
            <w:shd w:val="clear" w:color="auto" w:fill="CCCCCC"/>
            <w:vAlign w:val="bottom"/>
          </w:tcPr>
          <w:p w14:paraId="5752791C" w14:textId="77777777" w:rsidR="00963C42" w:rsidRPr="00963C42" w:rsidRDefault="00963C42" w:rsidP="00963C42">
            <w:pPr>
              <w:spacing w:before="20" w:after="2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49 556</w:t>
            </w:r>
          </w:p>
        </w:tc>
        <w:tc>
          <w:tcPr>
            <w:tcW w:w="1417" w:type="dxa"/>
            <w:shd w:val="clear" w:color="auto" w:fill="CCCCCC"/>
            <w:vAlign w:val="bottom"/>
          </w:tcPr>
          <w:p w14:paraId="11FD12C6" w14:textId="77777777" w:rsidR="00963C42" w:rsidRPr="00963C42" w:rsidRDefault="00963C42" w:rsidP="00963C42">
            <w:pPr>
              <w:spacing w:before="0" w:after="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46 308</w:t>
            </w:r>
          </w:p>
        </w:tc>
        <w:tc>
          <w:tcPr>
            <w:tcW w:w="1417" w:type="dxa"/>
            <w:shd w:val="clear" w:color="auto" w:fill="CCCCCC"/>
            <w:vAlign w:val="bottom"/>
          </w:tcPr>
          <w:p w14:paraId="34C5E31D" w14:textId="77777777" w:rsidR="00963C42" w:rsidRPr="00963C42" w:rsidRDefault="00963C42" w:rsidP="00963C42">
            <w:pPr>
              <w:spacing w:before="0" w:after="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93,4</w:t>
            </w:r>
          </w:p>
        </w:tc>
      </w:tr>
      <w:tr w:rsidR="00963C42" w:rsidRPr="00963C42" w14:paraId="7C0EAD65" w14:textId="77777777" w:rsidTr="001C45F7">
        <w:trPr>
          <w:trHeight w:val="70"/>
        </w:trPr>
        <w:tc>
          <w:tcPr>
            <w:tcW w:w="640" w:type="dxa"/>
            <w:shd w:val="clear" w:color="auto" w:fill="CCCCCC"/>
            <w:vAlign w:val="bottom"/>
          </w:tcPr>
          <w:p w14:paraId="6007D8B6" w14:textId="77777777" w:rsidR="00963C42" w:rsidRPr="00963C42" w:rsidRDefault="00963C42" w:rsidP="00963C42">
            <w:pPr>
              <w:keepNext/>
              <w:spacing w:before="20" w:after="20" w:line="240" w:lineRule="auto"/>
              <w:ind w:right="-108"/>
              <w:outlineLvl w:val="5"/>
              <w:rPr>
                <w:rFonts w:ascii="Times New Roman" w:eastAsia="Times New Roman" w:hAnsi="Times New Roman" w:cs="Times New Roman"/>
                <w:b/>
                <w:sz w:val="22"/>
                <w:szCs w:val="22"/>
              </w:rPr>
            </w:pPr>
            <w:r w:rsidRPr="00963C42">
              <w:rPr>
                <w:rFonts w:ascii="Times New Roman" w:eastAsia="Times New Roman" w:hAnsi="Times New Roman" w:cs="Times New Roman"/>
                <w:b/>
                <w:sz w:val="22"/>
                <w:szCs w:val="22"/>
                <w:lang w:val="en-US"/>
              </w:rPr>
              <w:t>III</w:t>
            </w:r>
          </w:p>
        </w:tc>
        <w:tc>
          <w:tcPr>
            <w:tcW w:w="5046" w:type="dxa"/>
            <w:shd w:val="clear" w:color="auto" w:fill="CCCCCC"/>
            <w:vAlign w:val="bottom"/>
          </w:tcPr>
          <w:p w14:paraId="2811B99A" w14:textId="77777777" w:rsidR="00963C42" w:rsidRPr="00963C42" w:rsidRDefault="00963C42" w:rsidP="00963C42">
            <w:pPr>
              <w:keepNext/>
              <w:tabs>
                <w:tab w:val="left" w:pos="34"/>
              </w:tabs>
              <w:spacing w:before="20" w:after="20" w:line="240" w:lineRule="auto"/>
              <w:ind w:right="-108"/>
              <w:outlineLvl w:val="5"/>
              <w:rPr>
                <w:rFonts w:ascii="Verdana" w:eastAsia="Times New Roman" w:hAnsi="Verdana" w:cs="Verdana"/>
                <w:b/>
                <w:i/>
                <w:iCs/>
                <w:sz w:val="22"/>
                <w:szCs w:val="22"/>
              </w:rPr>
            </w:pPr>
            <w:r w:rsidRPr="00963C42">
              <w:rPr>
                <w:rFonts w:ascii="Times New Roman" w:eastAsia="Times New Roman" w:hAnsi="Times New Roman" w:cs="Times New Roman"/>
                <w:b/>
                <w:sz w:val="22"/>
                <w:szCs w:val="22"/>
              </w:rPr>
              <w:t>ПРИБЫЛЬ (УБЫТОК)</w:t>
            </w:r>
          </w:p>
        </w:tc>
        <w:tc>
          <w:tcPr>
            <w:tcW w:w="1417" w:type="dxa"/>
            <w:shd w:val="clear" w:color="auto" w:fill="CCCCCC"/>
            <w:vAlign w:val="bottom"/>
          </w:tcPr>
          <w:p w14:paraId="4B0A099C" w14:textId="77777777" w:rsidR="00963C42" w:rsidRPr="00963C42" w:rsidRDefault="00963C42" w:rsidP="00963C42">
            <w:pPr>
              <w:spacing w:before="0" w:after="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24 629</w:t>
            </w:r>
          </w:p>
        </w:tc>
        <w:tc>
          <w:tcPr>
            <w:tcW w:w="1417" w:type="dxa"/>
            <w:shd w:val="clear" w:color="auto" w:fill="CCCCCC"/>
            <w:vAlign w:val="bottom"/>
          </w:tcPr>
          <w:p w14:paraId="5B1F7625" w14:textId="77777777" w:rsidR="00963C42" w:rsidRPr="00963C42" w:rsidRDefault="00963C42" w:rsidP="00963C42">
            <w:pPr>
              <w:spacing w:before="0" w:after="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23 899</w:t>
            </w:r>
          </w:p>
        </w:tc>
        <w:tc>
          <w:tcPr>
            <w:tcW w:w="1417" w:type="dxa"/>
            <w:shd w:val="clear" w:color="auto" w:fill="CCCCCC"/>
            <w:vAlign w:val="bottom"/>
          </w:tcPr>
          <w:p w14:paraId="6104466D" w14:textId="77777777" w:rsidR="00963C42" w:rsidRPr="00963C42" w:rsidRDefault="00963C42" w:rsidP="00963C42">
            <w:pPr>
              <w:spacing w:before="0" w:after="0" w:line="240" w:lineRule="auto"/>
              <w:ind w:right="123"/>
              <w:jc w:val="right"/>
              <w:rPr>
                <w:rFonts w:ascii="Times New Roman" w:eastAsia="Times New Roman" w:hAnsi="Times New Roman" w:cs="Times New Roman"/>
                <w:b/>
                <w:bCs/>
                <w:sz w:val="22"/>
                <w:szCs w:val="22"/>
              </w:rPr>
            </w:pPr>
            <w:r w:rsidRPr="00963C42">
              <w:rPr>
                <w:rFonts w:ascii="Times New Roman" w:eastAsia="Times New Roman" w:hAnsi="Times New Roman" w:cs="Times New Roman"/>
                <w:b/>
                <w:bCs/>
                <w:sz w:val="22"/>
                <w:szCs w:val="22"/>
              </w:rPr>
              <w:t>97,0</w:t>
            </w:r>
          </w:p>
        </w:tc>
      </w:tr>
    </w:tbl>
    <w:p w14:paraId="5A1EE7D0" w14:textId="77777777" w:rsidR="00963C42" w:rsidRPr="00963C42" w:rsidRDefault="00963C42" w:rsidP="00963C42">
      <w:pPr>
        <w:spacing w:before="0" w:after="0" w:line="240" w:lineRule="auto"/>
        <w:jc w:val="center"/>
        <w:rPr>
          <w:rFonts w:ascii="Times New Roman" w:eastAsia="Times New Roman" w:hAnsi="Times New Roman" w:cs="Times New Roman"/>
          <w:sz w:val="22"/>
          <w:szCs w:val="22"/>
        </w:rPr>
      </w:pPr>
    </w:p>
    <w:p w14:paraId="6EAFF498" w14:textId="77777777" w:rsidR="00963C42" w:rsidRPr="00963C42" w:rsidRDefault="00963C42" w:rsidP="00963C42">
      <w:pPr>
        <w:spacing w:before="0" w:after="0" w:line="240" w:lineRule="auto"/>
        <w:jc w:val="center"/>
        <w:rPr>
          <w:rFonts w:ascii="Times New Roman" w:eastAsia="Times New Roman" w:hAnsi="Times New Roman" w:cs="Times New Roman"/>
          <w:sz w:val="22"/>
          <w:szCs w:val="22"/>
        </w:rPr>
      </w:pPr>
    </w:p>
    <w:p w14:paraId="6F4769D8" w14:textId="77777777" w:rsidR="00963C42" w:rsidRPr="00963C42" w:rsidRDefault="00963C42" w:rsidP="00963C42">
      <w:pPr>
        <w:spacing w:before="0" w:after="0" w:line="240" w:lineRule="auto"/>
        <w:jc w:val="center"/>
        <w:rPr>
          <w:rFonts w:ascii="Times New Roman" w:eastAsia="Times New Roman" w:hAnsi="Times New Roman" w:cs="Times New Roman"/>
          <w:color w:val="FF0000"/>
          <w:sz w:val="22"/>
          <w:szCs w:val="22"/>
        </w:rPr>
      </w:pPr>
    </w:p>
    <w:p w14:paraId="21B482C6" w14:textId="77777777" w:rsidR="00963C42" w:rsidRPr="00963C42" w:rsidRDefault="00963C42" w:rsidP="00963C42">
      <w:pPr>
        <w:spacing w:before="0" w:after="0" w:line="240" w:lineRule="auto"/>
        <w:rPr>
          <w:rFonts w:ascii="Times New Roman" w:eastAsia="Times New Roman" w:hAnsi="Times New Roman" w:cs="Times New Roman"/>
          <w:sz w:val="24"/>
          <w:szCs w:val="24"/>
        </w:rPr>
      </w:pPr>
      <w:r w:rsidRPr="00963C42">
        <w:rPr>
          <w:rFonts w:ascii="Times New Roman" w:eastAsia="Times New Roman" w:hAnsi="Times New Roman" w:cs="Times New Roman"/>
          <w:sz w:val="24"/>
          <w:szCs w:val="24"/>
        </w:rPr>
        <w:t>Председатель                                                                                                              В.С. Тидва</w:t>
      </w:r>
    </w:p>
    <w:p w14:paraId="2509B0C9" w14:textId="77777777" w:rsidR="00963C42" w:rsidRPr="00963C42" w:rsidRDefault="00963C42" w:rsidP="00963C42">
      <w:pPr>
        <w:spacing w:before="0" w:after="0" w:line="240" w:lineRule="auto"/>
        <w:rPr>
          <w:rFonts w:ascii="Times New Roman" w:eastAsia="Times New Roman" w:hAnsi="Times New Roman" w:cs="Times New Roman"/>
          <w:sz w:val="24"/>
          <w:szCs w:val="24"/>
        </w:rPr>
      </w:pPr>
    </w:p>
    <w:p w14:paraId="7FCFD41A" w14:textId="77777777" w:rsidR="00963C42" w:rsidRPr="00963C42" w:rsidRDefault="00963C42" w:rsidP="00963C42">
      <w:pPr>
        <w:spacing w:before="0" w:after="0" w:line="240" w:lineRule="auto"/>
        <w:rPr>
          <w:rFonts w:ascii="Times New Roman" w:eastAsia="Times New Roman" w:hAnsi="Times New Roman" w:cs="Times New Roman"/>
          <w:sz w:val="24"/>
          <w:szCs w:val="24"/>
        </w:rPr>
      </w:pPr>
    </w:p>
    <w:p w14:paraId="6308D56A" w14:textId="77777777" w:rsidR="000A7F1D" w:rsidRPr="00963C42" w:rsidRDefault="00963C42" w:rsidP="00963C42">
      <w:pPr>
        <w:spacing w:before="0" w:after="0" w:line="240" w:lineRule="auto"/>
        <w:rPr>
          <w:rFonts w:ascii="Times New Roman" w:hAnsi="Times New Roman" w:cs="Times New Roman"/>
          <w:sz w:val="24"/>
          <w:szCs w:val="24"/>
        </w:rPr>
      </w:pPr>
      <w:r w:rsidRPr="00963C42">
        <w:rPr>
          <w:rFonts w:ascii="Times New Roman" w:eastAsia="Times New Roman" w:hAnsi="Times New Roman" w:cs="Times New Roman"/>
          <w:sz w:val="24"/>
          <w:szCs w:val="24"/>
        </w:rPr>
        <w:t>Главный бухгалтер                                                                                                     О.И. Плешко</w:t>
      </w:r>
    </w:p>
    <w:sectPr w:rsidR="000A7F1D" w:rsidRPr="00963C42" w:rsidSect="005416B5">
      <w:headerReference w:type="default" r:id="rId11"/>
      <w:footerReference w:type="default" r:id="rId12"/>
      <w:footnotePr>
        <w:numRestart w:val="eachSect"/>
      </w:footnotePr>
      <w:pgSz w:w="11906" w:h="16838" w:code="9"/>
      <w:pgMar w:top="1392" w:right="851" w:bottom="993" w:left="1418" w:header="992" w:footer="6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A108F" w14:textId="77777777" w:rsidR="00137AEF" w:rsidRDefault="00137AEF">
      <w:r>
        <w:separator/>
      </w:r>
    </w:p>
  </w:endnote>
  <w:endnote w:type="continuationSeparator" w:id="0">
    <w:p w14:paraId="47CE6EE5" w14:textId="77777777" w:rsidR="00137AEF" w:rsidRDefault="0013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eeSetC">
    <w:altName w:val="FreeSet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16CA" w14:textId="78108648" w:rsidR="003A0DFD" w:rsidRPr="008E7F6E" w:rsidRDefault="003A0DFD" w:rsidP="00BF235E">
    <w:pPr>
      <w:pStyle w:val="a7"/>
      <w:framePr w:w="374" w:wrap="auto" w:vAnchor="text" w:hAnchor="page" w:x="5974" w:y="15"/>
      <w:jc w:val="center"/>
      <w:rPr>
        <w:rStyle w:val="a9"/>
        <w:sz w:val="22"/>
        <w:szCs w:val="22"/>
      </w:rPr>
    </w:pPr>
    <w:r w:rsidRPr="008E7F6E">
      <w:rPr>
        <w:rStyle w:val="a9"/>
        <w:sz w:val="22"/>
        <w:szCs w:val="22"/>
      </w:rPr>
      <w:fldChar w:fldCharType="begin"/>
    </w:r>
    <w:r w:rsidRPr="008E7F6E">
      <w:rPr>
        <w:rStyle w:val="a9"/>
        <w:sz w:val="22"/>
        <w:szCs w:val="22"/>
      </w:rPr>
      <w:instrText xml:space="preserve">PAGE  </w:instrText>
    </w:r>
    <w:r w:rsidRPr="008E7F6E">
      <w:rPr>
        <w:rStyle w:val="a9"/>
        <w:sz w:val="22"/>
        <w:szCs w:val="22"/>
      </w:rPr>
      <w:fldChar w:fldCharType="separate"/>
    </w:r>
    <w:r w:rsidR="00C55B35">
      <w:rPr>
        <w:rStyle w:val="a9"/>
        <w:noProof/>
        <w:sz w:val="22"/>
        <w:szCs w:val="22"/>
      </w:rPr>
      <w:t>3</w:t>
    </w:r>
    <w:r w:rsidRPr="008E7F6E">
      <w:rPr>
        <w:rStyle w:val="a9"/>
        <w:sz w:val="22"/>
        <w:szCs w:val="22"/>
      </w:rPr>
      <w:fldChar w:fldCharType="end"/>
    </w:r>
  </w:p>
  <w:p w14:paraId="030A095F" w14:textId="77777777" w:rsidR="003A0DFD" w:rsidRPr="003326A1" w:rsidRDefault="003A0DFD" w:rsidP="003326A1">
    <w:pPr>
      <w:pStyle w:val="a7"/>
      <w:ind w:left="-142"/>
      <w:jc w:val="center"/>
    </w:pPr>
    <w: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4561" w:type="pct"/>
      <w:tblLayout w:type="fixed"/>
      <w:tblLook w:val="04A0" w:firstRow="1" w:lastRow="0" w:firstColumn="1" w:lastColumn="0" w:noHBand="0" w:noVBand="1"/>
    </w:tblPr>
    <w:tblGrid>
      <w:gridCol w:w="8366"/>
      <w:gridCol w:w="425"/>
    </w:tblGrid>
    <w:sdt>
      <w:sdtPr>
        <w:rPr>
          <w:rFonts w:asciiTheme="majorHAnsi" w:eastAsiaTheme="majorEastAsia" w:hAnsiTheme="majorHAnsi" w:cstheme="majorBidi"/>
        </w:rPr>
        <w:id w:val="-577525297"/>
        <w:docPartObj>
          <w:docPartGallery w:val="Page Numbers (Bottom of Page)"/>
          <w:docPartUnique/>
        </w:docPartObj>
      </w:sdtPr>
      <w:sdtEndPr>
        <w:rPr>
          <w:rFonts w:asciiTheme="minorHAnsi" w:eastAsiaTheme="minorEastAsia" w:hAnsiTheme="minorHAnsi" w:cstheme="minorBidi"/>
        </w:rPr>
      </w:sdtEndPr>
      <w:sdtContent>
        <w:tr w:rsidR="003A0DFD" w14:paraId="32C14C10" w14:textId="77777777" w:rsidTr="0081436F">
          <w:trPr>
            <w:trHeight w:val="727"/>
          </w:trPr>
          <w:tc>
            <w:tcPr>
              <w:tcW w:w="4758" w:type="pct"/>
              <w:tcBorders>
                <w:right w:val="triple" w:sz="4" w:space="0" w:color="4F81BD" w:themeColor="accent1"/>
              </w:tcBorders>
            </w:tcPr>
            <w:p w14:paraId="6FEBA0E5" w14:textId="77777777" w:rsidR="003A0DFD" w:rsidRDefault="003A0DFD">
              <w:pPr>
                <w:tabs>
                  <w:tab w:val="left" w:pos="620"/>
                  <w:tab w:val="center" w:pos="4320"/>
                </w:tabs>
                <w:jc w:val="right"/>
                <w:rPr>
                  <w:rFonts w:asciiTheme="majorHAnsi" w:eastAsiaTheme="majorEastAsia" w:hAnsiTheme="majorHAnsi" w:cstheme="majorBidi"/>
                </w:rPr>
              </w:pPr>
            </w:p>
          </w:tc>
          <w:tc>
            <w:tcPr>
              <w:tcW w:w="242" w:type="pct"/>
              <w:tcBorders>
                <w:left w:val="triple" w:sz="4" w:space="0" w:color="4F81BD" w:themeColor="accent1"/>
              </w:tcBorders>
            </w:tcPr>
            <w:p w14:paraId="3D8858BE" w14:textId="5CFECE3F" w:rsidR="003A0DFD" w:rsidRDefault="003A0DF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55B35">
                <w:rPr>
                  <w:noProof/>
                </w:rPr>
                <w:t>19</w:t>
              </w:r>
              <w:r>
                <w:fldChar w:fldCharType="end"/>
              </w:r>
            </w:p>
          </w:tc>
        </w:tr>
      </w:sdtContent>
    </w:sdt>
  </w:tbl>
  <w:p w14:paraId="3C8FCFE3" w14:textId="77777777" w:rsidR="003A0DFD" w:rsidRPr="00BD340B" w:rsidRDefault="003A0DFD" w:rsidP="009F21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78725" w14:textId="77777777" w:rsidR="00137AEF" w:rsidRDefault="00137AEF">
      <w:r>
        <w:separator/>
      </w:r>
    </w:p>
  </w:footnote>
  <w:footnote w:type="continuationSeparator" w:id="0">
    <w:p w14:paraId="6374FE4E" w14:textId="77777777" w:rsidR="00137AEF" w:rsidRDefault="00137AEF">
      <w:r>
        <w:continuationSeparator/>
      </w:r>
    </w:p>
  </w:footnote>
  <w:footnote w:id="1">
    <w:p w14:paraId="416ECE07" w14:textId="77777777" w:rsidR="003A0DFD" w:rsidRPr="000C007E" w:rsidRDefault="003A0DFD" w:rsidP="0081436F">
      <w:pPr>
        <w:pStyle w:val="ac"/>
        <w:rPr>
          <w:rFonts w:ascii="Times New Roman" w:hAnsi="Times New Roman" w:cs="Times New Roman"/>
          <w:sz w:val="22"/>
          <w:szCs w:val="22"/>
        </w:rPr>
      </w:pPr>
      <w:r w:rsidRPr="000C007E">
        <w:rPr>
          <w:rStyle w:val="ae"/>
          <w:rFonts w:ascii="Times New Roman" w:hAnsi="Times New Roman"/>
          <w:sz w:val="22"/>
          <w:szCs w:val="22"/>
        </w:rPr>
        <w:footnoteRef/>
      </w:r>
      <w:r w:rsidRPr="000C007E">
        <w:rPr>
          <w:rFonts w:ascii="Times New Roman" w:hAnsi="Times New Roman" w:cs="Times New Roman"/>
          <w:sz w:val="22"/>
          <w:szCs w:val="22"/>
        </w:rPr>
        <w:t xml:space="preserve"> https://www.markiteconomics.com</w:t>
      </w:r>
    </w:p>
  </w:footnote>
  <w:footnote w:id="2">
    <w:p w14:paraId="52E2BE1B" w14:textId="77777777" w:rsidR="003A0DFD" w:rsidRPr="000C007E" w:rsidRDefault="003A0DFD" w:rsidP="001749BC">
      <w:pPr>
        <w:pStyle w:val="ac"/>
        <w:spacing w:after="0" w:line="240" w:lineRule="auto"/>
        <w:jc w:val="both"/>
        <w:rPr>
          <w:rFonts w:ascii="Times New Roman" w:hAnsi="Times New Roman" w:cs="Times New Roman"/>
          <w:sz w:val="22"/>
          <w:szCs w:val="22"/>
        </w:rPr>
      </w:pPr>
      <w:r w:rsidRPr="000C007E">
        <w:rPr>
          <w:rStyle w:val="ae"/>
          <w:rFonts w:ascii="Times New Roman" w:hAnsi="Times New Roman"/>
          <w:sz w:val="22"/>
          <w:szCs w:val="22"/>
        </w:rPr>
        <w:footnoteRef/>
      </w:r>
      <w:r w:rsidRPr="000C007E">
        <w:rPr>
          <w:rFonts w:ascii="Times New Roman" w:hAnsi="Times New Roman" w:cs="Times New Roman"/>
          <w:sz w:val="22"/>
          <w:szCs w:val="22"/>
        </w:rPr>
        <w:t xml:space="preserve"> валовые поступления переводов через системы денежных переводов, выданные физическим лицам, по данным Национального банка Молдовы</w:t>
      </w:r>
    </w:p>
  </w:footnote>
  <w:footnote w:id="3">
    <w:p w14:paraId="28C84ECE" w14:textId="77777777" w:rsidR="003A0DFD" w:rsidRPr="0099047D" w:rsidRDefault="003A0DFD" w:rsidP="00AD0F31">
      <w:pPr>
        <w:pStyle w:val="ac"/>
        <w:spacing w:before="0" w:after="0" w:line="240" w:lineRule="auto"/>
        <w:rPr>
          <w:rFonts w:ascii="Times New Roman" w:hAnsi="Times New Roman" w:cs="Times New Roman"/>
          <w:color w:val="FF0000"/>
          <w:sz w:val="22"/>
          <w:szCs w:val="22"/>
        </w:rPr>
      </w:pPr>
      <w:r w:rsidRPr="0099047D">
        <w:rPr>
          <w:rStyle w:val="ae"/>
          <w:rFonts w:ascii="Times New Roman" w:hAnsi="Times New Roman"/>
          <w:sz w:val="22"/>
          <w:szCs w:val="22"/>
        </w:rPr>
        <w:footnoteRef/>
      </w:r>
      <w:r w:rsidRPr="0099047D">
        <w:rPr>
          <w:rFonts w:ascii="Times New Roman" w:hAnsi="Times New Roman" w:cs="Times New Roman"/>
          <w:sz w:val="22"/>
          <w:szCs w:val="22"/>
        </w:rPr>
        <w:t xml:space="preserve"> </w:t>
      </w:r>
      <w:r w:rsidRPr="0099047D">
        <w:rPr>
          <w:rFonts w:ascii="Times New Roman" w:hAnsi="Times New Roman" w:cs="Times New Roman"/>
          <w:snapToGrid w:val="0"/>
          <w:sz w:val="22"/>
          <w:szCs w:val="22"/>
        </w:rPr>
        <w:t>в сопоставимых ценах к предыдущему году, далее к таблице 1.2</w:t>
      </w:r>
    </w:p>
  </w:footnote>
  <w:footnote w:id="4">
    <w:p w14:paraId="2E60534E" w14:textId="77777777" w:rsidR="003A0DFD" w:rsidRPr="0099047D" w:rsidRDefault="003A0DFD" w:rsidP="00683E52">
      <w:pPr>
        <w:pStyle w:val="ac"/>
        <w:spacing w:before="0" w:after="0" w:line="240" w:lineRule="auto"/>
        <w:jc w:val="both"/>
        <w:rPr>
          <w:rFonts w:ascii="Times New Roman" w:hAnsi="Times New Roman" w:cs="Times New Roman"/>
          <w:sz w:val="22"/>
          <w:szCs w:val="22"/>
        </w:rPr>
      </w:pPr>
      <w:r w:rsidRPr="0099047D">
        <w:rPr>
          <w:rStyle w:val="ae"/>
          <w:rFonts w:ascii="Times New Roman" w:hAnsi="Times New Roman"/>
          <w:sz w:val="22"/>
          <w:szCs w:val="22"/>
        </w:rPr>
        <w:footnoteRef/>
      </w:r>
      <w:r w:rsidRPr="0099047D">
        <w:rPr>
          <w:rFonts w:ascii="Times New Roman" w:hAnsi="Times New Roman" w:cs="Times New Roman"/>
          <w:sz w:val="22"/>
          <w:szCs w:val="22"/>
        </w:rPr>
        <w:t xml:space="preserve"> согласно уточнённым данным, размещённым на официальном сайте Государственной службы статистики ПМР 10.03.2020</w:t>
      </w:r>
    </w:p>
  </w:footnote>
  <w:footnote w:id="5">
    <w:p w14:paraId="4068AE2E" w14:textId="77777777" w:rsidR="003A0DFD" w:rsidRPr="00683E52" w:rsidRDefault="003A0DFD" w:rsidP="00FC4AA1">
      <w:pPr>
        <w:pStyle w:val="ac"/>
        <w:spacing w:before="0" w:after="0" w:line="240" w:lineRule="auto"/>
        <w:jc w:val="both"/>
        <w:rPr>
          <w:rFonts w:ascii="Times New Roman" w:hAnsi="Times New Roman" w:cs="Times New Roman"/>
          <w:sz w:val="22"/>
        </w:rPr>
      </w:pPr>
      <w:r w:rsidRPr="00683E52">
        <w:rPr>
          <w:rStyle w:val="ae"/>
          <w:rFonts w:ascii="Times New Roman" w:hAnsi="Times New Roman"/>
          <w:sz w:val="22"/>
        </w:rPr>
        <w:footnoteRef/>
      </w:r>
      <w:r w:rsidRPr="00683E52">
        <w:rPr>
          <w:rFonts w:ascii="Times New Roman" w:hAnsi="Times New Roman" w:cs="Times New Roman"/>
          <w:sz w:val="22"/>
        </w:rPr>
        <w:t xml:space="preserve"> базовый индекс потребительских цен (базовая инфляция) отражает долгосрочную динамику изменения цен, не подверженную влиянию факторов административного и сезонного характера</w:t>
      </w:r>
    </w:p>
  </w:footnote>
  <w:footnote w:id="6">
    <w:p w14:paraId="0AEEE232" w14:textId="77777777" w:rsidR="003A0DFD" w:rsidRPr="00683E52" w:rsidRDefault="003A0DFD" w:rsidP="005210BC">
      <w:pPr>
        <w:pStyle w:val="ac"/>
        <w:spacing w:before="0" w:after="0" w:line="240" w:lineRule="auto"/>
        <w:jc w:val="both"/>
        <w:rPr>
          <w:rFonts w:ascii="Times New Roman" w:hAnsi="Times New Roman" w:cs="Times New Roman"/>
          <w:sz w:val="22"/>
        </w:rPr>
      </w:pPr>
      <w:r w:rsidRPr="00683E52">
        <w:rPr>
          <w:rStyle w:val="ae"/>
          <w:rFonts w:ascii="Times New Roman" w:hAnsi="Times New Roman"/>
          <w:sz w:val="22"/>
        </w:rPr>
        <w:footnoteRef/>
      </w:r>
      <w:r w:rsidRPr="00683E52">
        <w:rPr>
          <w:rFonts w:ascii="Times New Roman" w:hAnsi="Times New Roman" w:cs="Times New Roman"/>
          <w:sz w:val="22"/>
        </w:rPr>
        <w:t xml:space="preserve"> небазовая инфляция рассчитывается по товарам и услугам, цены на которые формируются под влиянием административного регулирования и подвержены сезонным колебаниям</w:t>
      </w:r>
    </w:p>
  </w:footnote>
  <w:footnote w:id="7">
    <w:p w14:paraId="09685695" w14:textId="77777777" w:rsidR="003A0DFD" w:rsidRPr="000C007E" w:rsidRDefault="003A0DFD" w:rsidP="000C007E">
      <w:pPr>
        <w:pStyle w:val="ac"/>
        <w:spacing w:before="0" w:after="0" w:line="240" w:lineRule="auto"/>
        <w:jc w:val="both"/>
        <w:rPr>
          <w:rFonts w:ascii="Times New Roman" w:hAnsi="Times New Roman" w:cs="Times New Roman"/>
          <w:sz w:val="22"/>
          <w:szCs w:val="22"/>
        </w:rPr>
      </w:pPr>
      <w:r w:rsidRPr="000C007E">
        <w:rPr>
          <w:rStyle w:val="ae"/>
          <w:rFonts w:ascii="Times New Roman" w:hAnsi="Times New Roman"/>
          <w:sz w:val="22"/>
          <w:szCs w:val="22"/>
        </w:rPr>
        <w:footnoteRef/>
      </w:r>
      <w:r w:rsidRPr="000C007E">
        <w:rPr>
          <w:rFonts w:ascii="Times New Roman" w:hAnsi="Times New Roman" w:cs="Times New Roman"/>
          <w:sz w:val="22"/>
          <w:szCs w:val="22"/>
        </w:rPr>
        <w:t xml:space="preserve"> средняя интенсивность прироста рассчитывается как среднее геометрическое месячных приростов цен всех компонентов потребительской корзины, взятых с равными весами</w:t>
      </w:r>
    </w:p>
  </w:footnote>
  <w:footnote w:id="8">
    <w:p w14:paraId="283EEE20" w14:textId="77777777" w:rsidR="003A0DFD" w:rsidRPr="000C007E" w:rsidRDefault="003A0DFD" w:rsidP="005F4E3E">
      <w:pPr>
        <w:pStyle w:val="ac"/>
        <w:rPr>
          <w:rFonts w:ascii="Times New Roman" w:hAnsi="Times New Roman" w:cs="Times New Roman"/>
          <w:sz w:val="22"/>
          <w:szCs w:val="22"/>
        </w:rPr>
      </w:pPr>
      <w:r w:rsidRPr="000C007E">
        <w:rPr>
          <w:rStyle w:val="ae"/>
          <w:rFonts w:ascii="Times New Roman" w:hAnsi="Times New Roman"/>
          <w:sz w:val="22"/>
          <w:szCs w:val="22"/>
        </w:rPr>
        <w:footnoteRef/>
      </w:r>
      <w:r w:rsidRPr="000C007E">
        <w:rPr>
          <w:rFonts w:ascii="Times New Roman" w:hAnsi="Times New Roman" w:cs="Times New Roman"/>
          <w:sz w:val="22"/>
          <w:szCs w:val="22"/>
        </w:rPr>
        <w:t xml:space="preserve"> согласно данным Единого Государственного фонда социального страхования ПМР </w:t>
      </w:r>
    </w:p>
  </w:footnote>
  <w:footnote w:id="9">
    <w:p w14:paraId="114219F8" w14:textId="77777777" w:rsidR="003A0DFD" w:rsidRPr="00D7297C" w:rsidRDefault="003A0DFD" w:rsidP="005F4E3E">
      <w:pPr>
        <w:pStyle w:val="ac"/>
        <w:spacing w:before="0" w:after="0" w:line="240" w:lineRule="auto"/>
        <w:jc w:val="both"/>
        <w:rPr>
          <w:rFonts w:ascii="Times New Roman" w:hAnsi="Times New Roman" w:cs="Times New Roman"/>
          <w:sz w:val="22"/>
          <w:szCs w:val="22"/>
        </w:rPr>
      </w:pPr>
      <w:r w:rsidRPr="00D7297C">
        <w:rPr>
          <w:rStyle w:val="ae"/>
          <w:rFonts w:ascii="Times New Roman" w:hAnsi="Times New Roman"/>
          <w:sz w:val="22"/>
          <w:szCs w:val="22"/>
        </w:rPr>
        <w:footnoteRef/>
      </w:r>
      <w:r w:rsidRPr="00D7297C">
        <w:rPr>
          <w:rFonts w:ascii="Times New Roman" w:hAnsi="Times New Roman" w:cs="Times New Roman"/>
          <w:sz w:val="22"/>
          <w:szCs w:val="22"/>
        </w:rPr>
        <w:t xml:space="preserve"> отношение разницы остатков на депозитных счетах на конец и на начало периода к объёму поступления во вклады за отчётный период</w:t>
      </w:r>
    </w:p>
  </w:footnote>
  <w:footnote w:id="10">
    <w:p w14:paraId="2FEAF87D" w14:textId="77777777" w:rsidR="003A0DFD" w:rsidRPr="00D238CC" w:rsidRDefault="003A0DFD" w:rsidP="005F4E3E">
      <w:pPr>
        <w:pStyle w:val="ac"/>
        <w:spacing w:before="0" w:after="0" w:line="240" w:lineRule="auto"/>
        <w:jc w:val="both"/>
        <w:rPr>
          <w:iCs/>
          <w:color w:val="000000"/>
        </w:rPr>
      </w:pPr>
      <w:r w:rsidRPr="00D7297C">
        <w:rPr>
          <w:rStyle w:val="ae"/>
          <w:rFonts w:ascii="Times New Roman" w:hAnsi="Times New Roman"/>
          <w:sz w:val="22"/>
          <w:szCs w:val="22"/>
        </w:rPr>
        <w:footnoteRef/>
      </w:r>
      <w:r w:rsidRPr="00D7297C">
        <w:rPr>
          <w:rStyle w:val="ae"/>
          <w:rFonts w:ascii="Times New Roman" w:hAnsi="Times New Roman"/>
          <w:sz w:val="22"/>
          <w:szCs w:val="22"/>
        </w:rPr>
        <w:t xml:space="preserve"> </w:t>
      </w:r>
      <w:r w:rsidRPr="00D238CC">
        <w:rPr>
          <w:rFonts w:ascii="Times New Roman" w:hAnsi="Times New Roman" w:cs="Times New Roman"/>
          <w:iCs/>
          <w:color w:val="000000"/>
          <w:sz w:val="22"/>
          <w:szCs w:val="22"/>
        </w:rPr>
        <w:t>дефлятор равен 1,0503 (изменение среднего уровня потребительских цен в январе-сентябре 2019 года к сопоставимому показателю предыдущего года)</w:t>
      </w:r>
    </w:p>
  </w:footnote>
  <w:footnote w:id="11">
    <w:p w14:paraId="644BB27E" w14:textId="77777777" w:rsidR="003A0DFD" w:rsidRPr="00D7297C" w:rsidRDefault="003A0DFD" w:rsidP="005F4E3E">
      <w:pPr>
        <w:pStyle w:val="ac"/>
        <w:spacing w:before="0" w:after="0" w:line="240" w:lineRule="auto"/>
        <w:rPr>
          <w:rFonts w:ascii="Times New Roman" w:hAnsi="Times New Roman" w:cs="Times New Roman"/>
          <w:sz w:val="22"/>
          <w:szCs w:val="22"/>
        </w:rPr>
      </w:pPr>
      <w:r w:rsidRPr="00D7297C">
        <w:rPr>
          <w:rStyle w:val="ae"/>
          <w:rFonts w:ascii="Times New Roman" w:hAnsi="Times New Roman"/>
          <w:sz w:val="22"/>
          <w:szCs w:val="22"/>
        </w:rPr>
        <w:footnoteRef/>
      </w:r>
      <w:r w:rsidRPr="00D7297C">
        <w:rPr>
          <w:rFonts w:ascii="Times New Roman" w:hAnsi="Times New Roman" w:cs="Times New Roman"/>
          <w:iCs/>
          <w:color w:val="000000"/>
          <w:sz w:val="22"/>
          <w:szCs w:val="22"/>
        </w:rPr>
        <w:t xml:space="preserve"> объём денежных доходов за вычетом обязательных платежей и разнообразных взносов</w:t>
      </w:r>
    </w:p>
  </w:footnote>
  <w:footnote w:id="12">
    <w:p w14:paraId="40F23E3F" w14:textId="2167B561" w:rsidR="003A0DFD" w:rsidRPr="00DF7D73" w:rsidRDefault="003A0DFD" w:rsidP="00DF7D73">
      <w:pPr>
        <w:pStyle w:val="ac"/>
        <w:spacing w:before="0" w:after="0" w:line="240" w:lineRule="auto"/>
        <w:rPr>
          <w:rFonts w:ascii="Times New Roman" w:hAnsi="Times New Roman" w:cs="Times New Roman"/>
        </w:rPr>
      </w:pPr>
      <w:r w:rsidRPr="00DF7D73">
        <w:rPr>
          <w:rStyle w:val="ae"/>
          <w:rFonts w:ascii="Times New Roman" w:hAnsi="Times New Roman"/>
          <w:sz w:val="22"/>
          <w:szCs w:val="22"/>
        </w:rPr>
        <w:footnoteRef/>
      </w:r>
      <w:r w:rsidRPr="00DF7D73">
        <w:rPr>
          <w:rFonts w:ascii="Times New Roman" w:hAnsi="Times New Roman" w:cs="Times New Roman"/>
          <w:sz w:val="22"/>
          <w:szCs w:val="22"/>
        </w:rPr>
        <w:t xml:space="preserve"> </w:t>
      </w:r>
      <w:r>
        <w:rPr>
          <w:rFonts w:ascii="Times New Roman" w:hAnsi="Times New Roman" w:cs="Times New Roman"/>
          <w:sz w:val="22"/>
          <w:szCs w:val="22"/>
        </w:rPr>
        <w:t xml:space="preserve">согласно методике РПБ6. </w:t>
      </w:r>
      <w:r w:rsidRPr="00DF7D73">
        <w:rPr>
          <w:rFonts w:ascii="Times New Roman" w:hAnsi="Times New Roman" w:cs="Times New Roman"/>
          <w:sz w:val="22"/>
          <w:szCs w:val="22"/>
        </w:rPr>
        <w:t>Данные за 2017 и 2018 годы уточнены</w:t>
      </w:r>
    </w:p>
  </w:footnote>
  <w:footnote w:id="13">
    <w:p w14:paraId="0395E51A" w14:textId="77777777" w:rsidR="003A0DFD" w:rsidRPr="00A344C8" w:rsidRDefault="003A0DFD" w:rsidP="006D25FE">
      <w:pPr>
        <w:pStyle w:val="ac"/>
        <w:spacing w:before="0" w:after="0" w:line="240" w:lineRule="auto"/>
        <w:jc w:val="both"/>
        <w:rPr>
          <w:rFonts w:ascii="Times New Roman" w:hAnsi="Times New Roman" w:cs="Times New Roman"/>
          <w:sz w:val="22"/>
          <w:szCs w:val="22"/>
        </w:rPr>
      </w:pPr>
      <w:r w:rsidRPr="00A344C8">
        <w:rPr>
          <w:rStyle w:val="ae"/>
          <w:rFonts w:ascii="Times New Roman" w:hAnsi="Times New Roman"/>
          <w:sz w:val="22"/>
          <w:szCs w:val="22"/>
        </w:rPr>
        <w:footnoteRef/>
      </w:r>
      <w:r w:rsidRPr="00A344C8">
        <w:rPr>
          <w:rFonts w:ascii="Times New Roman" w:hAnsi="Times New Roman" w:cs="Times New Roman"/>
          <w:sz w:val="22"/>
          <w:szCs w:val="22"/>
        </w:rPr>
        <w:t xml:space="preserve"> по данным Министерства финансов П</w:t>
      </w:r>
      <w:r>
        <w:rPr>
          <w:rFonts w:ascii="Times New Roman" w:hAnsi="Times New Roman" w:cs="Times New Roman"/>
          <w:sz w:val="22"/>
          <w:szCs w:val="22"/>
        </w:rPr>
        <w:t xml:space="preserve">риднестровской </w:t>
      </w:r>
      <w:r w:rsidRPr="00A344C8">
        <w:rPr>
          <w:rFonts w:ascii="Times New Roman" w:hAnsi="Times New Roman" w:cs="Times New Roman"/>
          <w:sz w:val="22"/>
          <w:szCs w:val="22"/>
        </w:rPr>
        <w:t>М</w:t>
      </w:r>
      <w:r>
        <w:rPr>
          <w:rFonts w:ascii="Times New Roman" w:hAnsi="Times New Roman" w:cs="Times New Roman"/>
          <w:sz w:val="22"/>
          <w:szCs w:val="22"/>
        </w:rPr>
        <w:t xml:space="preserve">олдавской </w:t>
      </w:r>
      <w:r w:rsidRPr="00A344C8">
        <w:rPr>
          <w:rFonts w:ascii="Times New Roman" w:hAnsi="Times New Roman" w:cs="Times New Roman"/>
          <w:sz w:val="22"/>
          <w:szCs w:val="22"/>
        </w:rPr>
        <w:t>Р</w:t>
      </w:r>
      <w:r>
        <w:rPr>
          <w:rFonts w:ascii="Times New Roman" w:hAnsi="Times New Roman" w:cs="Times New Roman"/>
          <w:sz w:val="22"/>
          <w:szCs w:val="22"/>
        </w:rPr>
        <w:t>еспублики</w:t>
      </w:r>
      <w:r w:rsidRPr="00A344C8">
        <w:rPr>
          <w:rFonts w:ascii="Times New Roman" w:hAnsi="Times New Roman" w:cs="Times New Roman"/>
          <w:sz w:val="22"/>
          <w:szCs w:val="22"/>
        </w:rPr>
        <w:t>, без учёта средств, носящих несистематический характер (остатков целевых бюджетных фондов на начало года, зачисленных в доходы текущего периода, безвозмездных перечислений, средств центрального банка в виде части прибыли и др.)</w:t>
      </w:r>
    </w:p>
  </w:footnote>
  <w:footnote w:id="14">
    <w:p w14:paraId="2882B671" w14:textId="77777777" w:rsidR="003A0DFD" w:rsidRPr="00A344C8" w:rsidRDefault="003A0DFD" w:rsidP="006D25FE">
      <w:pPr>
        <w:pStyle w:val="ac"/>
        <w:spacing w:before="0" w:after="0" w:line="240" w:lineRule="auto"/>
        <w:rPr>
          <w:rFonts w:ascii="Times New Roman" w:hAnsi="Times New Roman" w:cs="Times New Roman"/>
          <w:sz w:val="22"/>
          <w:szCs w:val="22"/>
        </w:rPr>
      </w:pPr>
      <w:r w:rsidRPr="00A344C8">
        <w:rPr>
          <w:rStyle w:val="ae"/>
          <w:rFonts w:ascii="Times New Roman" w:hAnsi="Times New Roman"/>
          <w:sz w:val="22"/>
          <w:szCs w:val="22"/>
        </w:rPr>
        <w:footnoteRef/>
      </w:r>
      <w:r w:rsidRPr="00A344C8">
        <w:rPr>
          <w:rFonts w:ascii="Times New Roman" w:hAnsi="Times New Roman" w:cs="Times New Roman"/>
          <w:sz w:val="22"/>
          <w:szCs w:val="22"/>
        </w:rPr>
        <w:t xml:space="preserve"> согласно бюджетной классификации </w:t>
      </w:r>
    </w:p>
  </w:footnote>
  <w:footnote w:id="15">
    <w:p w14:paraId="399DD608" w14:textId="77777777" w:rsidR="003A0DFD" w:rsidRPr="002C043C" w:rsidRDefault="003A0DFD" w:rsidP="006D25FE">
      <w:pPr>
        <w:pStyle w:val="ac"/>
        <w:spacing w:before="0" w:after="0" w:line="240" w:lineRule="auto"/>
        <w:rPr>
          <w:rFonts w:ascii="Times New Roman" w:hAnsi="Times New Roman" w:cs="Times New Roman"/>
          <w:sz w:val="22"/>
          <w:szCs w:val="22"/>
        </w:rPr>
      </w:pPr>
      <w:r w:rsidRPr="00C11ACE">
        <w:rPr>
          <w:rStyle w:val="ae"/>
          <w:rFonts w:ascii="Times New Roman" w:hAnsi="Times New Roman"/>
          <w:sz w:val="22"/>
          <w:szCs w:val="22"/>
        </w:rPr>
        <w:footnoteRef/>
      </w:r>
      <w:r w:rsidRPr="00C11ACE">
        <w:rPr>
          <w:rFonts w:ascii="Times New Roman" w:hAnsi="Times New Roman" w:cs="Times New Roman"/>
          <w:sz w:val="22"/>
          <w:szCs w:val="22"/>
        </w:rPr>
        <w:t xml:space="preserve"> расходы бюджета на образование, здравоохранение, социальную политику, культуру и искусство</w:t>
      </w:r>
    </w:p>
  </w:footnote>
  <w:footnote w:id="16">
    <w:p w14:paraId="52C22F6B" w14:textId="77777777" w:rsidR="003A0DFD" w:rsidRPr="00E07CE9" w:rsidRDefault="003A0DFD" w:rsidP="00E07CE9">
      <w:pPr>
        <w:pStyle w:val="ac"/>
        <w:spacing w:before="0" w:after="0" w:line="240" w:lineRule="auto"/>
        <w:jc w:val="both"/>
        <w:rPr>
          <w:rFonts w:ascii="Times New Roman" w:hAnsi="Times New Roman" w:cs="Times New Roman"/>
          <w:sz w:val="22"/>
          <w:szCs w:val="22"/>
        </w:rPr>
      </w:pPr>
      <w:r w:rsidRPr="00C11ACE">
        <w:rPr>
          <w:rStyle w:val="ae"/>
          <w:rFonts w:ascii="Times New Roman" w:hAnsi="Times New Roman"/>
          <w:sz w:val="22"/>
          <w:szCs w:val="22"/>
        </w:rPr>
        <w:footnoteRef/>
      </w:r>
      <w:r w:rsidRPr="00C11ACE">
        <w:rPr>
          <w:rFonts w:ascii="Times New Roman" w:hAnsi="Times New Roman" w:cs="Times New Roman"/>
          <w:sz w:val="22"/>
          <w:szCs w:val="22"/>
        </w:rPr>
        <w:t xml:space="preserve"> с 01.01.2020 средства в кассах кредитных организаций включают наличные денежные средства, находящиеся в пути между структурными подразделениями кредитных организаций. Данные предыдущих периодов сопоставимы</w:t>
      </w:r>
    </w:p>
  </w:footnote>
  <w:footnote w:id="17">
    <w:p w14:paraId="7EA1EDEA" w14:textId="77777777" w:rsidR="003A0DFD" w:rsidRPr="00A576F4" w:rsidRDefault="003A0DFD" w:rsidP="00A576F4">
      <w:pPr>
        <w:pStyle w:val="ac"/>
        <w:spacing w:before="0" w:after="0" w:line="240" w:lineRule="auto"/>
        <w:jc w:val="both"/>
        <w:rPr>
          <w:rFonts w:ascii="Times New Roman" w:hAnsi="Times New Roman" w:cs="Times New Roman"/>
          <w:sz w:val="22"/>
        </w:rPr>
      </w:pPr>
      <w:r w:rsidRPr="00A576F4">
        <w:rPr>
          <w:rStyle w:val="ae"/>
          <w:rFonts w:ascii="Times New Roman" w:hAnsi="Times New Roman"/>
          <w:sz w:val="22"/>
        </w:rPr>
        <w:footnoteRef/>
      </w:r>
      <w:r w:rsidRPr="00A576F4">
        <w:rPr>
          <w:rFonts w:ascii="Times New Roman" w:hAnsi="Times New Roman" w:cs="Times New Roman"/>
          <w:sz w:val="22"/>
        </w:rPr>
        <w:t xml:space="preserve"> операции физических и юридических лиц (кроме кредитных организаций) по покупке и продаже безналичной иностранной валюты, включая обязательную продажу части валютной выручки в ПРБ, продажу валюты коммерческими банками за счёт валютных интервенций ПРБ</w:t>
      </w:r>
    </w:p>
  </w:footnote>
  <w:footnote w:id="18">
    <w:p w14:paraId="2531263E" w14:textId="4EFBEA75" w:rsidR="003A0DFD" w:rsidRPr="00050F2F" w:rsidRDefault="003A0DFD" w:rsidP="00050F2F">
      <w:pPr>
        <w:pStyle w:val="ac"/>
        <w:spacing w:before="0" w:after="0" w:line="240" w:lineRule="auto"/>
        <w:jc w:val="both"/>
        <w:rPr>
          <w:rFonts w:ascii="Times New Roman" w:hAnsi="Times New Roman" w:cs="Times New Roman"/>
          <w:sz w:val="22"/>
          <w:szCs w:val="22"/>
        </w:rPr>
      </w:pPr>
      <w:r w:rsidRPr="00050F2F">
        <w:rPr>
          <w:rStyle w:val="ae"/>
          <w:rFonts w:ascii="Times New Roman" w:hAnsi="Times New Roman"/>
          <w:sz w:val="22"/>
          <w:szCs w:val="22"/>
        </w:rPr>
        <w:footnoteRef/>
      </w:r>
      <w:r w:rsidRPr="00050F2F">
        <w:rPr>
          <w:rFonts w:ascii="Times New Roman" w:hAnsi="Times New Roman" w:cs="Times New Roman"/>
          <w:sz w:val="22"/>
          <w:szCs w:val="22"/>
        </w:rPr>
        <w:t xml:space="preserve"> (задолженность по кредитам – просроченная задолженность по кредитам) / задолженность по кредитам</w:t>
      </w:r>
      <w:r>
        <w:rPr>
          <w:rFonts w:ascii="Times New Roman" w:hAnsi="Times New Roman" w:cs="Times New Roman"/>
          <w:sz w:val="22"/>
          <w:szCs w:val="22"/>
        </w:rPr>
        <w:t>, без учёта межбанковских операций</w:t>
      </w:r>
    </w:p>
  </w:footnote>
  <w:footnote w:id="19">
    <w:p w14:paraId="6994D24A" w14:textId="77777777" w:rsidR="003A0DFD" w:rsidRPr="00D872FB" w:rsidRDefault="003A0DFD" w:rsidP="00D872FB">
      <w:pPr>
        <w:pStyle w:val="ac"/>
        <w:spacing w:before="0" w:after="0" w:line="240" w:lineRule="auto"/>
        <w:jc w:val="both"/>
        <w:rPr>
          <w:rFonts w:ascii="Times New Roman" w:hAnsi="Times New Roman" w:cs="Times New Roman"/>
          <w:sz w:val="22"/>
          <w:szCs w:val="24"/>
        </w:rPr>
      </w:pPr>
      <w:r w:rsidRPr="00D872FB">
        <w:rPr>
          <w:rStyle w:val="ae"/>
          <w:rFonts w:ascii="Times New Roman" w:hAnsi="Times New Roman"/>
          <w:sz w:val="22"/>
          <w:szCs w:val="24"/>
        </w:rPr>
        <w:footnoteRef/>
      </w:r>
      <w:r w:rsidRPr="00D872FB">
        <w:rPr>
          <w:rFonts w:ascii="Times New Roman" w:hAnsi="Times New Roman" w:cs="Times New Roman"/>
          <w:sz w:val="22"/>
          <w:szCs w:val="24"/>
        </w:rPr>
        <w:t xml:space="preserve"> разница между отношением процентных доходов к величине активов, приносящих доход, и отношением процентных расходов к обязательствам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3A0DFD" w14:paraId="7BCFE2F1" w14:textId="77777777">
      <w:tc>
        <w:tcPr>
          <w:tcW w:w="9639" w:type="dxa"/>
          <w:tcBorders>
            <w:bottom w:val="double" w:sz="6" w:space="0" w:color="auto"/>
          </w:tcBorders>
        </w:tcPr>
        <w:p w14:paraId="127A605F" w14:textId="77777777" w:rsidR="003A0DFD" w:rsidRDefault="003A0DFD" w:rsidP="00182680">
          <w:pPr>
            <w:pStyle w:val="aa"/>
            <w:jc w:val="center"/>
            <w:rPr>
              <w:rFonts w:ascii="Verdana" w:hAnsi="Verdana" w:cs="Verdana"/>
              <w:b/>
              <w:bCs/>
              <w:i/>
              <w:iCs/>
              <w:color w:val="C0C0C0"/>
              <w:sz w:val="24"/>
              <w:szCs w:val="24"/>
            </w:rPr>
          </w:pPr>
          <w:r>
            <w:rPr>
              <w:b/>
              <w:bCs/>
              <w:i/>
              <w:iCs/>
              <w:color w:val="C0C0C0"/>
              <w:sz w:val="24"/>
              <w:szCs w:val="24"/>
            </w:rPr>
            <w:t>Годовой отчёт Приднестровского республиканского банка за 2018 год</w:t>
          </w:r>
        </w:p>
      </w:tc>
    </w:tr>
  </w:tbl>
  <w:p w14:paraId="71422DDC" w14:textId="77777777" w:rsidR="003A0DFD" w:rsidRPr="00AD4E1E" w:rsidRDefault="003A0DFD">
    <w:pPr>
      <w:pStyle w:val="aa"/>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F69A" w14:textId="6B08F370" w:rsidR="003A0DFD" w:rsidRPr="006A27D8" w:rsidRDefault="003A0DFD" w:rsidP="00BD340B">
    <w:pPr>
      <w:pStyle w:val="aa"/>
      <w:pBdr>
        <w:bottom w:val="double" w:sz="4" w:space="1" w:color="auto"/>
      </w:pBdr>
      <w:jc w:val="center"/>
      <w:rPr>
        <w:color w:val="A6A6A6" w:themeColor="background1" w:themeShade="A6"/>
      </w:rPr>
    </w:pPr>
    <w:r>
      <w:rPr>
        <w:b/>
        <w:bCs/>
        <w:i/>
        <w:iCs/>
        <w:color w:val="A6A6A6" w:themeColor="background1" w:themeShade="A6"/>
        <w:sz w:val="24"/>
        <w:szCs w:val="24"/>
      </w:rPr>
      <w:t>О</w:t>
    </w:r>
    <w:r w:rsidRPr="006A27D8">
      <w:rPr>
        <w:b/>
        <w:bCs/>
        <w:i/>
        <w:iCs/>
        <w:color w:val="A6A6A6" w:themeColor="background1" w:themeShade="A6"/>
        <w:sz w:val="24"/>
        <w:szCs w:val="24"/>
      </w:rPr>
      <w:t xml:space="preserve">тчёт </w:t>
    </w:r>
    <w:r>
      <w:rPr>
        <w:b/>
        <w:bCs/>
        <w:i/>
        <w:iCs/>
        <w:color w:val="A6A6A6" w:themeColor="background1" w:themeShade="A6"/>
        <w:sz w:val="24"/>
        <w:szCs w:val="24"/>
      </w:rPr>
      <w:t xml:space="preserve">Центрального </w:t>
    </w:r>
    <w:r w:rsidRPr="006A27D8">
      <w:rPr>
        <w:b/>
        <w:bCs/>
        <w:i/>
        <w:iCs/>
        <w:color w:val="A6A6A6" w:themeColor="background1" w:themeShade="A6"/>
        <w:sz w:val="24"/>
        <w:szCs w:val="24"/>
      </w:rPr>
      <w:t xml:space="preserve">банка </w:t>
    </w:r>
    <w:r>
      <w:rPr>
        <w:b/>
        <w:bCs/>
        <w:i/>
        <w:iCs/>
        <w:color w:val="A6A6A6" w:themeColor="background1" w:themeShade="A6"/>
        <w:sz w:val="24"/>
        <w:szCs w:val="24"/>
      </w:rPr>
      <w:t xml:space="preserve">Приднестровской Молдавской Республики </w:t>
    </w:r>
    <w:r w:rsidRPr="006A27D8">
      <w:rPr>
        <w:b/>
        <w:bCs/>
        <w:i/>
        <w:iCs/>
        <w:color w:val="A6A6A6" w:themeColor="background1" w:themeShade="A6"/>
        <w:sz w:val="24"/>
        <w:szCs w:val="24"/>
      </w:rPr>
      <w:t>за 201</w:t>
    </w:r>
    <w:r>
      <w:rPr>
        <w:b/>
        <w:bCs/>
        <w:i/>
        <w:iCs/>
        <w:color w:val="A6A6A6" w:themeColor="background1" w:themeShade="A6"/>
        <w:sz w:val="24"/>
        <w:szCs w:val="24"/>
      </w:rPr>
      <w:t>9</w:t>
    </w:r>
    <w:r w:rsidRPr="006A27D8">
      <w:rPr>
        <w:b/>
        <w:bCs/>
        <w:i/>
        <w:iCs/>
        <w:color w:val="A6A6A6" w:themeColor="background1" w:themeShade="A6"/>
        <w:sz w:val="24"/>
        <w:szCs w:val="24"/>
      </w:rPr>
      <w:t xml:space="preserve"> год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7D0"/>
    <w:multiLevelType w:val="hybridMultilevel"/>
    <w:tmpl w:val="735E7444"/>
    <w:lvl w:ilvl="0" w:tplc="0DE0D02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D0B076C"/>
    <w:multiLevelType w:val="hybridMultilevel"/>
    <w:tmpl w:val="50BA46C8"/>
    <w:lvl w:ilvl="0" w:tplc="DBC00B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52066D"/>
    <w:multiLevelType w:val="hybridMultilevel"/>
    <w:tmpl w:val="69AA2662"/>
    <w:lvl w:ilvl="0" w:tplc="D780F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11715BE6"/>
    <w:multiLevelType w:val="hybridMultilevel"/>
    <w:tmpl w:val="7E8C400C"/>
    <w:lvl w:ilvl="0" w:tplc="D5DA9AF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4BE0310"/>
    <w:multiLevelType w:val="hybridMultilevel"/>
    <w:tmpl w:val="60B200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B45407"/>
    <w:multiLevelType w:val="hybridMultilevel"/>
    <w:tmpl w:val="FE8860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93F3C4B"/>
    <w:multiLevelType w:val="hybridMultilevel"/>
    <w:tmpl w:val="4C4A16E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1161B3"/>
    <w:multiLevelType w:val="hybridMultilevel"/>
    <w:tmpl w:val="F9B2C2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3C5DE4"/>
    <w:multiLevelType w:val="hybridMultilevel"/>
    <w:tmpl w:val="61E4F114"/>
    <w:lvl w:ilvl="0" w:tplc="0DE0D02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5CD6FE9"/>
    <w:multiLevelType w:val="hybridMultilevel"/>
    <w:tmpl w:val="0F50E8E6"/>
    <w:lvl w:ilvl="0" w:tplc="D780F056">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9A35135"/>
    <w:multiLevelType w:val="hybridMultilevel"/>
    <w:tmpl w:val="61CEAA90"/>
    <w:lvl w:ilvl="0" w:tplc="3ADA40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8A02DF"/>
    <w:multiLevelType w:val="multilevel"/>
    <w:tmpl w:val="1CE49E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006B12"/>
    <w:multiLevelType w:val="multilevel"/>
    <w:tmpl w:val="DFC63AC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D9174BA"/>
    <w:multiLevelType w:val="hybridMultilevel"/>
    <w:tmpl w:val="CD4EC072"/>
    <w:lvl w:ilvl="0" w:tplc="D780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CB3FA7"/>
    <w:multiLevelType w:val="multilevel"/>
    <w:tmpl w:val="298A1B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5B3A017C"/>
    <w:multiLevelType w:val="hybridMultilevel"/>
    <w:tmpl w:val="A8FEBB3C"/>
    <w:lvl w:ilvl="0" w:tplc="FD322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7725C9"/>
    <w:multiLevelType w:val="hybridMultilevel"/>
    <w:tmpl w:val="F9B2C2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A2C39BF"/>
    <w:multiLevelType w:val="hybridMultilevel"/>
    <w:tmpl w:val="4E0A42C2"/>
    <w:lvl w:ilvl="0" w:tplc="0419000F">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num w:numId="1">
    <w:abstractNumId w:val="14"/>
  </w:num>
  <w:num w:numId="2">
    <w:abstractNumId w:val="11"/>
  </w:num>
  <w:num w:numId="3">
    <w:abstractNumId w:val="12"/>
  </w:num>
  <w:num w:numId="4">
    <w:abstractNumId w:val="17"/>
  </w:num>
  <w:num w:numId="5">
    <w:abstractNumId w:val="4"/>
  </w:num>
  <w:num w:numId="6">
    <w:abstractNumId w:val="6"/>
  </w:num>
  <w:num w:numId="7">
    <w:abstractNumId w:val="15"/>
  </w:num>
  <w:num w:numId="8">
    <w:abstractNumId w:val="9"/>
  </w:num>
  <w:num w:numId="9">
    <w:abstractNumId w:val="2"/>
  </w:num>
  <w:num w:numId="10">
    <w:abstractNumId w:val="5"/>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7"/>
  </w:num>
  <w:num w:numId="16">
    <w:abstractNumId w:val="16"/>
  </w:num>
  <w:num w:numId="17">
    <w:abstractNumId w:val="13"/>
  </w:num>
  <w:num w:numId="18">
    <w:abstractNumId w:val="1"/>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F6"/>
    <w:rsid w:val="000002ED"/>
    <w:rsid w:val="000006D9"/>
    <w:rsid w:val="00000AEE"/>
    <w:rsid w:val="00000DB1"/>
    <w:rsid w:val="000013EB"/>
    <w:rsid w:val="000015AE"/>
    <w:rsid w:val="000015CB"/>
    <w:rsid w:val="000020E5"/>
    <w:rsid w:val="00002215"/>
    <w:rsid w:val="000023CC"/>
    <w:rsid w:val="00002915"/>
    <w:rsid w:val="000033AC"/>
    <w:rsid w:val="00003E6F"/>
    <w:rsid w:val="00004586"/>
    <w:rsid w:val="00004D45"/>
    <w:rsid w:val="0000565B"/>
    <w:rsid w:val="0000631E"/>
    <w:rsid w:val="000067BF"/>
    <w:rsid w:val="00006BDA"/>
    <w:rsid w:val="000076C1"/>
    <w:rsid w:val="000077FF"/>
    <w:rsid w:val="0001009B"/>
    <w:rsid w:val="0001069B"/>
    <w:rsid w:val="00010AC0"/>
    <w:rsid w:val="00011401"/>
    <w:rsid w:val="000117F0"/>
    <w:rsid w:val="000126FB"/>
    <w:rsid w:val="00012E69"/>
    <w:rsid w:val="0001321F"/>
    <w:rsid w:val="00013937"/>
    <w:rsid w:val="000139F8"/>
    <w:rsid w:val="00013EFF"/>
    <w:rsid w:val="00013FFE"/>
    <w:rsid w:val="00014034"/>
    <w:rsid w:val="00014336"/>
    <w:rsid w:val="00014992"/>
    <w:rsid w:val="00015243"/>
    <w:rsid w:val="0001525B"/>
    <w:rsid w:val="00015D87"/>
    <w:rsid w:val="00015FA8"/>
    <w:rsid w:val="000163D5"/>
    <w:rsid w:val="000166BA"/>
    <w:rsid w:val="00016893"/>
    <w:rsid w:val="00017214"/>
    <w:rsid w:val="00017227"/>
    <w:rsid w:val="00017672"/>
    <w:rsid w:val="00017914"/>
    <w:rsid w:val="00017925"/>
    <w:rsid w:val="00020ACA"/>
    <w:rsid w:val="000214CD"/>
    <w:rsid w:val="0002193A"/>
    <w:rsid w:val="0002224A"/>
    <w:rsid w:val="000229D5"/>
    <w:rsid w:val="0002329A"/>
    <w:rsid w:val="0002422F"/>
    <w:rsid w:val="00025361"/>
    <w:rsid w:val="0002542F"/>
    <w:rsid w:val="00025753"/>
    <w:rsid w:val="00025851"/>
    <w:rsid w:val="00025BF5"/>
    <w:rsid w:val="00026088"/>
    <w:rsid w:val="0002621D"/>
    <w:rsid w:val="00026A35"/>
    <w:rsid w:val="00026A3C"/>
    <w:rsid w:val="000273C9"/>
    <w:rsid w:val="00032167"/>
    <w:rsid w:val="000323D0"/>
    <w:rsid w:val="00032409"/>
    <w:rsid w:val="00032669"/>
    <w:rsid w:val="00032E75"/>
    <w:rsid w:val="00032F5D"/>
    <w:rsid w:val="00033332"/>
    <w:rsid w:val="0003335B"/>
    <w:rsid w:val="00033AD1"/>
    <w:rsid w:val="000345D6"/>
    <w:rsid w:val="000348DA"/>
    <w:rsid w:val="00035082"/>
    <w:rsid w:val="000356DB"/>
    <w:rsid w:val="00035DD5"/>
    <w:rsid w:val="00036223"/>
    <w:rsid w:val="0003627D"/>
    <w:rsid w:val="0003760F"/>
    <w:rsid w:val="00037FF0"/>
    <w:rsid w:val="00040079"/>
    <w:rsid w:val="000408C9"/>
    <w:rsid w:val="00040A61"/>
    <w:rsid w:val="00041331"/>
    <w:rsid w:val="000415AF"/>
    <w:rsid w:val="000418BC"/>
    <w:rsid w:val="00041EBB"/>
    <w:rsid w:val="00042448"/>
    <w:rsid w:val="00042B48"/>
    <w:rsid w:val="0004302C"/>
    <w:rsid w:val="000430F3"/>
    <w:rsid w:val="0004328A"/>
    <w:rsid w:val="00043AB9"/>
    <w:rsid w:val="00044E7E"/>
    <w:rsid w:val="00044F4D"/>
    <w:rsid w:val="00045214"/>
    <w:rsid w:val="0004566B"/>
    <w:rsid w:val="000467E0"/>
    <w:rsid w:val="00046AC9"/>
    <w:rsid w:val="000479D0"/>
    <w:rsid w:val="000502F7"/>
    <w:rsid w:val="000503C3"/>
    <w:rsid w:val="000503D6"/>
    <w:rsid w:val="000507B8"/>
    <w:rsid w:val="00050970"/>
    <w:rsid w:val="00050F2F"/>
    <w:rsid w:val="00051740"/>
    <w:rsid w:val="00051B4B"/>
    <w:rsid w:val="000523A9"/>
    <w:rsid w:val="00052792"/>
    <w:rsid w:val="000528B9"/>
    <w:rsid w:val="00052EE8"/>
    <w:rsid w:val="0005320B"/>
    <w:rsid w:val="00053828"/>
    <w:rsid w:val="00053953"/>
    <w:rsid w:val="00054970"/>
    <w:rsid w:val="00054BDB"/>
    <w:rsid w:val="00055344"/>
    <w:rsid w:val="00055B55"/>
    <w:rsid w:val="00056F4E"/>
    <w:rsid w:val="00057C31"/>
    <w:rsid w:val="00057C64"/>
    <w:rsid w:val="00057E54"/>
    <w:rsid w:val="000601A7"/>
    <w:rsid w:val="00060515"/>
    <w:rsid w:val="000609BF"/>
    <w:rsid w:val="00060AAA"/>
    <w:rsid w:val="0006149B"/>
    <w:rsid w:val="00061A8E"/>
    <w:rsid w:val="000624CC"/>
    <w:rsid w:val="00063754"/>
    <w:rsid w:val="00063E3E"/>
    <w:rsid w:val="00063F8D"/>
    <w:rsid w:val="00064509"/>
    <w:rsid w:val="00064C03"/>
    <w:rsid w:val="0006584D"/>
    <w:rsid w:val="000659A9"/>
    <w:rsid w:val="00066B6D"/>
    <w:rsid w:val="00066CE5"/>
    <w:rsid w:val="00067325"/>
    <w:rsid w:val="00067610"/>
    <w:rsid w:val="00067D98"/>
    <w:rsid w:val="00070687"/>
    <w:rsid w:val="0007082E"/>
    <w:rsid w:val="00070A95"/>
    <w:rsid w:val="0007119A"/>
    <w:rsid w:val="00071AA5"/>
    <w:rsid w:val="00072422"/>
    <w:rsid w:val="000725C3"/>
    <w:rsid w:val="0007283D"/>
    <w:rsid w:val="0007294D"/>
    <w:rsid w:val="000739FA"/>
    <w:rsid w:val="00073FD6"/>
    <w:rsid w:val="00074A1C"/>
    <w:rsid w:val="00074E9F"/>
    <w:rsid w:val="00076A4C"/>
    <w:rsid w:val="00076D76"/>
    <w:rsid w:val="00076E19"/>
    <w:rsid w:val="0007709F"/>
    <w:rsid w:val="00077177"/>
    <w:rsid w:val="00077642"/>
    <w:rsid w:val="000776A1"/>
    <w:rsid w:val="00077ACE"/>
    <w:rsid w:val="00077C78"/>
    <w:rsid w:val="00077EAA"/>
    <w:rsid w:val="000803C1"/>
    <w:rsid w:val="000805B7"/>
    <w:rsid w:val="00080BA6"/>
    <w:rsid w:val="00080C67"/>
    <w:rsid w:val="00082717"/>
    <w:rsid w:val="00082FDE"/>
    <w:rsid w:val="00083696"/>
    <w:rsid w:val="00083CAB"/>
    <w:rsid w:val="00083EAB"/>
    <w:rsid w:val="00083ECC"/>
    <w:rsid w:val="00087DAF"/>
    <w:rsid w:val="000902D5"/>
    <w:rsid w:val="000902DC"/>
    <w:rsid w:val="00090763"/>
    <w:rsid w:val="000909A0"/>
    <w:rsid w:val="00090E5D"/>
    <w:rsid w:val="000910DB"/>
    <w:rsid w:val="00091112"/>
    <w:rsid w:val="000919D3"/>
    <w:rsid w:val="00091B2F"/>
    <w:rsid w:val="00091D9C"/>
    <w:rsid w:val="0009207A"/>
    <w:rsid w:val="000926F9"/>
    <w:rsid w:val="00092948"/>
    <w:rsid w:val="00093604"/>
    <w:rsid w:val="0009387E"/>
    <w:rsid w:val="00093B88"/>
    <w:rsid w:val="0009481C"/>
    <w:rsid w:val="000949B6"/>
    <w:rsid w:val="00094A2A"/>
    <w:rsid w:val="00094B59"/>
    <w:rsid w:val="00094CC5"/>
    <w:rsid w:val="000956EF"/>
    <w:rsid w:val="00095BA5"/>
    <w:rsid w:val="00095ECA"/>
    <w:rsid w:val="00096679"/>
    <w:rsid w:val="00097B32"/>
    <w:rsid w:val="000A07F8"/>
    <w:rsid w:val="000A1961"/>
    <w:rsid w:val="000A21C8"/>
    <w:rsid w:val="000A21FF"/>
    <w:rsid w:val="000A243D"/>
    <w:rsid w:val="000A266C"/>
    <w:rsid w:val="000A27DA"/>
    <w:rsid w:val="000A27FC"/>
    <w:rsid w:val="000A32F7"/>
    <w:rsid w:val="000A3875"/>
    <w:rsid w:val="000A3CED"/>
    <w:rsid w:val="000A4E36"/>
    <w:rsid w:val="000A5871"/>
    <w:rsid w:val="000A58F3"/>
    <w:rsid w:val="000A5B68"/>
    <w:rsid w:val="000A6BE3"/>
    <w:rsid w:val="000A75D0"/>
    <w:rsid w:val="000A77D5"/>
    <w:rsid w:val="000A79FE"/>
    <w:rsid w:val="000A7F1D"/>
    <w:rsid w:val="000B0656"/>
    <w:rsid w:val="000B097A"/>
    <w:rsid w:val="000B1CA5"/>
    <w:rsid w:val="000B2356"/>
    <w:rsid w:val="000B28B7"/>
    <w:rsid w:val="000B35F6"/>
    <w:rsid w:val="000B3BC6"/>
    <w:rsid w:val="000B3CB8"/>
    <w:rsid w:val="000B4BB6"/>
    <w:rsid w:val="000B51EE"/>
    <w:rsid w:val="000B58B8"/>
    <w:rsid w:val="000B5C32"/>
    <w:rsid w:val="000B6489"/>
    <w:rsid w:val="000B7634"/>
    <w:rsid w:val="000B7D82"/>
    <w:rsid w:val="000B7EA0"/>
    <w:rsid w:val="000C007E"/>
    <w:rsid w:val="000C04DE"/>
    <w:rsid w:val="000C060C"/>
    <w:rsid w:val="000C0C16"/>
    <w:rsid w:val="000C0C7C"/>
    <w:rsid w:val="000C0CA5"/>
    <w:rsid w:val="000C2726"/>
    <w:rsid w:val="000C3033"/>
    <w:rsid w:val="000C398F"/>
    <w:rsid w:val="000C47E4"/>
    <w:rsid w:val="000C48B3"/>
    <w:rsid w:val="000C4E3C"/>
    <w:rsid w:val="000C50BA"/>
    <w:rsid w:val="000C598D"/>
    <w:rsid w:val="000C5BAA"/>
    <w:rsid w:val="000C6FB6"/>
    <w:rsid w:val="000D002A"/>
    <w:rsid w:val="000D047C"/>
    <w:rsid w:val="000D0822"/>
    <w:rsid w:val="000D082A"/>
    <w:rsid w:val="000D0A9F"/>
    <w:rsid w:val="000D1CE0"/>
    <w:rsid w:val="000D2ECA"/>
    <w:rsid w:val="000D36D0"/>
    <w:rsid w:val="000D3750"/>
    <w:rsid w:val="000D3B39"/>
    <w:rsid w:val="000D3D31"/>
    <w:rsid w:val="000D3F86"/>
    <w:rsid w:val="000D4647"/>
    <w:rsid w:val="000D46C6"/>
    <w:rsid w:val="000D529E"/>
    <w:rsid w:val="000D5444"/>
    <w:rsid w:val="000D5E80"/>
    <w:rsid w:val="000D71F9"/>
    <w:rsid w:val="000E04ED"/>
    <w:rsid w:val="000E0777"/>
    <w:rsid w:val="000E1B7E"/>
    <w:rsid w:val="000E21DD"/>
    <w:rsid w:val="000E2D35"/>
    <w:rsid w:val="000E2E33"/>
    <w:rsid w:val="000E3014"/>
    <w:rsid w:val="000E32BD"/>
    <w:rsid w:val="000E40D8"/>
    <w:rsid w:val="000E443F"/>
    <w:rsid w:val="000E4E94"/>
    <w:rsid w:val="000E51ED"/>
    <w:rsid w:val="000E68A0"/>
    <w:rsid w:val="000E68CF"/>
    <w:rsid w:val="000E6F62"/>
    <w:rsid w:val="000E753C"/>
    <w:rsid w:val="000E789B"/>
    <w:rsid w:val="000E7984"/>
    <w:rsid w:val="000E7A5A"/>
    <w:rsid w:val="000F01B9"/>
    <w:rsid w:val="000F01E9"/>
    <w:rsid w:val="000F03C4"/>
    <w:rsid w:val="000F0BF5"/>
    <w:rsid w:val="000F0D53"/>
    <w:rsid w:val="000F0E4A"/>
    <w:rsid w:val="000F0EA6"/>
    <w:rsid w:val="000F119D"/>
    <w:rsid w:val="000F1699"/>
    <w:rsid w:val="000F185A"/>
    <w:rsid w:val="000F1B11"/>
    <w:rsid w:val="000F1DCE"/>
    <w:rsid w:val="000F2094"/>
    <w:rsid w:val="000F261A"/>
    <w:rsid w:val="000F27C3"/>
    <w:rsid w:val="000F3414"/>
    <w:rsid w:val="000F3A4F"/>
    <w:rsid w:val="000F3E51"/>
    <w:rsid w:val="000F4EE2"/>
    <w:rsid w:val="000F5A7A"/>
    <w:rsid w:val="000F5BC7"/>
    <w:rsid w:val="000F610A"/>
    <w:rsid w:val="000F68C5"/>
    <w:rsid w:val="000F6B24"/>
    <w:rsid w:val="000F6BE3"/>
    <w:rsid w:val="000F6E55"/>
    <w:rsid w:val="000F6E6A"/>
    <w:rsid w:val="000F740A"/>
    <w:rsid w:val="000F796D"/>
    <w:rsid w:val="000F79A6"/>
    <w:rsid w:val="00100197"/>
    <w:rsid w:val="00100C32"/>
    <w:rsid w:val="00100DE5"/>
    <w:rsid w:val="00101333"/>
    <w:rsid w:val="001014D8"/>
    <w:rsid w:val="001014EF"/>
    <w:rsid w:val="0010178E"/>
    <w:rsid w:val="0010250A"/>
    <w:rsid w:val="00102848"/>
    <w:rsid w:val="00103393"/>
    <w:rsid w:val="001039F8"/>
    <w:rsid w:val="00103D1B"/>
    <w:rsid w:val="00104E8F"/>
    <w:rsid w:val="0010549D"/>
    <w:rsid w:val="00105626"/>
    <w:rsid w:val="00105BDB"/>
    <w:rsid w:val="00105F07"/>
    <w:rsid w:val="00105F0B"/>
    <w:rsid w:val="00106095"/>
    <w:rsid w:val="001060F0"/>
    <w:rsid w:val="0010630D"/>
    <w:rsid w:val="001067DC"/>
    <w:rsid w:val="00106F4D"/>
    <w:rsid w:val="00106FA9"/>
    <w:rsid w:val="00111017"/>
    <w:rsid w:val="00111754"/>
    <w:rsid w:val="00111B2A"/>
    <w:rsid w:val="00112609"/>
    <w:rsid w:val="00112B66"/>
    <w:rsid w:val="00112B81"/>
    <w:rsid w:val="001136F8"/>
    <w:rsid w:val="001139ED"/>
    <w:rsid w:val="001147F0"/>
    <w:rsid w:val="00115038"/>
    <w:rsid w:val="00115BB5"/>
    <w:rsid w:val="00115BDD"/>
    <w:rsid w:val="001160AB"/>
    <w:rsid w:val="001163E6"/>
    <w:rsid w:val="001168C2"/>
    <w:rsid w:val="00116BA3"/>
    <w:rsid w:val="001176F9"/>
    <w:rsid w:val="00117B47"/>
    <w:rsid w:val="00117F05"/>
    <w:rsid w:val="001202C2"/>
    <w:rsid w:val="0012039D"/>
    <w:rsid w:val="00120B2F"/>
    <w:rsid w:val="00121362"/>
    <w:rsid w:val="001215F9"/>
    <w:rsid w:val="001220BE"/>
    <w:rsid w:val="00122119"/>
    <w:rsid w:val="001226F3"/>
    <w:rsid w:val="00122861"/>
    <w:rsid w:val="00122C50"/>
    <w:rsid w:val="00123AEA"/>
    <w:rsid w:val="00123CE2"/>
    <w:rsid w:val="00124824"/>
    <w:rsid w:val="00125665"/>
    <w:rsid w:val="00126ECC"/>
    <w:rsid w:val="001270E4"/>
    <w:rsid w:val="0012730B"/>
    <w:rsid w:val="00127846"/>
    <w:rsid w:val="00127EE8"/>
    <w:rsid w:val="00130425"/>
    <w:rsid w:val="001304A6"/>
    <w:rsid w:val="001306DE"/>
    <w:rsid w:val="00130993"/>
    <w:rsid w:val="001311A6"/>
    <w:rsid w:val="001318A7"/>
    <w:rsid w:val="00131B43"/>
    <w:rsid w:val="00131D2B"/>
    <w:rsid w:val="0013273F"/>
    <w:rsid w:val="00132D8C"/>
    <w:rsid w:val="00133679"/>
    <w:rsid w:val="00134253"/>
    <w:rsid w:val="001347EF"/>
    <w:rsid w:val="00134EEF"/>
    <w:rsid w:val="001357E9"/>
    <w:rsid w:val="001360C0"/>
    <w:rsid w:val="0013653B"/>
    <w:rsid w:val="00136BA9"/>
    <w:rsid w:val="00136C68"/>
    <w:rsid w:val="00136DDC"/>
    <w:rsid w:val="00136F7C"/>
    <w:rsid w:val="001370F7"/>
    <w:rsid w:val="0013757E"/>
    <w:rsid w:val="00137AEF"/>
    <w:rsid w:val="00137C66"/>
    <w:rsid w:val="00140711"/>
    <w:rsid w:val="00140831"/>
    <w:rsid w:val="00140911"/>
    <w:rsid w:val="00141375"/>
    <w:rsid w:val="00141B50"/>
    <w:rsid w:val="00141C21"/>
    <w:rsid w:val="0014227D"/>
    <w:rsid w:val="00142364"/>
    <w:rsid w:val="001423F2"/>
    <w:rsid w:val="0014251C"/>
    <w:rsid w:val="00142F2B"/>
    <w:rsid w:val="00142F96"/>
    <w:rsid w:val="0014379D"/>
    <w:rsid w:val="001439FC"/>
    <w:rsid w:val="00143A66"/>
    <w:rsid w:val="00143B49"/>
    <w:rsid w:val="00143B97"/>
    <w:rsid w:val="00143BFF"/>
    <w:rsid w:val="00143CEA"/>
    <w:rsid w:val="00143DB1"/>
    <w:rsid w:val="0014485E"/>
    <w:rsid w:val="00144B13"/>
    <w:rsid w:val="00145062"/>
    <w:rsid w:val="0014549B"/>
    <w:rsid w:val="0014562E"/>
    <w:rsid w:val="001457A5"/>
    <w:rsid w:val="001463E4"/>
    <w:rsid w:val="00146E29"/>
    <w:rsid w:val="00146E97"/>
    <w:rsid w:val="001470C7"/>
    <w:rsid w:val="001471AD"/>
    <w:rsid w:val="00147664"/>
    <w:rsid w:val="00147710"/>
    <w:rsid w:val="00147F55"/>
    <w:rsid w:val="00147FF5"/>
    <w:rsid w:val="00150009"/>
    <w:rsid w:val="001504E3"/>
    <w:rsid w:val="00151016"/>
    <w:rsid w:val="0015176E"/>
    <w:rsid w:val="00151E78"/>
    <w:rsid w:val="00152247"/>
    <w:rsid w:val="00152AAB"/>
    <w:rsid w:val="00152B81"/>
    <w:rsid w:val="001538FE"/>
    <w:rsid w:val="001549A1"/>
    <w:rsid w:val="00154C69"/>
    <w:rsid w:val="00154D13"/>
    <w:rsid w:val="001553E5"/>
    <w:rsid w:val="00155A8E"/>
    <w:rsid w:val="00155C08"/>
    <w:rsid w:val="00155DCF"/>
    <w:rsid w:val="00156343"/>
    <w:rsid w:val="001569CC"/>
    <w:rsid w:val="00156A16"/>
    <w:rsid w:val="00156CF4"/>
    <w:rsid w:val="001570CD"/>
    <w:rsid w:val="00157541"/>
    <w:rsid w:val="00157736"/>
    <w:rsid w:val="00160336"/>
    <w:rsid w:val="001607D3"/>
    <w:rsid w:val="00160A97"/>
    <w:rsid w:val="0016183F"/>
    <w:rsid w:val="00161D65"/>
    <w:rsid w:val="00162243"/>
    <w:rsid w:val="00162BE8"/>
    <w:rsid w:val="00162C75"/>
    <w:rsid w:val="00162EFA"/>
    <w:rsid w:val="00163B6C"/>
    <w:rsid w:val="00163DE0"/>
    <w:rsid w:val="0016444E"/>
    <w:rsid w:val="0016469C"/>
    <w:rsid w:val="00165670"/>
    <w:rsid w:val="00165AB5"/>
    <w:rsid w:val="00166727"/>
    <w:rsid w:val="001669BE"/>
    <w:rsid w:val="00166C9D"/>
    <w:rsid w:val="00167205"/>
    <w:rsid w:val="00167876"/>
    <w:rsid w:val="0016791C"/>
    <w:rsid w:val="00167A7F"/>
    <w:rsid w:val="00167AD1"/>
    <w:rsid w:val="00170687"/>
    <w:rsid w:val="00171438"/>
    <w:rsid w:val="00171C51"/>
    <w:rsid w:val="0017246A"/>
    <w:rsid w:val="00172879"/>
    <w:rsid w:val="00172985"/>
    <w:rsid w:val="001734A0"/>
    <w:rsid w:val="00173F22"/>
    <w:rsid w:val="00174419"/>
    <w:rsid w:val="001749BC"/>
    <w:rsid w:val="00174FA4"/>
    <w:rsid w:val="00175516"/>
    <w:rsid w:val="00175738"/>
    <w:rsid w:val="00175E8B"/>
    <w:rsid w:val="001761C4"/>
    <w:rsid w:val="00176315"/>
    <w:rsid w:val="0017660F"/>
    <w:rsid w:val="00176637"/>
    <w:rsid w:val="001769EA"/>
    <w:rsid w:val="00177257"/>
    <w:rsid w:val="001772AD"/>
    <w:rsid w:val="00177642"/>
    <w:rsid w:val="00177656"/>
    <w:rsid w:val="001776E3"/>
    <w:rsid w:val="0017771B"/>
    <w:rsid w:val="00177861"/>
    <w:rsid w:val="001803EC"/>
    <w:rsid w:val="00180723"/>
    <w:rsid w:val="00181171"/>
    <w:rsid w:val="00181398"/>
    <w:rsid w:val="001819C2"/>
    <w:rsid w:val="00181ADE"/>
    <w:rsid w:val="001821D5"/>
    <w:rsid w:val="00182680"/>
    <w:rsid w:val="00182A0F"/>
    <w:rsid w:val="0018326E"/>
    <w:rsid w:val="00183902"/>
    <w:rsid w:val="00183D6D"/>
    <w:rsid w:val="001848F3"/>
    <w:rsid w:val="00184B95"/>
    <w:rsid w:val="00184D46"/>
    <w:rsid w:val="00184F72"/>
    <w:rsid w:val="00185204"/>
    <w:rsid w:val="00185302"/>
    <w:rsid w:val="00185637"/>
    <w:rsid w:val="00185A02"/>
    <w:rsid w:val="001869A1"/>
    <w:rsid w:val="001869C9"/>
    <w:rsid w:val="001878AA"/>
    <w:rsid w:val="00187979"/>
    <w:rsid w:val="00187B85"/>
    <w:rsid w:val="00187D45"/>
    <w:rsid w:val="00187E37"/>
    <w:rsid w:val="00190034"/>
    <w:rsid w:val="001905A7"/>
    <w:rsid w:val="001915E3"/>
    <w:rsid w:val="0019192B"/>
    <w:rsid w:val="00192506"/>
    <w:rsid w:val="00192F1D"/>
    <w:rsid w:val="0019302D"/>
    <w:rsid w:val="0019306D"/>
    <w:rsid w:val="0019335E"/>
    <w:rsid w:val="00193ADB"/>
    <w:rsid w:val="00194285"/>
    <w:rsid w:val="00194E83"/>
    <w:rsid w:val="001969DC"/>
    <w:rsid w:val="00196F53"/>
    <w:rsid w:val="00197ABA"/>
    <w:rsid w:val="001A0019"/>
    <w:rsid w:val="001A012F"/>
    <w:rsid w:val="001A074E"/>
    <w:rsid w:val="001A0CF5"/>
    <w:rsid w:val="001A139D"/>
    <w:rsid w:val="001A1A33"/>
    <w:rsid w:val="001A3FD4"/>
    <w:rsid w:val="001A5383"/>
    <w:rsid w:val="001A5BF3"/>
    <w:rsid w:val="001A5C0D"/>
    <w:rsid w:val="001A5D6A"/>
    <w:rsid w:val="001A5E90"/>
    <w:rsid w:val="001A618C"/>
    <w:rsid w:val="001A6265"/>
    <w:rsid w:val="001A6EF5"/>
    <w:rsid w:val="001A7CC0"/>
    <w:rsid w:val="001A7F3C"/>
    <w:rsid w:val="001B00A8"/>
    <w:rsid w:val="001B0EB7"/>
    <w:rsid w:val="001B200C"/>
    <w:rsid w:val="001B2450"/>
    <w:rsid w:val="001B253B"/>
    <w:rsid w:val="001B2605"/>
    <w:rsid w:val="001B2D2D"/>
    <w:rsid w:val="001B2D53"/>
    <w:rsid w:val="001B3B94"/>
    <w:rsid w:val="001B3EC2"/>
    <w:rsid w:val="001B3F4A"/>
    <w:rsid w:val="001B54E9"/>
    <w:rsid w:val="001B5FB7"/>
    <w:rsid w:val="001B6395"/>
    <w:rsid w:val="001B656B"/>
    <w:rsid w:val="001B6ED2"/>
    <w:rsid w:val="001B6FD1"/>
    <w:rsid w:val="001B720A"/>
    <w:rsid w:val="001B7326"/>
    <w:rsid w:val="001B761F"/>
    <w:rsid w:val="001B7697"/>
    <w:rsid w:val="001B771B"/>
    <w:rsid w:val="001B7B2B"/>
    <w:rsid w:val="001B7DD6"/>
    <w:rsid w:val="001C08E4"/>
    <w:rsid w:val="001C11A8"/>
    <w:rsid w:val="001C1864"/>
    <w:rsid w:val="001C1D99"/>
    <w:rsid w:val="001C2941"/>
    <w:rsid w:val="001C3049"/>
    <w:rsid w:val="001C3370"/>
    <w:rsid w:val="001C3A3B"/>
    <w:rsid w:val="001C3C2A"/>
    <w:rsid w:val="001C433D"/>
    <w:rsid w:val="001C45F7"/>
    <w:rsid w:val="001C4E9C"/>
    <w:rsid w:val="001C5716"/>
    <w:rsid w:val="001C5765"/>
    <w:rsid w:val="001C657D"/>
    <w:rsid w:val="001C65D9"/>
    <w:rsid w:val="001C66C2"/>
    <w:rsid w:val="001C6966"/>
    <w:rsid w:val="001C6E7E"/>
    <w:rsid w:val="001C6FDF"/>
    <w:rsid w:val="001D1174"/>
    <w:rsid w:val="001D1D17"/>
    <w:rsid w:val="001D1F94"/>
    <w:rsid w:val="001D23ED"/>
    <w:rsid w:val="001D2948"/>
    <w:rsid w:val="001D2A65"/>
    <w:rsid w:val="001D2B39"/>
    <w:rsid w:val="001D31B8"/>
    <w:rsid w:val="001D386B"/>
    <w:rsid w:val="001D3AB5"/>
    <w:rsid w:val="001D3D1D"/>
    <w:rsid w:val="001D426F"/>
    <w:rsid w:val="001D486D"/>
    <w:rsid w:val="001D5A09"/>
    <w:rsid w:val="001D6311"/>
    <w:rsid w:val="001D6B48"/>
    <w:rsid w:val="001D77EC"/>
    <w:rsid w:val="001E028B"/>
    <w:rsid w:val="001E0BAB"/>
    <w:rsid w:val="001E0BE6"/>
    <w:rsid w:val="001E0C36"/>
    <w:rsid w:val="001E1C45"/>
    <w:rsid w:val="001E1CB9"/>
    <w:rsid w:val="001E1E0E"/>
    <w:rsid w:val="001E2028"/>
    <w:rsid w:val="001E2049"/>
    <w:rsid w:val="001E251F"/>
    <w:rsid w:val="001E2CEF"/>
    <w:rsid w:val="001E3095"/>
    <w:rsid w:val="001E3B93"/>
    <w:rsid w:val="001E4E7E"/>
    <w:rsid w:val="001E509D"/>
    <w:rsid w:val="001E5228"/>
    <w:rsid w:val="001E61A8"/>
    <w:rsid w:val="001E69D9"/>
    <w:rsid w:val="001E70C3"/>
    <w:rsid w:val="001E7118"/>
    <w:rsid w:val="001F0915"/>
    <w:rsid w:val="001F1241"/>
    <w:rsid w:val="001F17A4"/>
    <w:rsid w:val="001F1F27"/>
    <w:rsid w:val="001F1F5A"/>
    <w:rsid w:val="001F2788"/>
    <w:rsid w:val="001F3121"/>
    <w:rsid w:val="001F3BA6"/>
    <w:rsid w:val="001F3DF7"/>
    <w:rsid w:val="001F3E4E"/>
    <w:rsid w:val="001F4036"/>
    <w:rsid w:val="001F4621"/>
    <w:rsid w:val="001F482B"/>
    <w:rsid w:val="001F4F71"/>
    <w:rsid w:val="001F5012"/>
    <w:rsid w:val="001F6270"/>
    <w:rsid w:val="001F65BC"/>
    <w:rsid w:val="001F72DC"/>
    <w:rsid w:val="001F763E"/>
    <w:rsid w:val="001F7A51"/>
    <w:rsid w:val="00200417"/>
    <w:rsid w:val="002017F5"/>
    <w:rsid w:val="00201980"/>
    <w:rsid w:val="00201C65"/>
    <w:rsid w:val="00201FE3"/>
    <w:rsid w:val="00202F8E"/>
    <w:rsid w:val="00203736"/>
    <w:rsid w:val="002037BB"/>
    <w:rsid w:val="00204444"/>
    <w:rsid w:val="0020538B"/>
    <w:rsid w:val="00205398"/>
    <w:rsid w:val="00205DD4"/>
    <w:rsid w:val="00205FC0"/>
    <w:rsid w:val="00206188"/>
    <w:rsid w:val="002064AC"/>
    <w:rsid w:val="002066E6"/>
    <w:rsid w:val="00206A0F"/>
    <w:rsid w:val="00206FEF"/>
    <w:rsid w:val="002077DF"/>
    <w:rsid w:val="00207A4A"/>
    <w:rsid w:val="00207BA1"/>
    <w:rsid w:val="00207D56"/>
    <w:rsid w:val="00210B2B"/>
    <w:rsid w:val="00210FFA"/>
    <w:rsid w:val="00211937"/>
    <w:rsid w:val="00212162"/>
    <w:rsid w:val="00212312"/>
    <w:rsid w:val="002124E5"/>
    <w:rsid w:val="00212A24"/>
    <w:rsid w:val="00212C9A"/>
    <w:rsid w:val="002140A7"/>
    <w:rsid w:val="002163A1"/>
    <w:rsid w:val="00216EC0"/>
    <w:rsid w:val="00221B3C"/>
    <w:rsid w:val="00221EC7"/>
    <w:rsid w:val="00222DC8"/>
    <w:rsid w:val="002235A9"/>
    <w:rsid w:val="00223CDA"/>
    <w:rsid w:val="002240DA"/>
    <w:rsid w:val="00224264"/>
    <w:rsid w:val="00224747"/>
    <w:rsid w:val="00224D62"/>
    <w:rsid w:val="002258BB"/>
    <w:rsid w:val="0022630F"/>
    <w:rsid w:val="002268AF"/>
    <w:rsid w:val="0022692E"/>
    <w:rsid w:val="00226B50"/>
    <w:rsid w:val="00226D6F"/>
    <w:rsid w:val="002273ED"/>
    <w:rsid w:val="00227E29"/>
    <w:rsid w:val="0023032A"/>
    <w:rsid w:val="0023039B"/>
    <w:rsid w:val="0023070B"/>
    <w:rsid w:val="00230847"/>
    <w:rsid w:val="00231007"/>
    <w:rsid w:val="00231AB4"/>
    <w:rsid w:val="00231F94"/>
    <w:rsid w:val="00232784"/>
    <w:rsid w:val="002333F6"/>
    <w:rsid w:val="00233929"/>
    <w:rsid w:val="00233B58"/>
    <w:rsid w:val="00233B75"/>
    <w:rsid w:val="002340E3"/>
    <w:rsid w:val="00235099"/>
    <w:rsid w:val="002355E4"/>
    <w:rsid w:val="00235CA5"/>
    <w:rsid w:val="00237BE2"/>
    <w:rsid w:val="00237BFB"/>
    <w:rsid w:val="00240144"/>
    <w:rsid w:val="00240168"/>
    <w:rsid w:val="00240622"/>
    <w:rsid w:val="00241206"/>
    <w:rsid w:val="002419CC"/>
    <w:rsid w:val="00242451"/>
    <w:rsid w:val="00242C5A"/>
    <w:rsid w:val="00243025"/>
    <w:rsid w:val="00243034"/>
    <w:rsid w:val="002433F8"/>
    <w:rsid w:val="00243CB6"/>
    <w:rsid w:val="00243D6A"/>
    <w:rsid w:val="00244824"/>
    <w:rsid w:val="00244AE1"/>
    <w:rsid w:val="00245410"/>
    <w:rsid w:val="00245924"/>
    <w:rsid w:val="00245AE4"/>
    <w:rsid w:val="00245CA2"/>
    <w:rsid w:val="0024627E"/>
    <w:rsid w:val="00246D6D"/>
    <w:rsid w:val="00246DBD"/>
    <w:rsid w:val="0024723A"/>
    <w:rsid w:val="002504CA"/>
    <w:rsid w:val="002509E4"/>
    <w:rsid w:val="00250F02"/>
    <w:rsid w:val="00251124"/>
    <w:rsid w:val="002513ED"/>
    <w:rsid w:val="0025141B"/>
    <w:rsid w:val="0025173A"/>
    <w:rsid w:val="00251B52"/>
    <w:rsid w:val="00251CBE"/>
    <w:rsid w:val="00251F1E"/>
    <w:rsid w:val="00251FD0"/>
    <w:rsid w:val="00252596"/>
    <w:rsid w:val="00252EDA"/>
    <w:rsid w:val="00253523"/>
    <w:rsid w:val="00253C0D"/>
    <w:rsid w:val="00253E18"/>
    <w:rsid w:val="002546DC"/>
    <w:rsid w:val="00254D16"/>
    <w:rsid w:val="0025659C"/>
    <w:rsid w:val="00256C22"/>
    <w:rsid w:val="00257396"/>
    <w:rsid w:val="00257419"/>
    <w:rsid w:val="002578BD"/>
    <w:rsid w:val="00257C32"/>
    <w:rsid w:val="002613AE"/>
    <w:rsid w:val="00261503"/>
    <w:rsid w:val="00261F70"/>
    <w:rsid w:val="00262514"/>
    <w:rsid w:val="00262B9D"/>
    <w:rsid w:val="002633FB"/>
    <w:rsid w:val="00263968"/>
    <w:rsid w:val="00263AC3"/>
    <w:rsid w:val="00263B5D"/>
    <w:rsid w:val="00263C29"/>
    <w:rsid w:val="002664C3"/>
    <w:rsid w:val="0026661D"/>
    <w:rsid w:val="0026686C"/>
    <w:rsid w:val="00266AFA"/>
    <w:rsid w:val="00267807"/>
    <w:rsid w:val="00267FF8"/>
    <w:rsid w:val="0027045B"/>
    <w:rsid w:val="0027053B"/>
    <w:rsid w:val="00270544"/>
    <w:rsid w:val="0027181C"/>
    <w:rsid w:val="00271BCB"/>
    <w:rsid w:val="00271BF9"/>
    <w:rsid w:val="00271C5C"/>
    <w:rsid w:val="00271C81"/>
    <w:rsid w:val="002722FD"/>
    <w:rsid w:val="00273131"/>
    <w:rsid w:val="00274841"/>
    <w:rsid w:val="00274B8E"/>
    <w:rsid w:val="00275B45"/>
    <w:rsid w:val="00275F6C"/>
    <w:rsid w:val="00276881"/>
    <w:rsid w:val="00276899"/>
    <w:rsid w:val="00276E5C"/>
    <w:rsid w:val="0027767C"/>
    <w:rsid w:val="002800D2"/>
    <w:rsid w:val="00280B9F"/>
    <w:rsid w:val="002827DF"/>
    <w:rsid w:val="00282E57"/>
    <w:rsid w:val="00282ED3"/>
    <w:rsid w:val="002839C2"/>
    <w:rsid w:val="00284603"/>
    <w:rsid w:val="00284E2E"/>
    <w:rsid w:val="0028509D"/>
    <w:rsid w:val="00285194"/>
    <w:rsid w:val="0028555C"/>
    <w:rsid w:val="00285745"/>
    <w:rsid w:val="00286760"/>
    <w:rsid w:val="002869EF"/>
    <w:rsid w:val="00286A4B"/>
    <w:rsid w:val="00286C93"/>
    <w:rsid w:val="0028719F"/>
    <w:rsid w:val="00287610"/>
    <w:rsid w:val="00287830"/>
    <w:rsid w:val="002879A6"/>
    <w:rsid w:val="00287E3A"/>
    <w:rsid w:val="00287E5F"/>
    <w:rsid w:val="00287FCE"/>
    <w:rsid w:val="0029032D"/>
    <w:rsid w:val="002904D3"/>
    <w:rsid w:val="0029089D"/>
    <w:rsid w:val="002909A1"/>
    <w:rsid w:val="00290A13"/>
    <w:rsid w:val="00291451"/>
    <w:rsid w:val="0029187C"/>
    <w:rsid w:val="00291A75"/>
    <w:rsid w:val="00291CBE"/>
    <w:rsid w:val="002922B1"/>
    <w:rsid w:val="002930A4"/>
    <w:rsid w:val="0029387B"/>
    <w:rsid w:val="00293E31"/>
    <w:rsid w:val="002943E9"/>
    <w:rsid w:val="00294A15"/>
    <w:rsid w:val="0029599D"/>
    <w:rsid w:val="00295F26"/>
    <w:rsid w:val="0029605C"/>
    <w:rsid w:val="00297A52"/>
    <w:rsid w:val="002A029E"/>
    <w:rsid w:val="002A0682"/>
    <w:rsid w:val="002A0AA5"/>
    <w:rsid w:val="002A0AB4"/>
    <w:rsid w:val="002A0B48"/>
    <w:rsid w:val="002A15DD"/>
    <w:rsid w:val="002A27AC"/>
    <w:rsid w:val="002A2DC6"/>
    <w:rsid w:val="002A4A1C"/>
    <w:rsid w:val="002A5049"/>
    <w:rsid w:val="002A69AD"/>
    <w:rsid w:val="002A6A47"/>
    <w:rsid w:val="002A6D90"/>
    <w:rsid w:val="002A6E68"/>
    <w:rsid w:val="002A711A"/>
    <w:rsid w:val="002A76C0"/>
    <w:rsid w:val="002A78E9"/>
    <w:rsid w:val="002B0AF3"/>
    <w:rsid w:val="002B0D28"/>
    <w:rsid w:val="002B1832"/>
    <w:rsid w:val="002B1D1D"/>
    <w:rsid w:val="002B2447"/>
    <w:rsid w:val="002B2AD9"/>
    <w:rsid w:val="002B2BD0"/>
    <w:rsid w:val="002B2C09"/>
    <w:rsid w:val="002B309E"/>
    <w:rsid w:val="002B4449"/>
    <w:rsid w:val="002B5035"/>
    <w:rsid w:val="002B56FC"/>
    <w:rsid w:val="002B5740"/>
    <w:rsid w:val="002B59FE"/>
    <w:rsid w:val="002B5EA8"/>
    <w:rsid w:val="002B5F1D"/>
    <w:rsid w:val="002B637B"/>
    <w:rsid w:val="002B6380"/>
    <w:rsid w:val="002B663C"/>
    <w:rsid w:val="002B6AC5"/>
    <w:rsid w:val="002B6E1D"/>
    <w:rsid w:val="002B77F2"/>
    <w:rsid w:val="002B7853"/>
    <w:rsid w:val="002B7871"/>
    <w:rsid w:val="002B7C0C"/>
    <w:rsid w:val="002B7E17"/>
    <w:rsid w:val="002C026D"/>
    <w:rsid w:val="002C043C"/>
    <w:rsid w:val="002C0986"/>
    <w:rsid w:val="002C0A81"/>
    <w:rsid w:val="002C13D6"/>
    <w:rsid w:val="002C2178"/>
    <w:rsid w:val="002C2312"/>
    <w:rsid w:val="002C2BF4"/>
    <w:rsid w:val="002C32BA"/>
    <w:rsid w:val="002C3305"/>
    <w:rsid w:val="002C3A39"/>
    <w:rsid w:val="002C45B0"/>
    <w:rsid w:val="002C54D9"/>
    <w:rsid w:val="002C5747"/>
    <w:rsid w:val="002C5C79"/>
    <w:rsid w:val="002C64A1"/>
    <w:rsid w:val="002C6A89"/>
    <w:rsid w:val="002C71A8"/>
    <w:rsid w:val="002C7262"/>
    <w:rsid w:val="002C79D2"/>
    <w:rsid w:val="002C7CA4"/>
    <w:rsid w:val="002D036A"/>
    <w:rsid w:val="002D079C"/>
    <w:rsid w:val="002D08B1"/>
    <w:rsid w:val="002D20B4"/>
    <w:rsid w:val="002D20EB"/>
    <w:rsid w:val="002D22EF"/>
    <w:rsid w:val="002D2566"/>
    <w:rsid w:val="002D2B0D"/>
    <w:rsid w:val="002D3C88"/>
    <w:rsid w:val="002D3D8D"/>
    <w:rsid w:val="002D4170"/>
    <w:rsid w:val="002D4BC2"/>
    <w:rsid w:val="002D4CD4"/>
    <w:rsid w:val="002D5341"/>
    <w:rsid w:val="002D5524"/>
    <w:rsid w:val="002D564B"/>
    <w:rsid w:val="002D649C"/>
    <w:rsid w:val="002D66DD"/>
    <w:rsid w:val="002D67FA"/>
    <w:rsid w:val="002D700E"/>
    <w:rsid w:val="002D7297"/>
    <w:rsid w:val="002D72C1"/>
    <w:rsid w:val="002D77DE"/>
    <w:rsid w:val="002D7D23"/>
    <w:rsid w:val="002D7D5E"/>
    <w:rsid w:val="002D7F78"/>
    <w:rsid w:val="002E018A"/>
    <w:rsid w:val="002E0981"/>
    <w:rsid w:val="002E0C65"/>
    <w:rsid w:val="002E0F34"/>
    <w:rsid w:val="002E1FAA"/>
    <w:rsid w:val="002E20AC"/>
    <w:rsid w:val="002E2FA9"/>
    <w:rsid w:val="002E30DB"/>
    <w:rsid w:val="002E39AC"/>
    <w:rsid w:val="002E40C8"/>
    <w:rsid w:val="002E5AE0"/>
    <w:rsid w:val="002E5F3A"/>
    <w:rsid w:val="002E692E"/>
    <w:rsid w:val="002E6AB9"/>
    <w:rsid w:val="002E747E"/>
    <w:rsid w:val="002E7807"/>
    <w:rsid w:val="002E79A9"/>
    <w:rsid w:val="002E7D7B"/>
    <w:rsid w:val="002E7FCB"/>
    <w:rsid w:val="002F00C8"/>
    <w:rsid w:val="002F011A"/>
    <w:rsid w:val="002F0A50"/>
    <w:rsid w:val="002F10AC"/>
    <w:rsid w:val="002F12B7"/>
    <w:rsid w:val="002F1448"/>
    <w:rsid w:val="002F15E3"/>
    <w:rsid w:val="002F1C62"/>
    <w:rsid w:val="002F1CD4"/>
    <w:rsid w:val="002F1DA9"/>
    <w:rsid w:val="002F1F1F"/>
    <w:rsid w:val="002F27AC"/>
    <w:rsid w:val="002F3375"/>
    <w:rsid w:val="002F3540"/>
    <w:rsid w:val="002F3890"/>
    <w:rsid w:val="002F547B"/>
    <w:rsid w:val="002F5B1B"/>
    <w:rsid w:val="002F5DB6"/>
    <w:rsid w:val="002F5E94"/>
    <w:rsid w:val="002F5EEE"/>
    <w:rsid w:val="002F70A2"/>
    <w:rsid w:val="002F71C3"/>
    <w:rsid w:val="002F74DC"/>
    <w:rsid w:val="003000B8"/>
    <w:rsid w:val="0030041A"/>
    <w:rsid w:val="003007F9"/>
    <w:rsid w:val="00300868"/>
    <w:rsid w:val="00300FF0"/>
    <w:rsid w:val="00301CD5"/>
    <w:rsid w:val="00301F6D"/>
    <w:rsid w:val="00302B65"/>
    <w:rsid w:val="003032BB"/>
    <w:rsid w:val="0030381C"/>
    <w:rsid w:val="003039BC"/>
    <w:rsid w:val="003041B3"/>
    <w:rsid w:val="003042D1"/>
    <w:rsid w:val="00304621"/>
    <w:rsid w:val="00305251"/>
    <w:rsid w:val="00305E15"/>
    <w:rsid w:val="00306B88"/>
    <w:rsid w:val="00306D70"/>
    <w:rsid w:val="00306F52"/>
    <w:rsid w:val="003075A2"/>
    <w:rsid w:val="003106D8"/>
    <w:rsid w:val="003107DB"/>
    <w:rsid w:val="00310D70"/>
    <w:rsid w:val="00311382"/>
    <w:rsid w:val="0031173B"/>
    <w:rsid w:val="00311C98"/>
    <w:rsid w:val="00312918"/>
    <w:rsid w:val="00312A17"/>
    <w:rsid w:val="00313115"/>
    <w:rsid w:val="00313203"/>
    <w:rsid w:val="00313B69"/>
    <w:rsid w:val="00313EC6"/>
    <w:rsid w:val="0031448E"/>
    <w:rsid w:val="00314561"/>
    <w:rsid w:val="00314792"/>
    <w:rsid w:val="003147F9"/>
    <w:rsid w:val="00314FDA"/>
    <w:rsid w:val="00314FE5"/>
    <w:rsid w:val="003152F3"/>
    <w:rsid w:val="0031557A"/>
    <w:rsid w:val="0031558F"/>
    <w:rsid w:val="003163FB"/>
    <w:rsid w:val="003164CE"/>
    <w:rsid w:val="00316673"/>
    <w:rsid w:val="00316D95"/>
    <w:rsid w:val="00317053"/>
    <w:rsid w:val="0031709D"/>
    <w:rsid w:val="0031738D"/>
    <w:rsid w:val="00320315"/>
    <w:rsid w:val="00320628"/>
    <w:rsid w:val="00320828"/>
    <w:rsid w:val="003209DA"/>
    <w:rsid w:val="00321084"/>
    <w:rsid w:val="003235A0"/>
    <w:rsid w:val="003236FE"/>
    <w:rsid w:val="00323A23"/>
    <w:rsid w:val="00323D2E"/>
    <w:rsid w:val="00324035"/>
    <w:rsid w:val="00324786"/>
    <w:rsid w:val="003248C9"/>
    <w:rsid w:val="00324B2B"/>
    <w:rsid w:val="00324BC4"/>
    <w:rsid w:val="00324F3F"/>
    <w:rsid w:val="00325E2B"/>
    <w:rsid w:val="00326CAA"/>
    <w:rsid w:val="00327081"/>
    <w:rsid w:val="00327A24"/>
    <w:rsid w:val="00330F99"/>
    <w:rsid w:val="00331409"/>
    <w:rsid w:val="00331C95"/>
    <w:rsid w:val="00331F7F"/>
    <w:rsid w:val="003326A1"/>
    <w:rsid w:val="0033284C"/>
    <w:rsid w:val="003328E9"/>
    <w:rsid w:val="00332A6C"/>
    <w:rsid w:val="00332FB0"/>
    <w:rsid w:val="003330FA"/>
    <w:rsid w:val="0033344E"/>
    <w:rsid w:val="00333894"/>
    <w:rsid w:val="00333ED4"/>
    <w:rsid w:val="00334BE1"/>
    <w:rsid w:val="00334FA5"/>
    <w:rsid w:val="0033543C"/>
    <w:rsid w:val="003354DC"/>
    <w:rsid w:val="00335893"/>
    <w:rsid w:val="00335B9C"/>
    <w:rsid w:val="00335C5E"/>
    <w:rsid w:val="00335D5A"/>
    <w:rsid w:val="00335F5D"/>
    <w:rsid w:val="0033601D"/>
    <w:rsid w:val="00336A36"/>
    <w:rsid w:val="00337157"/>
    <w:rsid w:val="00337276"/>
    <w:rsid w:val="003374BF"/>
    <w:rsid w:val="0034065B"/>
    <w:rsid w:val="00340C09"/>
    <w:rsid w:val="00340E0B"/>
    <w:rsid w:val="00341293"/>
    <w:rsid w:val="00341F3C"/>
    <w:rsid w:val="003427A8"/>
    <w:rsid w:val="0034298D"/>
    <w:rsid w:val="003431A6"/>
    <w:rsid w:val="003434E9"/>
    <w:rsid w:val="0034405B"/>
    <w:rsid w:val="0034433A"/>
    <w:rsid w:val="00344B70"/>
    <w:rsid w:val="00346C8C"/>
    <w:rsid w:val="0034729E"/>
    <w:rsid w:val="003476E1"/>
    <w:rsid w:val="0035019C"/>
    <w:rsid w:val="00350381"/>
    <w:rsid w:val="00350CA0"/>
    <w:rsid w:val="00350D5D"/>
    <w:rsid w:val="00350DE2"/>
    <w:rsid w:val="003512EA"/>
    <w:rsid w:val="003518BD"/>
    <w:rsid w:val="00351E9F"/>
    <w:rsid w:val="00352999"/>
    <w:rsid w:val="00352FB7"/>
    <w:rsid w:val="00352FE8"/>
    <w:rsid w:val="003530C5"/>
    <w:rsid w:val="00353EF4"/>
    <w:rsid w:val="0035590B"/>
    <w:rsid w:val="00355F85"/>
    <w:rsid w:val="00355FBB"/>
    <w:rsid w:val="00356304"/>
    <w:rsid w:val="00356954"/>
    <w:rsid w:val="003578D5"/>
    <w:rsid w:val="003578E3"/>
    <w:rsid w:val="00357E0D"/>
    <w:rsid w:val="00360343"/>
    <w:rsid w:val="00362044"/>
    <w:rsid w:val="00362064"/>
    <w:rsid w:val="003624CB"/>
    <w:rsid w:val="00362C31"/>
    <w:rsid w:val="00362C49"/>
    <w:rsid w:val="003635C5"/>
    <w:rsid w:val="0036361E"/>
    <w:rsid w:val="00363D2D"/>
    <w:rsid w:val="00363F1F"/>
    <w:rsid w:val="0036413A"/>
    <w:rsid w:val="003645CD"/>
    <w:rsid w:val="00365CD4"/>
    <w:rsid w:val="00365EAA"/>
    <w:rsid w:val="00366082"/>
    <w:rsid w:val="00366448"/>
    <w:rsid w:val="0036768A"/>
    <w:rsid w:val="00370A73"/>
    <w:rsid w:val="00370FFA"/>
    <w:rsid w:val="00371261"/>
    <w:rsid w:val="00372029"/>
    <w:rsid w:val="003725DB"/>
    <w:rsid w:val="00372AF2"/>
    <w:rsid w:val="00372E23"/>
    <w:rsid w:val="003731CA"/>
    <w:rsid w:val="0037352E"/>
    <w:rsid w:val="0037380F"/>
    <w:rsid w:val="00373AB7"/>
    <w:rsid w:val="00373B96"/>
    <w:rsid w:val="003740AD"/>
    <w:rsid w:val="00374B2A"/>
    <w:rsid w:val="00374E38"/>
    <w:rsid w:val="003754EA"/>
    <w:rsid w:val="003757F0"/>
    <w:rsid w:val="003758BE"/>
    <w:rsid w:val="00376110"/>
    <w:rsid w:val="003763AA"/>
    <w:rsid w:val="00376494"/>
    <w:rsid w:val="003764AC"/>
    <w:rsid w:val="003766DD"/>
    <w:rsid w:val="003771D1"/>
    <w:rsid w:val="003778BF"/>
    <w:rsid w:val="00377F67"/>
    <w:rsid w:val="00380221"/>
    <w:rsid w:val="00380FB5"/>
    <w:rsid w:val="00381706"/>
    <w:rsid w:val="003822FE"/>
    <w:rsid w:val="00382AB7"/>
    <w:rsid w:val="00382DB4"/>
    <w:rsid w:val="00383532"/>
    <w:rsid w:val="00384D3D"/>
    <w:rsid w:val="00384FFF"/>
    <w:rsid w:val="003852E3"/>
    <w:rsid w:val="00385D2B"/>
    <w:rsid w:val="0038604A"/>
    <w:rsid w:val="003862F8"/>
    <w:rsid w:val="0038725C"/>
    <w:rsid w:val="00387510"/>
    <w:rsid w:val="00387F73"/>
    <w:rsid w:val="00390F86"/>
    <w:rsid w:val="00391637"/>
    <w:rsid w:val="0039186C"/>
    <w:rsid w:val="00391A53"/>
    <w:rsid w:val="003929DA"/>
    <w:rsid w:val="00392C08"/>
    <w:rsid w:val="00393811"/>
    <w:rsid w:val="00393EDC"/>
    <w:rsid w:val="00394AA6"/>
    <w:rsid w:val="0039510F"/>
    <w:rsid w:val="003951C7"/>
    <w:rsid w:val="00395C5B"/>
    <w:rsid w:val="00395F44"/>
    <w:rsid w:val="003960F4"/>
    <w:rsid w:val="003961AA"/>
    <w:rsid w:val="00396704"/>
    <w:rsid w:val="00396EC8"/>
    <w:rsid w:val="003977D2"/>
    <w:rsid w:val="0039792F"/>
    <w:rsid w:val="003A0DFD"/>
    <w:rsid w:val="003A1606"/>
    <w:rsid w:val="003A1A9D"/>
    <w:rsid w:val="003A1BAD"/>
    <w:rsid w:val="003A27EB"/>
    <w:rsid w:val="003A29BE"/>
    <w:rsid w:val="003A2B89"/>
    <w:rsid w:val="003A2BEB"/>
    <w:rsid w:val="003A349A"/>
    <w:rsid w:val="003A3969"/>
    <w:rsid w:val="003A3DDE"/>
    <w:rsid w:val="003A41D5"/>
    <w:rsid w:val="003A4BDE"/>
    <w:rsid w:val="003A5371"/>
    <w:rsid w:val="003A767F"/>
    <w:rsid w:val="003A76AA"/>
    <w:rsid w:val="003A7FE2"/>
    <w:rsid w:val="003B002C"/>
    <w:rsid w:val="003B09F1"/>
    <w:rsid w:val="003B227F"/>
    <w:rsid w:val="003B2445"/>
    <w:rsid w:val="003B24DA"/>
    <w:rsid w:val="003B2C09"/>
    <w:rsid w:val="003B37A9"/>
    <w:rsid w:val="003B3BA1"/>
    <w:rsid w:val="003B4894"/>
    <w:rsid w:val="003B4994"/>
    <w:rsid w:val="003B5327"/>
    <w:rsid w:val="003B57EC"/>
    <w:rsid w:val="003B5E05"/>
    <w:rsid w:val="003B6221"/>
    <w:rsid w:val="003B76BD"/>
    <w:rsid w:val="003B771D"/>
    <w:rsid w:val="003B7852"/>
    <w:rsid w:val="003B797D"/>
    <w:rsid w:val="003C0152"/>
    <w:rsid w:val="003C034B"/>
    <w:rsid w:val="003C03C9"/>
    <w:rsid w:val="003C06D6"/>
    <w:rsid w:val="003C0D33"/>
    <w:rsid w:val="003C0EF3"/>
    <w:rsid w:val="003C18BB"/>
    <w:rsid w:val="003C1B25"/>
    <w:rsid w:val="003C1C59"/>
    <w:rsid w:val="003C2208"/>
    <w:rsid w:val="003C2EF1"/>
    <w:rsid w:val="003C3612"/>
    <w:rsid w:val="003C3B11"/>
    <w:rsid w:val="003C3C30"/>
    <w:rsid w:val="003C5A86"/>
    <w:rsid w:val="003C5AF6"/>
    <w:rsid w:val="003C5ED8"/>
    <w:rsid w:val="003C72AA"/>
    <w:rsid w:val="003C72E1"/>
    <w:rsid w:val="003C7D91"/>
    <w:rsid w:val="003C7E07"/>
    <w:rsid w:val="003D05C6"/>
    <w:rsid w:val="003D088C"/>
    <w:rsid w:val="003D097D"/>
    <w:rsid w:val="003D1D09"/>
    <w:rsid w:val="003D1FAD"/>
    <w:rsid w:val="003D2AFB"/>
    <w:rsid w:val="003D2B7E"/>
    <w:rsid w:val="003D3202"/>
    <w:rsid w:val="003D36BF"/>
    <w:rsid w:val="003D3DD0"/>
    <w:rsid w:val="003D40AE"/>
    <w:rsid w:val="003D40C5"/>
    <w:rsid w:val="003D4451"/>
    <w:rsid w:val="003D4D4C"/>
    <w:rsid w:val="003D54FC"/>
    <w:rsid w:val="003D5CED"/>
    <w:rsid w:val="003D67C9"/>
    <w:rsid w:val="003D6C51"/>
    <w:rsid w:val="003D73E2"/>
    <w:rsid w:val="003D761A"/>
    <w:rsid w:val="003D787F"/>
    <w:rsid w:val="003E01A1"/>
    <w:rsid w:val="003E0668"/>
    <w:rsid w:val="003E06BC"/>
    <w:rsid w:val="003E105B"/>
    <w:rsid w:val="003E11E2"/>
    <w:rsid w:val="003E15E4"/>
    <w:rsid w:val="003E17DF"/>
    <w:rsid w:val="003E1D69"/>
    <w:rsid w:val="003E2CD4"/>
    <w:rsid w:val="003E2D6E"/>
    <w:rsid w:val="003E3906"/>
    <w:rsid w:val="003E3C05"/>
    <w:rsid w:val="003E3F97"/>
    <w:rsid w:val="003E4348"/>
    <w:rsid w:val="003E455A"/>
    <w:rsid w:val="003E46F5"/>
    <w:rsid w:val="003E4B12"/>
    <w:rsid w:val="003E4DC2"/>
    <w:rsid w:val="003E4DCB"/>
    <w:rsid w:val="003E4FA3"/>
    <w:rsid w:val="003E511B"/>
    <w:rsid w:val="003E5217"/>
    <w:rsid w:val="003E535C"/>
    <w:rsid w:val="003E59BC"/>
    <w:rsid w:val="003E59C0"/>
    <w:rsid w:val="003E5C43"/>
    <w:rsid w:val="003E6222"/>
    <w:rsid w:val="003E6F48"/>
    <w:rsid w:val="003E7D97"/>
    <w:rsid w:val="003F027C"/>
    <w:rsid w:val="003F0297"/>
    <w:rsid w:val="003F05F7"/>
    <w:rsid w:val="003F116F"/>
    <w:rsid w:val="003F1CC9"/>
    <w:rsid w:val="003F2BC7"/>
    <w:rsid w:val="003F3109"/>
    <w:rsid w:val="003F39E4"/>
    <w:rsid w:val="003F3C6E"/>
    <w:rsid w:val="003F4609"/>
    <w:rsid w:val="003F4B2E"/>
    <w:rsid w:val="003F4B32"/>
    <w:rsid w:val="003F5C98"/>
    <w:rsid w:val="003F61B4"/>
    <w:rsid w:val="003F6222"/>
    <w:rsid w:val="003F7016"/>
    <w:rsid w:val="003F75A1"/>
    <w:rsid w:val="003F7F85"/>
    <w:rsid w:val="00400277"/>
    <w:rsid w:val="00400429"/>
    <w:rsid w:val="00400469"/>
    <w:rsid w:val="0040046E"/>
    <w:rsid w:val="00400BE1"/>
    <w:rsid w:val="004011A2"/>
    <w:rsid w:val="00401B04"/>
    <w:rsid w:val="00402766"/>
    <w:rsid w:val="00403287"/>
    <w:rsid w:val="00403411"/>
    <w:rsid w:val="00403D61"/>
    <w:rsid w:val="00403E66"/>
    <w:rsid w:val="00403EA8"/>
    <w:rsid w:val="00406120"/>
    <w:rsid w:val="00406262"/>
    <w:rsid w:val="00406392"/>
    <w:rsid w:val="0040684F"/>
    <w:rsid w:val="004068A4"/>
    <w:rsid w:val="0040697D"/>
    <w:rsid w:val="00406E31"/>
    <w:rsid w:val="004071E6"/>
    <w:rsid w:val="004071FC"/>
    <w:rsid w:val="0040776B"/>
    <w:rsid w:val="00407F6A"/>
    <w:rsid w:val="004102D1"/>
    <w:rsid w:val="004117B6"/>
    <w:rsid w:val="00411AD5"/>
    <w:rsid w:val="00411F94"/>
    <w:rsid w:val="00411FAB"/>
    <w:rsid w:val="00412104"/>
    <w:rsid w:val="0041276E"/>
    <w:rsid w:val="00413019"/>
    <w:rsid w:val="00413CCD"/>
    <w:rsid w:val="00414A0B"/>
    <w:rsid w:val="0041518C"/>
    <w:rsid w:val="00415466"/>
    <w:rsid w:val="00415C5F"/>
    <w:rsid w:val="00415FDC"/>
    <w:rsid w:val="004168A9"/>
    <w:rsid w:val="004169B8"/>
    <w:rsid w:val="00416C45"/>
    <w:rsid w:val="00417B88"/>
    <w:rsid w:val="00417EA6"/>
    <w:rsid w:val="004204DD"/>
    <w:rsid w:val="004204E7"/>
    <w:rsid w:val="00421225"/>
    <w:rsid w:val="0042304C"/>
    <w:rsid w:val="00423073"/>
    <w:rsid w:val="00423697"/>
    <w:rsid w:val="00423926"/>
    <w:rsid w:val="004244FF"/>
    <w:rsid w:val="004249E9"/>
    <w:rsid w:val="00424C2D"/>
    <w:rsid w:val="0042503C"/>
    <w:rsid w:val="00425153"/>
    <w:rsid w:val="0042573D"/>
    <w:rsid w:val="00425771"/>
    <w:rsid w:val="00425917"/>
    <w:rsid w:val="00426263"/>
    <w:rsid w:val="00426493"/>
    <w:rsid w:val="004268D0"/>
    <w:rsid w:val="0042698A"/>
    <w:rsid w:val="00426C75"/>
    <w:rsid w:val="00427360"/>
    <w:rsid w:val="00427BAB"/>
    <w:rsid w:val="00427E5F"/>
    <w:rsid w:val="00427F07"/>
    <w:rsid w:val="0043048F"/>
    <w:rsid w:val="004307D5"/>
    <w:rsid w:val="00430F3A"/>
    <w:rsid w:val="00431549"/>
    <w:rsid w:val="004317A2"/>
    <w:rsid w:val="00431E48"/>
    <w:rsid w:val="00431EFA"/>
    <w:rsid w:val="004323BB"/>
    <w:rsid w:val="004328A6"/>
    <w:rsid w:val="00433280"/>
    <w:rsid w:val="00434319"/>
    <w:rsid w:val="00434A81"/>
    <w:rsid w:val="00434F30"/>
    <w:rsid w:val="00436565"/>
    <w:rsid w:val="00436E67"/>
    <w:rsid w:val="004371B6"/>
    <w:rsid w:val="0043739B"/>
    <w:rsid w:val="00440768"/>
    <w:rsid w:val="00441393"/>
    <w:rsid w:val="00442625"/>
    <w:rsid w:val="00442A79"/>
    <w:rsid w:val="00442F8B"/>
    <w:rsid w:val="00442F8E"/>
    <w:rsid w:val="00443432"/>
    <w:rsid w:val="00443986"/>
    <w:rsid w:val="00443B5A"/>
    <w:rsid w:val="00444A74"/>
    <w:rsid w:val="00444C4D"/>
    <w:rsid w:val="00444CC6"/>
    <w:rsid w:val="00445015"/>
    <w:rsid w:val="004450B0"/>
    <w:rsid w:val="00445755"/>
    <w:rsid w:val="00445AE6"/>
    <w:rsid w:val="00445D3C"/>
    <w:rsid w:val="00445FDD"/>
    <w:rsid w:val="0044634C"/>
    <w:rsid w:val="00446432"/>
    <w:rsid w:val="004464BC"/>
    <w:rsid w:val="00446566"/>
    <w:rsid w:val="00447140"/>
    <w:rsid w:val="004474CE"/>
    <w:rsid w:val="004474FC"/>
    <w:rsid w:val="0044755B"/>
    <w:rsid w:val="004475A7"/>
    <w:rsid w:val="00447980"/>
    <w:rsid w:val="00447FAC"/>
    <w:rsid w:val="0045023E"/>
    <w:rsid w:val="0045061B"/>
    <w:rsid w:val="004508A5"/>
    <w:rsid w:val="00450AC8"/>
    <w:rsid w:val="00450C0C"/>
    <w:rsid w:val="004512B3"/>
    <w:rsid w:val="004512C6"/>
    <w:rsid w:val="0045218F"/>
    <w:rsid w:val="00452283"/>
    <w:rsid w:val="004526B5"/>
    <w:rsid w:val="00452C6D"/>
    <w:rsid w:val="004535B2"/>
    <w:rsid w:val="004540E8"/>
    <w:rsid w:val="0045488C"/>
    <w:rsid w:val="004548F5"/>
    <w:rsid w:val="00454D8F"/>
    <w:rsid w:val="00454E0D"/>
    <w:rsid w:val="0045549B"/>
    <w:rsid w:val="004557BD"/>
    <w:rsid w:val="00455D11"/>
    <w:rsid w:val="00455ED0"/>
    <w:rsid w:val="00456434"/>
    <w:rsid w:val="0045688B"/>
    <w:rsid w:val="004570E0"/>
    <w:rsid w:val="004572C1"/>
    <w:rsid w:val="0045732D"/>
    <w:rsid w:val="00457843"/>
    <w:rsid w:val="0046087E"/>
    <w:rsid w:val="004615D7"/>
    <w:rsid w:val="004618F2"/>
    <w:rsid w:val="00462765"/>
    <w:rsid w:val="00462775"/>
    <w:rsid w:val="00462BB3"/>
    <w:rsid w:val="00462CA0"/>
    <w:rsid w:val="00462D52"/>
    <w:rsid w:val="00463231"/>
    <w:rsid w:val="00463D12"/>
    <w:rsid w:val="00464DB7"/>
    <w:rsid w:val="00465185"/>
    <w:rsid w:val="0046537B"/>
    <w:rsid w:val="0046538D"/>
    <w:rsid w:val="00465D56"/>
    <w:rsid w:val="00466794"/>
    <w:rsid w:val="00466D89"/>
    <w:rsid w:val="00467104"/>
    <w:rsid w:val="0046724E"/>
    <w:rsid w:val="004704F5"/>
    <w:rsid w:val="004712F5"/>
    <w:rsid w:val="00471556"/>
    <w:rsid w:val="00471848"/>
    <w:rsid w:val="00471A5E"/>
    <w:rsid w:val="00471C23"/>
    <w:rsid w:val="00472461"/>
    <w:rsid w:val="00472843"/>
    <w:rsid w:val="004735CD"/>
    <w:rsid w:val="00473D0C"/>
    <w:rsid w:val="004744E9"/>
    <w:rsid w:val="00474C18"/>
    <w:rsid w:val="0047598D"/>
    <w:rsid w:val="00476590"/>
    <w:rsid w:val="00476AD4"/>
    <w:rsid w:val="00476CD5"/>
    <w:rsid w:val="00477150"/>
    <w:rsid w:val="00477502"/>
    <w:rsid w:val="004777B6"/>
    <w:rsid w:val="00477E9B"/>
    <w:rsid w:val="004801C7"/>
    <w:rsid w:val="00480F3E"/>
    <w:rsid w:val="00481666"/>
    <w:rsid w:val="004825F5"/>
    <w:rsid w:val="0048387C"/>
    <w:rsid w:val="0048472D"/>
    <w:rsid w:val="0048496B"/>
    <w:rsid w:val="00484A39"/>
    <w:rsid w:val="00484CDC"/>
    <w:rsid w:val="00485261"/>
    <w:rsid w:val="00485336"/>
    <w:rsid w:val="004855D6"/>
    <w:rsid w:val="004856A6"/>
    <w:rsid w:val="00485726"/>
    <w:rsid w:val="00485864"/>
    <w:rsid w:val="00485C25"/>
    <w:rsid w:val="00485CDB"/>
    <w:rsid w:val="0048659E"/>
    <w:rsid w:val="0048739C"/>
    <w:rsid w:val="0049095B"/>
    <w:rsid w:val="00490D10"/>
    <w:rsid w:val="004910BA"/>
    <w:rsid w:val="004913DA"/>
    <w:rsid w:val="00491B85"/>
    <w:rsid w:val="00492251"/>
    <w:rsid w:val="004922DC"/>
    <w:rsid w:val="0049254F"/>
    <w:rsid w:val="00492872"/>
    <w:rsid w:val="00492AE4"/>
    <w:rsid w:val="00492CE6"/>
    <w:rsid w:val="004934E4"/>
    <w:rsid w:val="00493748"/>
    <w:rsid w:val="0049449E"/>
    <w:rsid w:val="004948C4"/>
    <w:rsid w:val="00494ED0"/>
    <w:rsid w:val="004953B3"/>
    <w:rsid w:val="004955A9"/>
    <w:rsid w:val="004956D1"/>
    <w:rsid w:val="00495F78"/>
    <w:rsid w:val="0049714F"/>
    <w:rsid w:val="004972D8"/>
    <w:rsid w:val="004976C2"/>
    <w:rsid w:val="00497AAB"/>
    <w:rsid w:val="00497D52"/>
    <w:rsid w:val="00497F98"/>
    <w:rsid w:val="00497FE4"/>
    <w:rsid w:val="004A0017"/>
    <w:rsid w:val="004A0061"/>
    <w:rsid w:val="004A0451"/>
    <w:rsid w:val="004A0490"/>
    <w:rsid w:val="004A059D"/>
    <w:rsid w:val="004A082B"/>
    <w:rsid w:val="004A083A"/>
    <w:rsid w:val="004A09F8"/>
    <w:rsid w:val="004A0F09"/>
    <w:rsid w:val="004A149B"/>
    <w:rsid w:val="004A1F1F"/>
    <w:rsid w:val="004A20E5"/>
    <w:rsid w:val="004A26FB"/>
    <w:rsid w:val="004A2E2E"/>
    <w:rsid w:val="004A30FB"/>
    <w:rsid w:val="004A34EE"/>
    <w:rsid w:val="004A36BF"/>
    <w:rsid w:val="004A3B68"/>
    <w:rsid w:val="004A4ABA"/>
    <w:rsid w:val="004A4CE5"/>
    <w:rsid w:val="004A5282"/>
    <w:rsid w:val="004A5361"/>
    <w:rsid w:val="004A588E"/>
    <w:rsid w:val="004A5F83"/>
    <w:rsid w:val="004A6B4A"/>
    <w:rsid w:val="004A7114"/>
    <w:rsid w:val="004A73AB"/>
    <w:rsid w:val="004A740D"/>
    <w:rsid w:val="004A7DE1"/>
    <w:rsid w:val="004B0155"/>
    <w:rsid w:val="004B025A"/>
    <w:rsid w:val="004B0376"/>
    <w:rsid w:val="004B0918"/>
    <w:rsid w:val="004B1452"/>
    <w:rsid w:val="004B1F49"/>
    <w:rsid w:val="004B23AC"/>
    <w:rsid w:val="004B25C4"/>
    <w:rsid w:val="004B2F1B"/>
    <w:rsid w:val="004B31DD"/>
    <w:rsid w:val="004B3817"/>
    <w:rsid w:val="004B3917"/>
    <w:rsid w:val="004B3A24"/>
    <w:rsid w:val="004B3C57"/>
    <w:rsid w:val="004B430D"/>
    <w:rsid w:val="004B551B"/>
    <w:rsid w:val="004B57AE"/>
    <w:rsid w:val="004B5C8B"/>
    <w:rsid w:val="004B6418"/>
    <w:rsid w:val="004B6B1C"/>
    <w:rsid w:val="004B7059"/>
    <w:rsid w:val="004B7417"/>
    <w:rsid w:val="004B7668"/>
    <w:rsid w:val="004B7BF7"/>
    <w:rsid w:val="004B7EB4"/>
    <w:rsid w:val="004C10D3"/>
    <w:rsid w:val="004C241A"/>
    <w:rsid w:val="004C29A2"/>
    <w:rsid w:val="004C2B7F"/>
    <w:rsid w:val="004C2F64"/>
    <w:rsid w:val="004C395A"/>
    <w:rsid w:val="004C3F06"/>
    <w:rsid w:val="004C3FAF"/>
    <w:rsid w:val="004C41A8"/>
    <w:rsid w:val="004C428E"/>
    <w:rsid w:val="004C444A"/>
    <w:rsid w:val="004C4E3C"/>
    <w:rsid w:val="004C5696"/>
    <w:rsid w:val="004C5A1A"/>
    <w:rsid w:val="004C5FD3"/>
    <w:rsid w:val="004C6030"/>
    <w:rsid w:val="004C6D86"/>
    <w:rsid w:val="004C75CB"/>
    <w:rsid w:val="004D0A71"/>
    <w:rsid w:val="004D0C4D"/>
    <w:rsid w:val="004D0ECF"/>
    <w:rsid w:val="004D126E"/>
    <w:rsid w:val="004D14D0"/>
    <w:rsid w:val="004D2B47"/>
    <w:rsid w:val="004D2C23"/>
    <w:rsid w:val="004D34D9"/>
    <w:rsid w:val="004D36CB"/>
    <w:rsid w:val="004D3B13"/>
    <w:rsid w:val="004D43D4"/>
    <w:rsid w:val="004D4EB5"/>
    <w:rsid w:val="004D4FFC"/>
    <w:rsid w:val="004D5732"/>
    <w:rsid w:val="004D5D68"/>
    <w:rsid w:val="004D5F47"/>
    <w:rsid w:val="004D651A"/>
    <w:rsid w:val="004D6E47"/>
    <w:rsid w:val="004D7D79"/>
    <w:rsid w:val="004D7FB1"/>
    <w:rsid w:val="004E0293"/>
    <w:rsid w:val="004E082A"/>
    <w:rsid w:val="004E215D"/>
    <w:rsid w:val="004E2827"/>
    <w:rsid w:val="004E36A6"/>
    <w:rsid w:val="004E36E3"/>
    <w:rsid w:val="004E3E6D"/>
    <w:rsid w:val="004E4825"/>
    <w:rsid w:val="004E495C"/>
    <w:rsid w:val="004E5785"/>
    <w:rsid w:val="004E5FC7"/>
    <w:rsid w:val="004E6BC6"/>
    <w:rsid w:val="004E712E"/>
    <w:rsid w:val="004E7267"/>
    <w:rsid w:val="004E72AC"/>
    <w:rsid w:val="004E76C4"/>
    <w:rsid w:val="004E7701"/>
    <w:rsid w:val="004E7F33"/>
    <w:rsid w:val="004F0653"/>
    <w:rsid w:val="004F0BD7"/>
    <w:rsid w:val="004F1586"/>
    <w:rsid w:val="004F18F1"/>
    <w:rsid w:val="004F2280"/>
    <w:rsid w:val="004F283B"/>
    <w:rsid w:val="004F2C1A"/>
    <w:rsid w:val="004F3304"/>
    <w:rsid w:val="004F41C8"/>
    <w:rsid w:val="004F53B9"/>
    <w:rsid w:val="004F5B9F"/>
    <w:rsid w:val="004F5C32"/>
    <w:rsid w:val="004F5D6A"/>
    <w:rsid w:val="004F5FA3"/>
    <w:rsid w:val="004F6358"/>
    <w:rsid w:val="004F69A9"/>
    <w:rsid w:val="004F7DDF"/>
    <w:rsid w:val="00500B8A"/>
    <w:rsid w:val="00500D4D"/>
    <w:rsid w:val="005014AB"/>
    <w:rsid w:val="00501FD5"/>
    <w:rsid w:val="00502DD4"/>
    <w:rsid w:val="00502F54"/>
    <w:rsid w:val="00503965"/>
    <w:rsid w:val="00503A9F"/>
    <w:rsid w:val="00504436"/>
    <w:rsid w:val="00504996"/>
    <w:rsid w:val="00504B94"/>
    <w:rsid w:val="005052F6"/>
    <w:rsid w:val="00505564"/>
    <w:rsid w:val="0050600C"/>
    <w:rsid w:val="005060B9"/>
    <w:rsid w:val="005060D2"/>
    <w:rsid w:val="00507088"/>
    <w:rsid w:val="005074D0"/>
    <w:rsid w:val="00510D1A"/>
    <w:rsid w:val="00510D5B"/>
    <w:rsid w:val="00510DB2"/>
    <w:rsid w:val="0051105D"/>
    <w:rsid w:val="00511182"/>
    <w:rsid w:val="00511D0E"/>
    <w:rsid w:val="00511D54"/>
    <w:rsid w:val="00511D8C"/>
    <w:rsid w:val="0051216B"/>
    <w:rsid w:val="0051289A"/>
    <w:rsid w:val="00512CD9"/>
    <w:rsid w:val="00513647"/>
    <w:rsid w:val="0051365E"/>
    <w:rsid w:val="00514DAE"/>
    <w:rsid w:val="00514FC2"/>
    <w:rsid w:val="0051619E"/>
    <w:rsid w:val="00516432"/>
    <w:rsid w:val="00516B9C"/>
    <w:rsid w:val="00516F19"/>
    <w:rsid w:val="00516F2B"/>
    <w:rsid w:val="0051730B"/>
    <w:rsid w:val="0051773D"/>
    <w:rsid w:val="00517E62"/>
    <w:rsid w:val="00520009"/>
    <w:rsid w:val="00520314"/>
    <w:rsid w:val="0052037A"/>
    <w:rsid w:val="005210BC"/>
    <w:rsid w:val="005211EE"/>
    <w:rsid w:val="005217C6"/>
    <w:rsid w:val="00522555"/>
    <w:rsid w:val="00522F08"/>
    <w:rsid w:val="0052354A"/>
    <w:rsid w:val="00523966"/>
    <w:rsid w:val="00523BD8"/>
    <w:rsid w:val="00523E1E"/>
    <w:rsid w:val="00524041"/>
    <w:rsid w:val="005247A1"/>
    <w:rsid w:val="00524FAD"/>
    <w:rsid w:val="00526C08"/>
    <w:rsid w:val="00527421"/>
    <w:rsid w:val="0052768B"/>
    <w:rsid w:val="005277D1"/>
    <w:rsid w:val="00527D51"/>
    <w:rsid w:val="00530F17"/>
    <w:rsid w:val="0053117D"/>
    <w:rsid w:val="005312DA"/>
    <w:rsid w:val="00531373"/>
    <w:rsid w:val="00531652"/>
    <w:rsid w:val="00532A6D"/>
    <w:rsid w:val="00532D8C"/>
    <w:rsid w:val="00532DDC"/>
    <w:rsid w:val="00532F4C"/>
    <w:rsid w:val="0053312D"/>
    <w:rsid w:val="00533389"/>
    <w:rsid w:val="005340BF"/>
    <w:rsid w:val="0053506E"/>
    <w:rsid w:val="0053574B"/>
    <w:rsid w:val="005359E3"/>
    <w:rsid w:val="00535B6D"/>
    <w:rsid w:val="00535FE2"/>
    <w:rsid w:val="0053759A"/>
    <w:rsid w:val="005376DD"/>
    <w:rsid w:val="0053794B"/>
    <w:rsid w:val="005405DC"/>
    <w:rsid w:val="00540A3F"/>
    <w:rsid w:val="00540B28"/>
    <w:rsid w:val="00541281"/>
    <w:rsid w:val="005412BC"/>
    <w:rsid w:val="00541492"/>
    <w:rsid w:val="005416B5"/>
    <w:rsid w:val="00541D7B"/>
    <w:rsid w:val="00541DC9"/>
    <w:rsid w:val="0054210C"/>
    <w:rsid w:val="00542127"/>
    <w:rsid w:val="0054232A"/>
    <w:rsid w:val="005428E5"/>
    <w:rsid w:val="00542938"/>
    <w:rsid w:val="00542BB6"/>
    <w:rsid w:val="00542D0E"/>
    <w:rsid w:val="00543470"/>
    <w:rsid w:val="0054349F"/>
    <w:rsid w:val="00543603"/>
    <w:rsid w:val="00544BCE"/>
    <w:rsid w:val="00545054"/>
    <w:rsid w:val="005453FA"/>
    <w:rsid w:val="0054549B"/>
    <w:rsid w:val="00545597"/>
    <w:rsid w:val="00545713"/>
    <w:rsid w:val="0054585E"/>
    <w:rsid w:val="00545BD9"/>
    <w:rsid w:val="00545E6E"/>
    <w:rsid w:val="00546039"/>
    <w:rsid w:val="0054657D"/>
    <w:rsid w:val="00547483"/>
    <w:rsid w:val="005474F1"/>
    <w:rsid w:val="005475A8"/>
    <w:rsid w:val="00547B72"/>
    <w:rsid w:val="00550060"/>
    <w:rsid w:val="0055173E"/>
    <w:rsid w:val="0055209D"/>
    <w:rsid w:val="005528E8"/>
    <w:rsid w:val="00552DD3"/>
    <w:rsid w:val="00552FB0"/>
    <w:rsid w:val="00553123"/>
    <w:rsid w:val="00553A43"/>
    <w:rsid w:val="00553A54"/>
    <w:rsid w:val="00553ABB"/>
    <w:rsid w:val="00553ED1"/>
    <w:rsid w:val="00554EC4"/>
    <w:rsid w:val="0055527B"/>
    <w:rsid w:val="00555F02"/>
    <w:rsid w:val="00556133"/>
    <w:rsid w:val="00556FF7"/>
    <w:rsid w:val="00557003"/>
    <w:rsid w:val="0055730E"/>
    <w:rsid w:val="005579F5"/>
    <w:rsid w:val="00557EE3"/>
    <w:rsid w:val="00560971"/>
    <w:rsid w:val="00560AAA"/>
    <w:rsid w:val="00560D0A"/>
    <w:rsid w:val="005613E0"/>
    <w:rsid w:val="00561632"/>
    <w:rsid w:val="00561946"/>
    <w:rsid w:val="005620F1"/>
    <w:rsid w:val="0056286F"/>
    <w:rsid w:val="00562F35"/>
    <w:rsid w:val="005631EB"/>
    <w:rsid w:val="00563600"/>
    <w:rsid w:val="005648AE"/>
    <w:rsid w:val="00564CB2"/>
    <w:rsid w:val="00564FA7"/>
    <w:rsid w:val="0056529B"/>
    <w:rsid w:val="005661D5"/>
    <w:rsid w:val="005664F1"/>
    <w:rsid w:val="00566600"/>
    <w:rsid w:val="00566D51"/>
    <w:rsid w:val="00566DF9"/>
    <w:rsid w:val="00566E1C"/>
    <w:rsid w:val="00566FF3"/>
    <w:rsid w:val="005670B5"/>
    <w:rsid w:val="0056775D"/>
    <w:rsid w:val="0057024D"/>
    <w:rsid w:val="0057050A"/>
    <w:rsid w:val="005709D8"/>
    <w:rsid w:val="00570C81"/>
    <w:rsid w:val="00571DDA"/>
    <w:rsid w:val="00571EAC"/>
    <w:rsid w:val="00571F46"/>
    <w:rsid w:val="00573298"/>
    <w:rsid w:val="0057335C"/>
    <w:rsid w:val="00573C25"/>
    <w:rsid w:val="00575652"/>
    <w:rsid w:val="005760E2"/>
    <w:rsid w:val="005764BE"/>
    <w:rsid w:val="00576515"/>
    <w:rsid w:val="00576717"/>
    <w:rsid w:val="00576959"/>
    <w:rsid w:val="00576B5F"/>
    <w:rsid w:val="00577E4D"/>
    <w:rsid w:val="00580529"/>
    <w:rsid w:val="00580FE5"/>
    <w:rsid w:val="00581583"/>
    <w:rsid w:val="00581952"/>
    <w:rsid w:val="00581B93"/>
    <w:rsid w:val="00582231"/>
    <w:rsid w:val="0058279C"/>
    <w:rsid w:val="00582A59"/>
    <w:rsid w:val="00583952"/>
    <w:rsid w:val="00584684"/>
    <w:rsid w:val="005849DD"/>
    <w:rsid w:val="00585987"/>
    <w:rsid w:val="0058621D"/>
    <w:rsid w:val="00586266"/>
    <w:rsid w:val="00586312"/>
    <w:rsid w:val="005863A2"/>
    <w:rsid w:val="0058653D"/>
    <w:rsid w:val="00586585"/>
    <w:rsid w:val="005869DF"/>
    <w:rsid w:val="00586D6B"/>
    <w:rsid w:val="00587C19"/>
    <w:rsid w:val="00590257"/>
    <w:rsid w:val="0059026C"/>
    <w:rsid w:val="00590B0A"/>
    <w:rsid w:val="00590C18"/>
    <w:rsid w:val="00590E82"/>
    <w:rsid w:val="00591A7B"/>
    <w:rsid w:val="00591BAC"/>
    <w:rsid w:val="00591FC7"/>
    <w:rsid w:val="0059271E"/>
    <w:rsid w:val="00592729"/>
    <w:rsid w:val="00592F79"/>
    <w:rsid w:val="005930C3"/>
    <w:rsid w:val="00593618"/>
    <w:rsid w:val="00593DBA"/>
    <w:rsid w:val="005947B4"/>
    <w:rsid w:val="005948BD"/>
    <w:rsid w:val="00594F32"/>
    <w:rsid w:val="0059524A"/>
    <w:rsid w:val="0059592B"/>
    <w:rsid w:val="00595BB4"/>
    <w:rsid w:val="00596112"/>
    <w:rsid w:val="0059619F"/>
    <w:rsid w:val="00596961"/>
    <w:rsid w:val="005972E4"/>
    <w:rsid w:val="00597542"/>
    <w:rsid w:val="005A0886"/>
    <w:rsid w:val="005A0C4F"/>
    <w:rsid w:val="005A11FC"/>
    <w:rsid w:val="005A1343"/>
    <w:rsid w:val="005A14EC"/>
    <w:rsid w:val="005A15F0"/>
    <w:rsid w:val="005A1843"/>
    <w:rsid w:val="005A1E67"/>
    <w:rsid w:val="005A22E2"/>
    <w:rsid w:val="005A26EA"/>
    <w:rsid w:val="005A3817"/>
    <w:rsid w:val="005A4062"/>
    <w:rsid w:val="005A54B0"/>
    <w:rsid w:val="005A54B8"/>
    <w:rsid w:val="005A573A"/>
    <w:rsid w:val="005A6289"/>
    <w:rsid w:val="005A642B"/>
    <w:rsid w:val="005A652C"/>
    <w:rsid w:val="005A67E5"/>
    <w:rsid w:val="005A6B92"/>
    <w:rsid w:val="005A6BF4"/>
    <w:rsid w:val="005A75C6"/>
    <w:rsid w:val="005A7FDD"/>
    <w:rsid w:val="005B0097"/>
    <w:rsid w:val="005B0726"/>
    <w:rsid w:val="005B13A9"/>
    <w:rsid w:val="005B1653"/>
    <w:rsid w:val="005B1978"/>
    <w:rsid w:val="005B228D"/>
    <w:rsid w:val="005B2966"/>
    <w:rsid w:val="005B2B16"/>
    <w:rsid w:val="005B327D"/>
    <w:rsid w:val="005B3C04"/>
    <w:rsid w:val="005B4241"/>
    <w:rsid w:val="005B4C0D"/>
    <w:rsid w:val="005B597C"/>
    <w:rsid w:val="005B61BB"/>
    <w:rsid w:val="005B635C"/>
    <w:rsid w:val="005B6BBE"/>
    <w:rsid w:val="005B75D7"/>
    <w:rsid w:val="005B7A96"/>
    <w:rsid w:val="005C0110"/>
    <w:rsid w:val="005C0367"/>
    <w:rsid w:val="005C041F"/>
    <w:rsid w:val="005C0AB0"/>
    <w:rsid w:val="005C0BCE"/>
    <w:rsid w:val="005C0CF5"/>
    <w:rsid w:val="005C0D17"/>
    <w:rsid w:val="005C0DE1"/>
    <w:rsid w:val="005C10A6"/>
    <w:rsid w:val="005C1230"/>
    <w:rsid w:val="005C2070"/>
    <w:rsid w:val="005C247C"/>
    <w:rsid w:val="005C2B1C"/>
    <w:rsid w:val="005C3526"/>
    <w:rsid w:val="005C39F7"/>
    <w:rsid w:val="005C4341"/>
    <w:rsid w:val="005C49CC"/>
    <w:rsid w:val="005C4FF7"/>
    <w:rsid w:val="005C54E4"/>
    <w:rsid w:val="005C5E85"/>
    <w:rsid w:val="005C64B0"/>
    <w:rsid w:val="005C6A5F"/>
    <w:rsid w:val="005C70C7"/>
    <w:rsid w:val="005C78AF"/>
    <w:rsid w:val="005D0186"/>
    <w:rsid w:val="005D0A12"/>
    <w:rsid w:val="005D20C0"/>
    <w:rsid w:val="005D2154"/>
    <w:rsid w:val="005D22CE"/>
    <w:rsid w:val="005D2932"/>
    <w:rsid w:val="005D2AFD"/>
    <w:rsid w:val="005D3510"/>
    <w:rsid w:val="005D3E76"/>
    <w:rsid w:val="005D405E"/>
    <w:rsid w:val="005D4459"/>
    <w:rsid w:val="005D486D"/>
    <w:rsid w:val="005D4C05"/>
    <w:rsid w:val="005D4E94"/>
    <w:rsid w:val="005D4FDB"/>
    <w:rsid w:val="005D57C4"/>
    <w:rsid w:val="005D59A0"/>
    <w:rsid w:val="005D6655"/>
    <w:rsid w:val="005D692E"/>
    <w:rsid w:val="005D6B25"/>
    <w:rsid w:val="005D6D88"/>
    <w:rsid w:val="005D7043"/>
    <w:rsid w:val="005D745F"/>
    <w:rsid w:val="005D7501"/>
    <w:rsid w:val="005D7C0E"/>
    <w:rsid w:val="005E06C1"/>
    <w:rsid w:val="005E2E8E"/>
    <w:rsid w:val="005E395D"/>
    <w:rsid w:val="005E3CA0"/>
    <w:rsid w:val="005E3E31"/>
    <w:rsid w:val="005E41D8"/>
    <w:rsid w:val="005E4838"/>
    <w:rsid w:val="005E4901"/>
    <w:rsid w:val="005E499E"/>
    <w:rsid w:val="005E5516"/>
    <w:rsid w:val="005E6286"/>
    <w:rsid w:val="005E6393"/>
    <w:rsid w:val="005E6CC5"/>
    <w:rsid w:val="005E6FD0"/>
    <w:rsid w:val="005E734E"/>
    <w:rsid w:val="005E7419"/>
    <w:rsid w:val="005E7C9B"/>
    <w:rsid w:val="005F16BD"/>
    <w:rsid w:val="005F1BE5"/>
    <w:rsid w:val="005F1D38"/>
    <w:rsid w:val="005F20F4"/>
    <w:rsid w:val="005F227A"/>
    <w:rsid w:val="005F2426"/>
    <w:rsid w:val="005F246E"/>
    <w:rsid w:val="005F26DB"/>
    <w:rsid w:val="005F2948"/>
    <w:rsid w:val="005F2B33"/>
    <w:rsid w:val="005F2F88"/>
    <w:rsid w:val="005F34B4"/>
    <w:rsid w:val="005F3893"/>
    <w:rsid w:val="005F38EF"/>
    <w:rsid w:val="005F3AB6"/>
    <w:rsid w:val="005F4B64"/>
    <w:rsid w:val="005F4BC6"/>
    <w:rsid w:val="005F4E3E"/>
    <w:rsid w:val="005F4EC2"/>
    <w:rsid w:val="005F561D"/>
    <w:rsid w:val="005F57EB"/>
    <w:rsid w:val="005F5BBA"/>
    <w:rsid w:val="005F6348"/>
    <w:rsid w:val="005F6AEC"/>
    <w:rsid w:val="005F6C32"/>
    <w:rsid w:val="005F6FDF"/>
    <w:rsid w:val="005F7A63"/>
    <w:rsid w:val="005F7C4F"/>
    <w:rsid w:val="00600546"/>
    <w:rsid w:val="00600BD8"/>
    <w:rsid w:val="00600EB4"/>
    <w:rsid w:val="00600FC4"/>
    <w:rsid w:val="006016E6"/>
    <w:rsid w:val="00601A13"/>
    <w:rsid w:val="00601B47"/>
    <w:rsid w:val="00601D3B"/>
    <w:rsid w:val="00602AB1"/>
    <w:rsid w:val="00602EB3"/>
    <w:rsid w:val="00603EF1"/>
    <w:rsid w:val="0060424E"/>
    <w:rsid w:val="0060437F"/>
    <w:rsid w:val="00604578"/>
    <w:rsid w:val="00604618"/>
    <w:rsid w:val="0060496F"/>
    <w:rsid w:val="006051C3"/>
    <w:rsid w:val="00605E0D"/>
    <w:rsid w:val="00605EF4"/>
    <w:rsid w:val="006060AB"/>
    <w:rsid w:val="006068A8"/>
    <w:rsid w:val="00606C77"/>
    <w:rsid w:val="00607D9E"/>
    <w:rsid w:val="00607DED"/>
    <w:rsid w:val="00607E5F"/>
    <w:rsid w:val="00610058"/>
    <w:rsid w:val="00610896"/>
    <w:rsid w:val="00611136"/>
    <w:rsid w:val="00611CE8"/>
    <w:rsid w:val="00612579"/>
    <w:rsid w:val="00612633"/>
    <w:rsid w:val="006127B1"/>
    <w:rsid w:val="00612D0C"/>
    <w:rsid w:val="00613906"/>
    <w:rsid w:val="0061473F"/>
    <w:rsid w:val="006149BF"/>
    <w:rsid w:val="00614C03"/>
    <w:rsid w:val="00614D11"/>
    <w:rsid w:val="00614E8C"/>
    <w:rsid w:val="00614FE9"/>
    <w:rsid w:val="0061531E"/>
    <w:rsid w:val="00615AE2"/>
    <w:rsid w:val="00615EB0"/>
    <w:rsid w:val="00617D8D"/>
    <w:rsid w:val="0062076A"/>
    <w:rsid w:val="00621196"/>
    <w:rsid w:val="0062133B"/>
    <w:rsid w:val="0062143B"/>
    <w:rsid w:val="006218F6"/>
    <w:rsid w:val="00622167"/>
    <w:rsid w:val="006222DA"/>
    <w:rsid w:val="00622395"/>
    <w:rsid w:val="00622910"/>
    <w:rsid w:val="00623395"/>
    <w:rsid w:val="00623B44"/>
    <w:rsid w:val="0062455E"/>
    <w:rsid w:val="006245C3"/>
    <w:rsid w:val="00624630"/>
    <w:rsid w:val="006247C9"/>
    <w:rsid w:val="00624AF5"/>
    <w:rsid w:val="00624C67"/>
    <w:rsid w:val="00624DF5"/>
    <w:rsid w:val="0062503E"/>
    <w:rsid w:val="00625AC8"/>
    <w:rsid w:val="00625F50"/>
    <w:rsid w:val="006275DA"/>
    <w:rsid w:val="00627A76"/>
    <w:rsid w:val="00627E06"/>
    <w:rsid w:val="00630561"/>
    <w:rsid w:val="00630AAB"/>
    <w:rsid w:val="00630DF5"/>
    <w:rsid w:val="00630FE9"/>
    <w:rsid w:val="006313E7"/>
    <w:rsid w:val="006318F8"/>
    <w:rsid w:val="0063256C"/>
    <w:rsid w:val="00632D0C"/>
    <w:rsid w:val="00632DC5"/>
    <w:rsid w:val="006346B5"/>
    <w:rsid w:val="006348C8"/>
    <w:rsid w:val="00634AD9"/>
    <w:rsid w:val="00634F80"/>
    <w:rsid w:val="00635258"/>
    <w:rsid w:val="0063659C"/>
    <w:rsid w:val="00636A1C"/>
    <w:rsid w:val="00636ACE"/>
    <w:rsid w:val="00636DAC"/>
    <w:rsid w:val="00636F99"/>
    <w:rsid w:val="0064058F"/>
    <w:rsid w:val="006410B8"/>
    <w:rsid w:val="0064125A"/>
    <w:rsid w:val="00641CEE"/>
    <w:rsid w:val="00641D6F"/>
    <w:rsid w:val="00641EC1"/>
    <w:rsid w:val="006427A9"/>
    <w:rsid w:val="006427B3"/>
    <w:rsid w:val="00642AF4"/>
    <w:rsid w:val="00644161"/>
    <w:rsid w:val="00644643"/>
    <w:rsid w:val="00644E4D"/>
    <w:rsid w:val="006452D1"/>
    <w:rsid w:val="00645504"/>
    <w:rsid w:val="00647C00"/>
    <w:rsid w:val="00650064"/>
    <w:rsid w:val="00650E2D"/>
    <w:rsid w:val="006515BD"/>
    <w:rsid w:val="00651DE7"/>
    <w:rsid w:val="00651E88"/>
    <w:rsid w:val="00652524"/>
    <w:rsid w:val="00652675"/>
    <w:rsid w:val="006530FA"/>
    <w:rsid w:val="006538E1"/>
    <w:rsid w:val="00653A33"/>
    <w:rsid w:val="00653D5F"/>
    <w:rsid w:val="00653FFB"/>
    <w:rsid w:val="00654136"/>
    <w:rsid w:val="00655192"/>
    <w:rsid w:val="006552EC"/>
    <w:rsid w:val="00656DAB"/>
    <w:rsid w:val="0065780A"/>
    <w:rsid w:val="00657D72"/>
    <w:rsid w:val="00657EF7"/>
    <w:rsid w:val="00660580"/>
    <w:rsid w:val="006608C3"/>
    <w:rsid w:val="00660922"/>
    <w:rsid w:val="00661575"/>
    <w:rsid w:val="00661A54"/>
    <w:rsid w:val="00661DAB"/>
    <w:rsid w:val="00662C95"/>
    <w:rsid w:val="00662D44"/>
    <w:rsid w:val="00662D92"/>
    <w:rsid w:val="0066320B"/>
    <w:rsid w:val="00663888"/>
    <w:rsid w:val="00663A16"/>
    <w:rsid w:val="00663ADE"/>
    <w:rsid w:val="006649D3"/>
    <w:rsid w:val="00664EBA"/>
    <w:rsid w:val="00665FBE"/>
    <w:rsid w:val="0066647E"/>
    <w:rsid w:val="00666904"/>
    <w:rsid w:val="00666AE4"/>
    <w:rsid w:val="00667921"/>
    <w:rsid w:val="00667EAF"/>
    <w:rsid w:val="0067053F"/>
    <w:rsid w:val="00671252"/>
    <w:rsid w:val="00671676"/>
    <w:rsid w:val="0067196F"/>
    <w:rsid w:val="006719A0"/>
    <w:rsid w:val="00672247"/>
    <w:rsid w:val="0067280F"/>
    <w:rsid w:val="00672AEF"/>
    <w:rsid w:val="00672F55"/>
    <w:rsid w:val="0067393B"/>
    <w:rsid w:val="00673FD8"/>
    <w:rsid w:val="0067422C"/>
    <w:rsid w:val="00674255"/>
    <w:rsid w:val="00674DCF"/>
    <w:rsid w:val="00675088"/>
    <w:rsid w:val="006760FF"/>
    <w:rsid w:val="00676252"/>
    <w:rsid w:val="006768FC"/>
    <w:rsid w:val="00677ECF"/>
    <w:rsid w:val="00677FC6"/>
    <w:rsid w:val="006802FB"/>
    <w:rsid w:val="00680716"/>
    <w:rsid w:val="006808F6"/>
    <w:rsid w:val="00680C0D"/>
    <w:rsid w:val="00680CA1"/>
    <w:rsid w:val="00680D2B"/>
    <w:rsid w:val="006813AF"/>
    <w:rsid w:val="006815E2"/>
    <w:rsid w:val="0068183F"/>
    <w:rsid w:val="0068194D"/>
    <w:rsid w:val="0068240B"/>
    <w:rsid w:val="00682B71"/>
    <w:rsid w:val="006830B9"/>
    <w:rsid w:val="00683126"/>
    <w:rsid w:val="00683217"/>
    <w:rsid w:val="00683C36"/>
    <w:rsid w:val="00683E52"/>
    <w:rsid w:val="00684192"/>
    <w:rsid w:val="00684958"/>
    <w:rsid w:val="00684ECE"/>
    <w:rsid w:val="00685303"/>
    <w:rsid w:val="006855BD"/>
    <w:rsid w:val="00685BD2"/>
    <w:rsid w:val="00685D01"/>
    <w:rsid w:val="0068646B"/>
    <w:rsid w:val="00686B58"/>
    <w:rsid w:val="00686C5B"/>
    <w:rsid w:val="006870F6"/>
    <w:rsid w:val="006900B1"/>
    <w:rsid w:val="006906C9"/>
    <w:rsid w:val="00691735"/>
    <w:rsid w:val="00692379"/>
    <w:rsid w:val="006924BC"/>
    <w:rsid w:val="00692632"/>
    <w:rsid w:val="00692D17"/>
    <w:rsid w:val="006933C1"/>
    <w:rsid w:val="006939B1"/>
    <w:rsid w:val="00693D34"/>
    <w:rsid w:val="00694059"/>
    <w:rsid w:val="00694349"/>
    <w:rsid w:val="006946B0"/>
    <w:rsid w:val="00694EA5"/>
    <w:rsid w:val="006953E2"/>
    <w:rsid w:val="00695481"/>
    <w:rsid w:val="00695541"/>
    <w:rsid w:val="00695597"/>
    <w:rsid w:val="006966AF"/>
    <w:rsid w:val="006966EA"/>
    <w:rsid w:val="00697D54"/>
    <w:rsid w:val="006A0380"/>
    <w:rsid w:val="006A06ED"/>
    <w:rsid w:val="006A07F0"/>
    <w:rsid w:val="006A090D"/>
    <w:rsid w:val="006A09D8"/>
    <w:rsid w:val="006A14F5"/>
    <w:rsid w:val="006A251D"/>
    <w:rsid w:val="006A27D8"/>
    <w:rsid w:val="006A3552"/>
    <w:rsid w:val="006A3BD5"/>
    <w:rsid w:val="006A468F"/>
    <w:rsid w:val="006A4A92"/>
    <w:rsid w:val="006A4B9F"/>
    <w:rsid w:val="006A4BF4"/>
    <w:rsid w:val="006A4E34"/>
    <w:rsid w:val="006A5175"/>
    <w:rsid w:val="006A543C"/>
    <w:rsid w:val="006A59F4"/>
    <w:rsid w:val="006A5ABE"/>
    <w:rsid w:val="006A5B8A"/>
    <w:rsid w:val="006A5C53"/>
    <w:rsid w:val="006A5D4E"/>
    <w:rsid w:val="006A61B2"/>
    <w:rsid w:val="006A6A34"/>
    <w:rsid w:val="006A6D88"/>
    <w:rsid w:val="006A6E41"/>
    <w:rsid w:val="006A7A42"/>
    <w:rsid w:val="006A7B1F"/>
    <w:rsid w:val="006B0159"/>
    <w:rsid w:val="006B0202"/>
    <w:rsid w:val="006B044A"/>
    <w:rsid w:val="006B062F"/>
    <w:rsid w:val="006B0F6E"/>
    <w:rsid w:val="006B1DC4"/>
    <w:rsid w:val="006B200B"/>
    <w:rsid w:val="006B235D"/>
    <w:rsid w:val="006B320E"/>
    <w:rsid w:val="006B4284"/>
    <w:rsid w:val="006B437B"/>
    <w:rsid w:val="006B4487"/>
    <w:rsid w:val="006B5376"/>
    <w:rsid w:val="006B5C6E"/>
    <w:rsid w:val="006B5F20"/>
    <w:rsid w:val="006B60FB"/>
    <w:rsid w:val="006B6EFD"/>
    <w:rsid w:val="006B74A9"/>
    <w:rsid w:val="006B76F8"/>
    <w:rsid w:val="006B7E28"/>
    <w:rsid w:val="006C0DA4"/>
    <w:rsid w:val="006C0F4B"/>
    <w:rsid w:val="006C1322"/>
    <w:rsid w:val="006C168D"/>
    <w:rsid w:val="006C1B34"/>
    <w:rsid w:val="006C25E4"/>
    <w:rsid w:val="006C2844"/>
    <w:rsid w:val="006C2E2F"/>
    <w:rsid w:val="006C2E9A"/>
    <w:rsid w:val="006C30A7"/>
    <w:rsid w:val="006C36C7"/>
    <w:rsid w:val="006C3B03"/>
    <w:rsid w:val="006C40CE"/>
    <w:rsid w:val="006C4521"/>
    <w:rsid w:val="006C46F1"/>
    <w:rsid w:val="006C4EAC"/>
    <w:rsid w:val="006C5484"/>
    <w:rsid w:val="006C5675"/>
    <w:rsid w:val="006C571D"/>
    <w:rsid w:val="006C584A"/>
    <w:rsid w:val="006C60E1"/>
    <w:rsid w:val="006C6AA9"/>
    <w:rsid w:val="006C6CEE"/>
    <w:rsid w:val="006C71E7"/>
    <w:rsid w:val="006D0233"/>
    <w:rsid w:val="006D03AA"/>
    <w:rsid w:val="006D0892"/>
    <w:rsid w:val="006D0B03"/>
    <w:rsid w:val="006D0B2E"/>
    <w:rsid w:val="006D14BF"/>
    <w:rsid w:val="006D192A"/>
    <w:rsid w:val="006D19EE"/>
    <w:rsid w:val="006D2315"/>
    <w:rsid w:val="006D25FE"/>
    <w:rsid w:val="006D32EB"/>
    <w:rsid w:val="006D39FB"/>
    <w:rsid w:val="006D4726"/>
    <w:rsid w:val="006D4824"/>
    <w:rsid w:val="006D4EAE"/>
    <w:rsid w:val="006D4EEF"/>
    <w:rsid w:val="006D4EFB"/>
    <w:rsid w:val="006D5674"/>
    <w:rsid w:val="006D599B"/>
    <w:rsid w:val="006D6308"/>
    <w:rsid w:val="006D6B73"/>
    <w:rsid w:val="006D6C26"/>
    <w:rsid w:val="006D70A8"/>
    <w:rsid w:val="006D7458"/>
    <w:rsid w:val="006D75FC"/>
    <w:rsid w:val="006D773B"/>
    <w:rsid w:val="006D7FD5"/>
    <w:rsid w:val="006E03F2"/>
    <w:rsid w:val="006E047D"/>
    <w:rsid w:val="006E0C02"/>
    <w:rsid w:val="006E1009"/>
    <w:rsid w:val="006E11C5"/>
    <w:rsid w:val="006E1876"/>
    <w:rsid w:val="006E1FA8"/>
    <w:rsid w:val="006E21EB"/>
    <w:rsid w:val="006E25BA"/>
    <w:rsid w:val="006E292E"/>
    <w:rsid w:val="006E2997"/>
    <w:rsid w:val="006E29DC"/>
    <w:rsid w:val="006E38D8"/>
    <w:rsid w:val="006E3974"/>
    <w:rsid w:val="006E3B8D"/>
    <w:rsid w:val="006E422C"/>
    <w:rsid w:val="006E4286"/>
    <w:rsid w:val="006E44CC"/>
    <w:rsid w:val="006E4C33"/>
    <w:rsid w:val="006E4E59"/>
    <w:rsid w:val="006E534A"/>
    <w:rsid w:val="006E5365"/>
    <w:rsid w:val="006E5A3E"/>
    <w:rsid w:val="006E637C"/>
    <w:rsid w:val="006E6B43"/>
    <w:rsid w:val="006E6E4A"/>
    <w:rsid w:val="006E78A2"/>
    <w:rsid w:val="006F01A1"/>
    <w:rsid w:val="006F05B2"/>
    <w:rsid w:val="006F2920"/>
    <w:rsid w:val="006F3297"/>
    <w:rsid w:val="006F33DF"/>
    <w:rsid w:val="006F353A"/>
    <w:rsid w:val="006F3544"/>
    <w:rsid w:val="006F3BAF"/>
    <w:rsid w:val="006F3BDC"/>
    <w:rsid w:val="006F4024"/>
    <w:rsid w:val="006F49D7"/>
    <w:rsid w:val="006F4C75"/>
    <w:rsid w:val="006F51F8"/>
    <w:rsid w:val="006F5A17"/>
    <w:rsid w:val="006F5A79"/>
    <w:rsid w:val="006F5B08"/>
    <w:rsid w:val="006F602C"/>
    <w:rsid w:val="006F70C6"/>
    <w:rsid w:val="006F7112"/>
    <w:rsid w:val="006F740E"/>
    <w:rsid w:val="006F74FD"/>
    <w:rsid w:val="006F777E"/>
    <w:rsid w:val="007005E9"/>
    <w:rsid w:val="007006A3"/>
    <w:rsid w:val="00700DFA"/>
    <w:rsid w:val="00700E79"/>
    <w:rsid w:val="0070259D"/>
    <w:rsid w:val="00704041"/>
    <w:rsid w:val="00704BBD"/>
    <w:rsid w:val="00704C84"/>
    <w:rsid w:val="00704DB6"/>
    <w:rsid w:val="007051CA"/>
    <w:rsid w:val="00705662"/>
    <w:rsid w:val="00705D52"/>
    <w:rsid w:val="007061C8"/>
    <w:rsid w:val="007064AC"/>
    <w:rsid w:val="0070654C"/>
    <w:rsid w:val="007078F5"/>
    <w:rsid w:val="00707DF4"/>
    <w:rsid w:val="00710117"/>
    <w:rsid w:val="00710BE2"/>
    <w:rsid w:val="007115AB"/>
    <w:rsid w:val="007115D4"/>
    <w:rsid w:val="00711911"/>
    <w:rsid w:val="00711B2E"/>
    <w:rsid w:val="00711CA9"/>
    <w:rsid w:val="00711E17"/>
    <w:rsid w:val="00712358"/>
    <w:rsid w:val="00712594"/>
    <w:rsid w:val="00712668"/>
    <w:rsid w:val="007131B0"/>
    <w:rsid w:val="007131FF"/>
    <w:rsid w:val="0071344F"/>
    <w:rsid w:val="00713F25"/>
    <w:rsid w:val="00714121"/>
    <w:rsid w:val="00715807"/>
    <w:rsid w:val="00715F41"/>
    <w:rsid w:val="00716041"/>
    <w:rsid w:val="007160D8"/>
    <w:rsid w:val="00716927"/>
    <w:rsid w:val="007169E2"/>
    <w:rsid w:val="00716AAD"/>
    <w:rsid w:val="00716DEA"/>
    <w:rsid w:val="0071701D"/>
    <w:rsid w:val="0071760B"/>
    <w:rsid w:val="00717A60"/>
    <w:rsid w:val="00717A7D"/>
    <w:rsid w:val="00720014"/>
    <w:rsid w:val="00720216"/>
    <w:rsid w:val="007206E3"/>
    <w:rsid w:val="007207B2"/>
    <w:rsid w:val="00720E8E"/>
    <w:rsid w:val="00720F5D"/>
    <w:rsid w:val="0072125C"/>
    <w:rsid w:val="00721336"/>
    <w:rsid w:val="007215D3"/>
    <w:rsid w:val="007216B5"/>
    <w:rsid w:val="00721FA5"/>
    <w:rsid w:val="00722020"/>
    <w:rsid w:val="00722543"/>
    <w:rsid w:val="00722575"/>
    <w:rsid w:val="0072281E"/>
    <w:rsid w:val="00722BA4"/>
    <w:rsid w:val="0072338A"/>
    <w:rsid w:val="00723EEF"/>
    <w:rsid w:val="00724731"/>
    <w:rsid w:val="007247B9"/>
    <w:rsid w:val="00724F75"/>
    <w:rsid w:val="0072532B"/>
    <w:rsid w:val="007253BF"/>
    <w:rsid w:val="00725E70"/>
    <w:rsid w:val="00726171"/>
    <w:rsid w:val="00726F77"/>
    <w:rsid w:val="00727AAE"/>
    <w:rsid w:val="0073019D"/>
    <w:rsid w:val="007301FC"/>
    <w:rsid w:val="00730632"/>
    <w:rsid w:val="00730EDC"/>
    <w:rsid w:val="00731087"/>
    <w:rsid w:val="00731193"/>
    <w:rsid w:val="007311E5"/>
    <w:rsid w:val="00731252"/>
    <w:rsid w:val="00732165"/>
    <w:rsid w:val="0073224E"/>
    <w:rsid w:val="00732558"/>
    <w:rsid w:val="00732B8D"/>
    <w:rsid w:val="00732DD6"/>
    <w:rsid w:val="00733019"/>
    <w:rsid w:val="00733079"/>
    <w:rsid w:val="0073375D"/>
    <w:rsid w:val="00733795"/>
    <w:rsid w:val="00733906"/>
    <w:rsid w:val="00733956"/>
    <w:rsid w:val="00733B0F"/>
    <w:rsid w:val="0073434A"/>
    <w:rsid w:val="00734DBE"/>
    <w:rsid w:val="007351FC"/>
    <w:rsid w:val="0073569D"/>
    <w:rsid w:val="00735F07"/>
    <w:rsid w:val="00736403"/>
    <w:rsid w:val="007403AE"/>
    <w:rsid w:val="007407F1"/>
    <w:rsid w:val="00740858"/>
    <w:rsid w:val="00741411"/>
    <w:rsid w:val="00741901"/>
    <w:rsid w:val="0074203B"/>
    <w:rsid w:val="0074213E"/>
    <w:rsid w:val="007421DD"/>
    <w:rsid w:val="00742847"/>
    <w:rsid w:val="007429E7"/>
    <w:rsid w:val="00742E64"/>
    <w:rsid w:val="0074305A"/>
    <w:rsid w:val="007431B6"/>
    <w:rsid w:val="00743F44"/>
    <w:rsid w:val="00744088"/>
    <w:rsid w:val="007449A4"/>
    <w:rsid w:val="007450D0"/>
    <w:rsid w:val="00745313"/>
    <w:rsid w:val="00745CEC"/>
    <w:rsid w:val="00747319"/>
    <w:rsid w:val="007475F1"/>
    <w:rsid w:val="007477BF"/>
    <w:rsid w:val="00747A1C"/>
    <w:rsid w:val="007503B2"/>
    <w:rsid w:val="007504A2"/>
    <w:rsid w:val="00750542"/>
    <w:rsid w:val="007508E7"/>
    <w:rsid w:val="00750B0F"/>
    <w:rsid w:val="00750FB6"/>
    <w:rsid w:val="007512D0"/>
    <w:rsid w:val="0075144C"/>
    <w:rsid w:val="0075147C"/>
    <w:rsid w:val="00751930"/>
    <w:rsid w:val="00751E90"/>
    <w:rsid w:val="00751EF2"/>
    <w:rsid w:val="00752B1D"/>
    <w:rsid w:val="00752DF5"/>
    <w:rsid w:val="00752FED"/>
    <w:rsid w:val="00753B81"/>
    <w:rsid w:val="00753D00"/>
    <w:rsid w:val="00753E0E"/>
    <w:rsid w:val="00753FFB"/>
    <w:rsid w:val="0075438F"/>
    <w:rsid w:val="007548F8"/>
    <w:rsid w:val="00754B55"/>
    <w:rsid w:val="007555AE"/>
    <w:rsid w:val="00756058"/>
    <w:rsid w:val="00756F53"/>
    <w:rsid w:val="007576D6"/>
    <w:rsid w:val="00757A8A"/>
    <w:rsid w:val="00760753"/>
    <w:rsid w:val="00760941"/>
    <w:rsid w:val="00760D02"/>
    <w:rsid w:val="00760E1B"/>
    <w:rsid w:val="00761AAC"/>
    <w:rsid w:val="007636FA"/>
    <w:rsid w:val="00763B65"/>
    <w:rsid w:val="007641B4"/>
    <w:rsid w:val="007641B8"/>
    <w:rsid w:val="00764293"/>
    <w:rsid w:val="0076432C"/>
    <w:rsid w:val="00764457"/>
    <w:rsid w:val="007645F8"/>
    <w:rsid w:val="007652FC"/>
    <w:rsid w:val="00765359"/>
    <w:rsid w:val="007675C7"/>
    <w:rsid w:val="00767D11"/>
    <w:rsid w:val="0077036A"/>
    <w:rsid w:val="00770EAA"/>
    <w:rsid w:val="0077103B"/>
    <w:rsid w:val="00771178"/>
    <w:rsid w:val="00771ACA"/>
    <w:rsid w:val="00771CA5"/>
    <w:rsid w:val="007726F6"/>
    <w:rsid w:val="007728D5"/>
    <w:rsid w:val="00772AFC"/>
    <w:rsid w:val="00772C2A"/>
    <w:rsid w:val="00772E9A"/>
    <w:rsid w:val="00773371"/>
    <w:rsid w:val="007734EE"/>
    <w:rsid w:val="00773A7F"/>
    <w:rsid w:val="00773D25"/>
    <w:rsid w:val="00773EEF"/>
    <w:rsid w:val="0077417C"/>
    <w:rsid w:val="007741D8"/>
    <w:rsid w:val="007744DF"/>
    <w:rsid w:val="00775418"/>
    <w:rsid w:val="0077582A"/>
    <w:rsid w:val="00776A12"/>
    <w:rsid w:val="00776A78"/>
    <w:rsid w:val="00776D99"/>
    <w:rsid w:val="00777313"/>
    <w:rsid w:val="00777B1F"/>
    <w:rsid w:val="00777E3A"/>
    <w:rsid w:val="0078150D"/>
    <w:rsid w:val="00781808"/>
    <w:rsid w:val="00781919"/>
    <w:rsid w:val="00781947"/>
    <w:rsid w:val="00782047"/>
    <w:rsid w:val="00783641"/>
    <w:rsid w:val="00783F32"/>
    <w:rsid w:val="007847E7"/>
    <w:rsid w:val="00784C01"/>
    <w:rsid w:val="007851E0"/>
    <w:rsid w:val="00786EF3"/>
    <w:rsid w:val="00787242"/>
    <w:rsid w:val="00787407"/>
    <w:rsid w:val="00787A54"/>
    <w:rsid w:val="00787B37"/>
    <w:rsid w:val="00790507"/>
    <w:rsid w:val="00790DA5"/>
    <w:rsid w:val="00790DE4"/>
    <w:rsid w:val="00791031"/>
    <w:rsid w:val="00791C1D"/>
    <w:rsid w:val="0079283C"/>
    <w:rsid w:val="00792ACD"/>
    <w:rsid w:val="00793ACD"/>
    <w:rsid w:val="00793CFE"/>
    <w:rsid w:val="007945CE"/>
    <w:rsid w:val="007955AA"/>
    <w:rsid w:val="00795BC1"/>
    <w:rsid w:val="00795BC7"/>
    <w:rsid w:val="00795D5C"/>
    <w:rsid w:val="00795E43"/>
    <w:rsid w:val="007963EA"/>
    <w:rsid w:val="00796510"/>
    <w:rsid w:val="00796551"/>
    <w:rsid w:val="00797132"/>
    <w:rsid w:val="0079720B"/>
    <w:rsid w:val="007972A9"/>
    <w:rsid w:val="0079740D"/>
    <w:rsid w:val="00797CA8"/>
    <w:rsid w:val="00797D31"/>
    <w:rsid w:val="007A03BC"/>
    <w:rsid w:val="007A06F2"/>
    <w:rsid w:val="007A0B59"/>
    <w:rsid w:val="007A0DE2"/>
    <w:rsid w:val="007A15D1"/>
    <w:rsid w:val="007A15EE"/>
    <w:rsid w:val="007A1A86"/>
    <w:rsid w:val="007A1EA2"/>
    <w:rsid w:val="007A3030"/>
    <w:rsid w:val="007A345E"/>
    <w:rsid w:val="007A34F7"/>
    <w:rsid w:val="007A3B6C"/>
    <w:rsid w:val="007A3D83"/>
    <w:rsid w:val="007A4121"/>
    <w:rsid w:val="007A4158"/>
    <w:rsid w:val="007A4465"/>
    <w:rsid w:val="007A505D"/>
    <w:rsid w:val="007A57BE"/>
    <w:rsid w:val="007A61DC"/>
    <w:rsid w:val="007A62C9"/>
    <w:rsid w:val="007A63B7"/>
    <w:rsid w:val="007A6CAD"/>
    <w:rsid w:val="007A7309"/>
    <w:rsid w:val="007A733F"/>
    <w:rsid w:val="007A74B1"/>
    <w:rsid w:val="007A74B2"/>
    <w:rsid w:val="007A7EB7"/>
    <w:rsid w:val="007B02CB"/>
    <w:rsid w:val="007B0989"/>
    <w:rsid w:val="007B1390"/>
    <w:rsid w:val="007B3A3B"/>
    <w:rsid w:val="007B3D62"/>
    <w:rsid w:val="007B589C"/>
    <w:rsid w:val="007B5F12"/>
    <w:rsid w:val="007B6861"/>
    <w:rsid w:val="007B6923"/>
    <w:rsid w:val="007B6B32"/>
    <w:rsid w:val="007B7265"/>
    <w:rsid w:val="007C02F0"/>
    <w:rsid w:val="007C0F30"/>
    <w:rsid w:val="007C10A8"/>
    <w:rsid w:val="007C116D"/>
    <w:rsid w:val="007C1818"/>
    <w:rsid w:val="007C1D85"/>
    <w:rsid w:val="007C1EF3"/>
    <w:rsid w:val="007C2AEF"/>
    <w:rsid w:val="007C2E88"/>
    <w:rsid w:val="007C2EE7"/>
    <w:rsid w:val="007C421C"/>
    <w:rsid w:val="007C517A"/>
    <w:rsid w:val="007C570C"/>
    <w:rsid w:val="007C614E"/>
    <w:rsid w:val="007C6F34"/>
    <w:rsid w:val="007C7EF3"/>
    <w:rsid w:val="007D0705"/>
    <w:rsid w:val="007D0870"/>
    <w:rsid w:val="007D0877"/>
    <w:rsid w:val="007D0970"/>
    <w:rsid w:val="007D09B3"/>
    <w:rsid w:val="007D0F87"/>
    <w:rsid w:val="007D11BB"/>
    <w:rsid w:val="007D1627"/>
    <w:rsid w:val="007D2B7C"/>
    <w:rsid w:val="007D2C72"/>
    <w:rsid w:val="007D30B5"/>
    <w:rsid w:val="007D430E"/>
    <w:rsid w:val="007D435B"/>
    <w:rsid w:val="007D466E"/>
    <w:rsid w:val="007D46EB"/>
    <w:rsid w:val="007D49D3"/>
    <w:rsid w:val="007D4A16"/>
    <w:rsid w:val="007D5120"/>
    <w:rsid w:val="007D5BB3"/>
    <w:rsid w:val="007D5DBA"/>
    <w:rsid w:val="007D6C4B"/>
    <w:rsid w:val="007D6DB9"/>
    <w:rsid w:val="007D6DDB"/>
    <w:rsid w:val="007D73BB"/>
    <w:rsid w:val="007E0807"/>
    <w:rsid w:val="007E1730"/>
    <w:rsid w:val="007E1759"/>
    <w:rsid w:val="007E1C28"/>
    <w:rsid w:val="007E21D2"/>
    <w:rsid w:val="007E22A0"/>
    <w:rsid w:val="007E2742"/>
    <w:rsid w:val="007E3536"/>
    <w:rsid w:val="007E36FE"/>
    <w:rsid w:val="007E38EE"/>
    <w:rsid w:val="007E41AC"/>
    <w:rsid w:val="007E51DF"/>
    <w:rsid w:val="007E69A9"/>
    <w:rsid w:val="007E6C40"/>
    <w:rsid w:val="007E7402"/>
    <w:rsid w:val="007E75A8"/>
    <w:rsid w:val="007E7BC2"/>
    <w:rsid w:val="007F06A7"/>
    <w:rsid w:val="007F0CA2"/>
    <w:rsid w:val="007F0FEB"/>
    <w:rsid w:val="007F134C"/>
    <w:rsid w:val="007F168D"/>
    <w:rsid w:val="007F1785"/>
    <w:rsid w:val="007F1E5D"/>
    <w:rsid w:val="007F238A"/>
    <w:rsid w:val="007F245A"/>
    <w:rsid w:val="007F292C"/>
    <w:rsid w:val="007F346A"/>
    <w:rsid w:val="007F3566"/>
    <w:rsid w:val="007F35CA"/>
    <w:rsid w:val="007F3B99"/>
    <w:rsid w:val="007F3E9F"/>
    <w:rsid w:val="007F3F97"/>
    <w:rsid w:val="007F442F"/>
    <w:rsid w:val="007F4DA5"/>
    <w:rsid w:val="007F508D"/>
    <w:rsid w:val="007F57CA"/>
    <w:rsid w:val="007F6169"/>
    <w:rsid w:val="007F6339"/>
    <w:rsid w:val="007F6F20"/>
    <w:rsid w:val="00801058"/>
    <w:rsid w:val="008011EC"/>
    <w:rsid w:val="008016E7"/>
    <w:rsid w:val="00801A29"/>
    <w:rsid w:val="00801A2C"/>
    <w:rsid w:val="00801F7F"/>
    <w:rsid w:val="0080239A"/>
    <w:rsid w:val="008025C8"/>
    <w:rsid w:val="0080284E"/>
    <w:rsid w:val="00803324"/>
    <w:rsid w:val="008033C2"/>
    <w:rsid w:val="0080373F"/>
    <w:rsid w:val="008039B8"/>
    <w:rsid w:val="00804C5D"/>
    <w:rsid w:val="00804F6F"/>
    <w:rsid w:val="00804F73"/>
    <w:rsid w:val="008051C2"/>
    <w:rsid w:val="00805BBA"/>
    <w:rsid w:val="008062C6"/>
    <w:rsid w:val="00806520"/>
    <w:rsid w:val="00806BA8"/>
    <w:rsid w:val="00807D71"/>
    <w:rsid w:val="00810755"/>
    <w:rsid w:val="00810C97"/>
    <w:rsid w:val="008110F6"/>
    <w:rsid w:val="00811120"/>
    <w:rsid w:val="0081136F"/>
    <w:rsid w:val="008120F3"/>
    <w:rsid w:val="00812115"/>
    <w:rsid w:val="008125A2"/>
    <w:rsid w:val="008126D1"/>
    <w:rsid w:val="00812E41"/>
    <w:rsid w:val="00813500"/>
    <w:rsid w:val="008142B3"/>
    <w:rsid w:val="0081436F"/>
    <w:rsid w:val="008146E8"/>
    <w:rsid w:val="008156B7"/>
    <w:rsid w:val="00815858"/>
    <w:rsid w:val="00815900"/>
    <w:rsid w:val="0081647E"/>
    <w:rsid w:val="00816485"/>
    <w:rsid w:val="0081704B"/>
    <w:rsid w:val="00817565"/>
    <w:rsid w:val="0081765B"/>
    <w:rsid w:val="00817B94"/>
    <w:rsid w:val="00820112"/>
    <w:rsid w:val="00820216"/>
    <w:rsid w:val="008203C0"/>
    <w:rsid w:val="00820422"/>
    <w:rsid w:val="008206FB"/>
    <w:rsid w:val="008208E0"/>
    <w:rsid w:val="008209B6"/>
    <w:rsid w:val="008215ED"/>
    <w:rsid w:val="00822624"/>
    <w:rsid w:val="00823000"/>
    <w:rsid w:val="0082310A"/>
    <w:rsid w:val="00823A08"/>
    <w:rsid w:val="00824460"/>
    <w:rsid w:val="00824512"/>
    <w:rsid w:val="008248C3"/>
    <w:rsid w:val="00825324"/>
    <w:rsid w:val="00825BE2"/>
    <w:rsid w:val="00825D87"/>
    <w:rsid w:val="0082620A"/>
    <w:rsid w:val="008263AE"/>
    <w:rsid w:val="00827062"/>
    <w:rsid w:val="0082737B"/>
    <w:rsid w:val="00827CA3"/>
    <w:rsid w:val="00827CDD"/>
    <w:rsid w:val="00827FA9"/>
    <w:rsid w:val="00827FC4"/>
    <w:rsid w:val="00827FD0"/>
    <w:rsid w:val="0083024B"/>
    <w:rsid w:val="00830391"/>
    <w:rsid w:val="00830B33"/>
    <w:rsid w:val="00830E3F"/>
    <w:rsid w:val="00831421"/>
    <w:rsid w:val="00832223"/>
    <w:rsid w:val="008324FC"/>
    <w:rsid w:val="0083253C"/>
    <w:rsid w:val="00832875"/>
    <w:rsid w:val="008331D0"/>
    <w:rsid w:val="00833585"/>
    <w:rsid w:val="00833865"/>
    <w:rsid w:val="00833A46"/>
    <w:rsid w:val="00833C95"/>
    <w:rsid w:val="008343FF"/>
    <w:rsid w:val="00834B89"/>
    <w:rsid w:val="00834D4E"/>
    <w:rsid w:val="00834FB5"/>
    <w:rsid w:val="008360AB"/>
    <w:rsid w:val="00836224"/>
    <w:rsid w:val="00837648"/>
    <w:rsid w:val="00837730"/>
    <w:rsid w:val="00837A35"/>
    <w:rsid w:val="00837EAF"/>
    <w:rsid w:val="00840BBD"/>
    <w:rsid w:val="00840DF7"/>
    <w:rsid w:val="00840E3E"/>
    <w:rsid w:val="00841180"/>
    <w:rsid w:val="00842449"/>
    <w:rsid w:val="00842545"/>
    <w:rsid w:val="00842E97"/>
    <w:rsid w:val="00844210"/>
    <w:rsid w:val="008442A3"/>
    <w:rsid w:val="00844C92"/>
    <w:rsid w:val="0084589A"/>
    <w:rsid w:val="00845B13"/>
    <w:rsid w:val="00845BA6"/>
    <w:rsid w:val="0084635A"/>
    <w:rsid w:val="008467F6"/>
    <w:rsid w:val="008469CC"/>
    <w:rsid w:val="00846AC7"/>
    <w:rsid w:val="008471CC"/>
    <w:rsid w:val="008472F2"/>
    <w:rsid w:val="00847CBA"/>
    <w:rsid w:val="00847D1A"/>
    <w:rsid w:val="00847D5C"/>
    <w:rsid w:val="00847E8C"/>
    <w:rsid w:val="00850B89"/>
    <w:rsid w:val="008512DA"/>
    <w:rsid w:val="008516B2"/>
    <w:rsid w:val="008518C1"/>
    <w:rsid w:val="00851EAB"/>
    <w:rsid w:val="008522F2"/>
    <w:rsid w:val="008528C2"/>
    <w:rsid w:val="00852E36"/>
    <w:rsid w:val="00853254"/>
    <w:rsid w:val="00853704"/>
    <w:rsid w:val="008538BD"/>
    <w:rsid w:val="00854B65"/>
    <w:rsid w:val="00854CD3"/>
    <w:rsid w:val="0085522A"/>
    <w:rsid w:val="00856594"/>
    <w:rsid w:val="008566C5"/>
    <w:rsid w:val="00856D72"/>
    <w:rsid w:val="008579A6"/>
    <w:rsid w:val="00857ACC"/>
    <w:rsid w:val="00857C14"/>
    <w:rsid w:val="0086060C"/>
    <w:rsid w:val="00860DF4"/>
    <w:rsid w:val="008613EE"/>
    <w:rsid w:val="00862392"/>
    <w:rsid w:val="0086274A"/>
    <w:rsid w:val="00862A03"/>
    <w:rsid w:val="00862E89"/>
    <w:rsid w:val="00863998"/>
    <w:rsid w:val="008639AE"/>
    <w:rsid w:val="00863CBC"/>
    <w:rsid w:val="00863FD8"/>
    <w:rsid w:val="0086427E"/>
    <w:rsid w:val="008644C4"/>
    <w:rsid w:val="00865075"/>
    <w:rsid w:val="00865668"/>
    <w:rsid w:val="00865BC4"/>
    <w:rsid w:val="008660A2"/>
    <w:rsid w:val="00866FB6"/>
    <w:rsid w:val="00867C1F"/>
    <w:rsid w:val="00870351"/>
    <w:rsid w:val="008704E2"/>
    <w:rsid w:val="0087074E"/>
    <w:rsid w:val="00870B04"/>
    <w:rsid w:val="00870DA0"/>
    <w:rsid w:val="008716AC"/>
    <w:rsid w:val="00871885"/>
    <w:rsid w:val="0087223D"/>
    <w:rsid w:val="00874D4B"/>
    <w:rsid w:val="00874DB6"/>
    <w:rsid w:val="00875012"/>
    <w:rsid w:val="008759BC"/>
    <w:rsid w:val="00876221"/>
    <w:rsid w:val="008764D1"/>
    <w:rsid w:val="00876854"/>
    <w:rsid w:val="00876B2F"/>
    <w:rsid w:val="00876D6A"/>
    <w:rsid w:val="0087739C"/>
    <w:rsid w:val="00877E9B"/>
    <w:rsid w:val="00880574"/>
    <w:rsid w:val="008805A9"/>
    <w:rsid w:val="0088068C"/>
    <w:rsid w:val="00880891"/>
    <w:rsid w:val="00881CD1"/>
    <w:rsid w:val="00881EBC"/>
    <w:rsid w:val="008820B1"/>
    <w:rsid w:val="008822E2"/>
    <w:rsid w:val="00882425"/>
    <w:rsid w:val="00882BBF"/>
    <w:rsid w:val="00882FC0"/>
    <w:rsid w:val="008843C4"/>
    <w:rsid w:val="00884423"/>
    <w:rsid w:val="00884440"/>
    <w:rsid w:val="00884DF9"/>
    <w:rsid w:val="0088674B"/>
    <w:rsid w:val="008869A9"/>
    <w:rsid w:val="00886BE6"/>
    <w:rsid w:val="0088798D"/>
    <w:rsid w:val="00887F0D"/>
    <w:rsid w:val="008900E7"/>
    <w:rsid w:val="00891B10"/>
    <w:rsid w:val="0089211B"/>
    <w:rsid w:val="00892253"/>
    <w:rsid w:val="00892A84"/>
    <w:rsid w:val="00892F5F"/>
    <w:rsid w:val="00893A45"/>
    <w:rsid w:val="0089432C"/>
    <w:rsid w:val="008949FC"/>
    <w:rsid w:val="00894D10"/>
    <w:rsid w:val="008950F5"/>
    <w:rsid w:val="00895554"/>
    <w:rsid w:val="00897612"/>
    <w:rsid w:val="00897C3E"/>
    <w:rsid w:val="00897EED"/>
    <w:rsid w:val="008A0473"/>
    <w:rsid w:val="008A059D"/>
    <w:rsid w:val="008A078B"/>
    <w:rsid w:val="008A092E"/>
    <w:rsid w:val="008A0F7F"/>
    <w:rsid w:val="008A1ADC"/>
    <w:rsid w:val="008A1C09"/>
    <w:rsid w:val="008A1D48"/>
    <w:rsid w:val="008A1ECB"/>
    <w:rsid w:val="008A208F"/>
    <w:rsid w:val="008A2770"/>
    <w:rsid w:val="008A2A13"/>
    <w:rsid w:val="008A35DD"/>
    <w:rsid w:val="008A3978"/>
    <w:rsid w:val="008A4491"/>
    <w:rsid w:val="008A4577"/>
    <w:rsid w:val="008A4CDF"/>
    <w:rsid w:val="008A542A"/>
    <w:rsid w:val="008A608D"/>
    <w:rsid w:val="008A62AC"/>
    <w:rsid w:val="008A651D"/>
    <w:rsid w:val="008A66AB"/>
    <w:rsid w:val="008A6B71"/>
    <w:rsid w:val="008A6F94"/>
    <w:rsid w:val="008A7115"/>
    <w:rsid w:val="008A769A"/>
    <w:rsid w:val="008B10A1"/>
    <w:rsid w:val="008B1156"/>
    <w:rsid w:val="008B1D65"/>
    <w:rsid w:val="008B2048"/>
    <w:rsid w:val="008B243B"/>
    <w:rsid w:val="008B29AA"/>
    <w:rsid w:val="008B29AF"/>
    <w:rsid w:val="008B4A5B"/>
    <w:rsid w:val="008B4BD9"/>
    <w:rsid w:val="008B59FD"/>
    <w:rsid w:val="008B5C70"/>
    <w:rsid w:val="008B5E37"/>
    <w:rsid w:val="008B5F40"/>
    <w:rsid w:val="008B60BA"/>
    <w:rsid w:val="008B616A"/>
    <w:rsid w:val="008B64A6"/>
    <w:rsid w:val="008B683C"/>
    <w:rsid w:val="008B68CC"/>
    <w:rsid w:val="008B74CF"/>
    <w:rsid w:val="008B796D"/>
    <w:rsid w:val="008B7A1D"/>
    <w:rsid w:val="008C0731"/>
    <w:rsid w:val="008C0BBC"/>
    <w:rsid w:val="008C0DBC"/>
    <w:rsid w:val="008C1161"/>
    <w:rsid w:val="008C1717"/>
    <w:rsid w:val="008C19B7"/>
    <w:rsid w:val="008C1AF5"/>
    <w:rsid w:val="008C1CD3"/>
    <w:rsid w:val="008C2734"/>
    <w:rsid w:val="008C29D1"/>
    <w:rsid w:val="008C3A6A"/>
    <w:rsid w:val="008C4681"/>
    <w:rsid w:val="008C4A25"/>
    <w:rsid w:val="008C51F6"/>
    <w:rsid w:val="008C545C"/>
    <w:rsid w:val="008C55FD"/>
    <w:rsid w:val="008C574D"/>
    <w:rsid w:val="008C5B22"/>
    <w:rsid w:val="008C5D39"/>
    <w:rsid w:val="008C5D9A"/>
    <w:rsid w:val="008C607A"/>
    <w:rsid w:val="008C667C"/>
    <w:rsid w:val="008C67F9"/>
    <w:rsid w:val="008C68D4"/>
    <w:rsid w:val="008C6C43"/>
    <w:rsid w:val="008C6E5F"/>
    <w:rsid w:val="008C6E77"/>
    <w:rsid w:val="008C75A9"/>
    <w:rsid w:val="008C7B2F"/>
    <w:rsid w:val="008C7DDB"/>
    <w:rsid w:val="008D077F"/>
    <w:rsid w:val="008D0BCC"/>
    <w:rsid w:val="008D14D0"/>
    <w:rsid w:val="008D1A26"/>
    <w:rsid w:val="008D1ACD"/>
    <w:rsid w:val="008D2364"/>
    <w:rsid w:val="008D2573"/>
    <w:rsid w:val="008D27CC"/>
    <w:rsid w:val="008D31C2"/>
    <w:rsid w:val="008D34E5"/>
    <w:rsid w:val="008D363D"/>
    <w:rsid w:val="008D4738"/>
    <w:rsid w:val="008D4B24"/>
    <w:rsid w:val="008D4C64"/>
    <w:rsid w:val="008D53E1"/>
    <w:rsid w:val="008D53FA"/>
    <w:rsid w:val="008D592D"/>
    <w:rsid w:val="008D62D0"/>
    <w:rsid w:val="008D633B"/>
    <w:rsid w:val="008D6728"/>
    <w:rsid w:val="008D6CE0"/>
    <w:rsid w:val="008D6DBF"/>
    <w:rsid w:val="008D7F02"/>
    <w:rsid w:val="008E057C"/>
    <w:rsid w:val="008E0F49"/>
    <w:rsid w:val="008E14F4"/>
    <w:rsid w:val="008E1B4D"/>
    <w:rsid w:val="008E21C7"/>
    <w:rsid w:val="008E3FFA"/>
    <w:rsid w:val="008E40A0"/>
    <w:rsid w:val="008E4577"/>
    <w:rsid w:val="008E47EE"/>
    <w:rsid w:val="008E49AA"/>
    <w:rsid w:val="008E50C8"/>
    <w:rsid w:val="008E56B5"/>
    <w:rsid w:val="008E5FAC"/>
    <w:rsid w:val="008E6451"/>
    <w:rsid w:val="008E68E0"/>
    <w:rsid w:val="008E6C76"/>
    <w:rsid w:val="008E70BF"/>
    <w:rsid w:val="008E7505"/>
    <w:rsid w:val="008E7732"/>
    <w:rsid w:val="008E7EFE"/>
    <w:rsid w:val="008E7F6E"/>
    <w:rsid w:val="008E7FD7"/>
    <w:rsid w:val="008F10B3"/>
    <w:rsid w:val="008F163B"/>
    <w:rsid w:val="008F305B"/>
    <w:rsid w:val="008F3083"/>
    <w:rsid w:val="008F3097"/>
    <w:rsid w:val="008F316E"/>
    <w:rsid w:val="008F32A8"/>
    <w:rsid w:val="008F33C2"/>
    <w:rsid w:val="008F3857"/>
    <w:rsid w:val="008F4205"/>
    <w:rsid w:val="008F4A28"/>
    <w:rsid w:val="008F5776"/>
    <w:rsid w:val="008F6150"/>
    <w:rsid w:val="008F67F6"/>
    <w:rsid w:val="008F690B"/>
    <w:rsid w:val="008F6D06"/>
    <w:rsid w:val="008F7555"/>
    <w:rsid w:val="009002D5"/>
    <w:rsid w:val="009006BD"/>
    <w:rsid w:val="00900996"/>
    <w:rsid w:val="00900B92"/>
    <w:rsid w:val="0090106D"/>
    <w:rsid w:val="009010FA"/>
    <w:rsid w:val="009012B2"/>
    <w:rsid w:val="009020EF"/>
    <w:rsid w:val="00902693"/>
    <w:rsid w:val="00902AC6"/>
    <w:rsid w:val="00902CE3"/>
    <w:rsid w:val="009037E7"/>
    <w:rsid w:val="00903A16"/>
    <w:rsid w:val="009045AF"/>
    <w:rsid w:val="009045E0"/>
    <w:rsid w:val="00904C39"/>
    <w:rsid w:val="00904CA1"/>
    <w:rsid w:val="00904E7A"/>
    <w:rsid w:val="0090582C"/>
    <w:rsid w:val="00905926"/>
    <w:rsid w:val="00905FAA"/>
    <w:rsid w:val="0090653B"/>
    <w:rsid w:val="009067F8"/>
    <w:rsid w:val="00906866"/>
    <w:rsid w:val="009068A8"/>
    <w:rsid w:val="009068B3"/>
    <w:rsid w:val="00906D0A"/>
    <w:rsid w:val="009079DF"/>
    <w:rsid w:val="00907A86"/>
    <w:rsid w:val="00907DA7"/>
    <w:rsid w:val="009104A7"/>
    <w:rsid w:val="009104D6"/>
    <w:rsid w:val="0091069A"/>
    <w:rsid w:val="00910813"/>
    <w:rsid w:val="009108DE"/>
    <w:rsid w:val="00910A5E"/>
    <w:rsid w:val="00910C68"/>
    <w:rsid w:val="00911910"/>
    <w:rsid w:val="00911E95"/>
    <w:rsid w:val="00911EA5"/>
    <w:rsid w:val="009125E7"/>
    <w:rsid w:val="00913414"/>
    <w:rsid w:val="009136D4"/>
    <w:rsid w:val="00913B29"/>
    <w:rsid w:val="009149E5"/>
    <w:rsid w:val="009149FD"/>
    <w:rsid w:val="009150D4"/>
    <w:rsid w:val="00915163"/>
    <w:rsid w:val="0091561F"/>
    <w:rsid w:val="0091677F"/>
    <w:rsid w:val="009168BF"/>
    <w:rsid w:val="00916E32"/>
    <w:rsid w:val="00916F17"/>
    <w:rsid w:val="00916FA9"/>
    <w:rsid w:val="009174B7"/>
    <w:rsid w:val="00917B2A"/>
    <w:rsid w:val="00917BA0"/>
    <w:rsid w:val="00917CB6"/>
    <w:rsid w:val="00917D62"/>
    <w:rsid w:val="00917E5D"/>
    <w:rsid w:val="009206BE"/>
    <w:rsid w:val="00920C86"/>
    <w:rsid w:val="00920F87"/>
    <w:rsid w:val="009210F2"/>
    <w:rsid w:val="0092185C"/>
    <w:rsid w:val="00922432"/>
    <w:rsid w:val="009225B4"/>
    <w:rsid w:val="009229E0"/>
    <w:rsid w:val="009238A7"/>
    <w:rsid w:val="00923B89"/>
    <w:rsid w:val="00923F9C"/>
    <w:rsid w:val="009247A0"/>
    <w:rsid w:val="00924C05"/>
    <w:rsid w:val="00924D6B"/>
    <w:rsid w:val="00926325"/>
    <w:rsid w:val="009265B4"/>
    <w:rsid w:val="009266CF"/>
    <w:rsid w:val="0092673A"/>
    <w:rsid w:val="00926976"/>
    <w:rsid w:val="00926D04"/>
    <w:rsid w:val="00926F71"/>
    <w:rsid w:val="009276D0"/>
    <w:rsid w:val="009306FB"/>
    <w:rsid w:val="00930733"/>
    <w:rsid w:val="009309D8"/>
    <w:rsid w:val="0093207C"/>
    <w:rsid w:val="00932100"/>
    <w:rsid w:val="00932397"/>
    <w:rsid w:val="00932AC4"/>
    <w:rsid w:val="00932C3A"/>
    <w:rsid w:val="00933B0D"/>
    <w:rsid w:val="009344B6"/>
    <w:rsid w:val="00935153"/>
    <w:rsid w:val="00935352"/>
    <w:rsid w:val="009364F7"/>
    <w:rsid w:val="009365BE"/>
    <w:rsid w:val="00936CBF"/>
    <w:rsid w:val="00936F31"/>
    <w:rsid w:val="00937852"/>
    <w:rsid w:val="009402CA"/>
    <w:rsid w:val="00940F12"/>
    <w:rsid w:val="00941610"/>
    <w:rsid w:val="00942A93"/>
    <w:rsid w:val="00942CD1"/>
    <w:rsid w:val="00942FCA"/>
    <w:rsid w:val="0094315A"/>
    <w:rsid w:val="00943202"/>
    <w:rsid w:val="009434F9"/>
    <w:rsid w:val="009454B4"/>
    <w:rsid w:val="00945B2E"/>
    <w:rsid w:val="009469D2"/>
    <w:rsid w:val="00946E2F"/>
    <w:rsid w:val="009471E2"/>
    <w:rsid w:val="0094739C"/>
    <w:rsid w:val="00947458"/>
    <w:rsid w:val="00947822"/>
    <w:rsid w:val="00947AF3"/>
    <w:rsid w:val="009500C6"/>
    <w:rsid w:val="00950504"/>
    <w:rsid w:val="00950D84"/>
    <w:rsid w:val="009510D2"/>
    <w:rsid w:val="00953836"/>
    <w:rsid w:val="009541ED"/>
    <w:rsid w:val="009544BA"/>
    <w:rsid w:val="0095489B"/>
    <w:rsid w:val="00954C38"/>
    <w:rsid w:val="00954C93"/>
    <w:rsid w:val="009552ED"/>
    <w:rsid w:val="00955B70"/>
    <w:rsid w:val="00955E11"/>
    <w:rsid w:val="00956717"/>
    <w:rsid w:val="009576E0"/>
    <w:rsid w:val="00957743"/>
    <w:rsid w:val="00960775"/>
    <w:rsid w:val="00960CDA"/>
    <w:rsid w:val="00960EC8"/>
    <w:rsid w:val="00961433"/>
    <w:rsid w:val="00961950"/>
    <w:rsid w:val="00961D65"/>
    <w:rsid w:val="00962B8E"/>
    <w:rsid w:val="00962FB5"/>
    <w:rsid w:val="009632F7"/>
    <w:rsid w:val="00963C42"/>
    <w:rsid w:val="00963C60"/>
    <w:rsid w:val="00963D62"/>
    <w:rsid w:val="00965764"/>
    <w:rsid w:val="009657B7"/>
    <w:rsid w:val="00965944"/>
    <w:rsid w:val="00965E2F"/>
    <w:rsid w:val="009662B2"/>
    <w:rsid w:val="00966482"/>
    <w:rsid w:val="0096671F"/>
    <w:rsid w:val="0096696C"/>
    <w:rsid w:val="009704C5"/>
    <w:rsid w:val="00970FCB"/>
    <w:rsid w:val="009711A1"/>
    <w:rsid w:val="00971590"/>
    <w:rsid w:val="009716A4"/>
    <w:rsid w:val="00971C13"/>
    <w:rsid w:val="00973502"/>
    <w:rsid w:val="00973BDC"/>
    <w:rsid w:val="00973DA1"/>
    <w:rsid w:val="00974DB6"/>
    <w:rsid w:val="00975BBC"/>
    <w:rsid w:val="00975C7D"/>
    <w:rsid w:val="0097653D"/>
    <w:rsid w:val="00976BF1"/>
    <w:rsid w:val="00976D83"/>
    <w:rsid w:val="0097790C"/>
    <w:rsid w:val="0098031F"/>
    <w:rsid w:val="00980420"/>
    <w:rsid w:val="00981A57"/>
    <w:rsid w:val="0098216C"/>
    <w:rsid w:val="00982570"/>
    <w:rsid w:val="009828B5"/>
    <w:rsid w:val="00982FDB"/>
    <w:rsid w:val="00983247"/>
    <w:rsid w:val="00983334"/>
    <w:rsid w:val="00983C6B"/>
    <w:rsid w:val="00983E8B"/>
    <w:rsid w:val="00984D9F"/>
    <w:rsid w:val="00984F3A"/>
    <w:rsid w:val="009857B0"/>
    <w:rsid w:val="00985FB4"/>
    <w:rsid w:val="00986B33"/>
    <w:rsid w:val="009876CC"/>
    <w:rsid w:val="00990157"/>
    <w:rsid w:val="00990279"/>
    <w:rsid w:val="0099031A"/>
    <w:rsid w:val="00990360"/>
    <w:rsid w:val="0099047D"/>
    <w:rsid w:val="00990EFF"/>
    <w:rsid w:val="0099174B"/>
    <w:rsid w:val="009917EF"/>
    <w:rsid w:val="00991D80"/>
    <w:rsid w:val="0099241B"/>
    <w:rsid w:val="00992421"/>
    <w:rsid w:val="0099283F"/>
    <w:rsid w:val="00992FB3"/>
    <w:rsid w:val="009935FC"/>
    <w:rsid w:val="009937E0"/>
    <w:rsid w:val="00993B35"/>
    <w:rsid w:val="00993DC3"/>
    <w:rsid w:val="00993DE2"/>
    <w:rsid w:val="009953E9"/>
    <w:rsid w:val="0099550E"/>
    <w:rsid w:val="0099570F"/>
    <w:rsid w:val="00996196"/>
    <w:rsid w:val="0099638F"/>
    <w:rsid w:val="00996D48"/>
    <w:rsid w:val="009A00D8"/>
    <w:rsid w:val="009A037C"/>
    <w:rsid w:val="009A0850"/>
    <w:rsid w:val="009A0D8F"/>
    <w:rsid w:val="009A0F84"/>
    <w:rsid w:val="009A134E"/>
    <w:rsid w:val="009A14A3"/>
    <w:rsid w:val="009A1855"/>
    <w:rsid w:val="009A26E9"/>
    <w:rsid w:val="009A2AD2"/>
    <w:rsid w:val="009A33AE"/>
    <w:rsid w:val="009A3453"/>
    <w:rsid w:val="009A460C"/>
    <w:rsid w:val="009A4635"/>
    <w:rsid w:val="009A4E5E"/>
    <w:rsid w:val="009A5080"/>
    <w:rsid w:val="009A51DF"/>
    <w:rsid w:val="009A53D0"/>
    <w:rsid w:val="009A58C2"/>
    <w:rsid w:val="009A5E0B"/>
    <w:rsid w:val="009A6103"/>
    <w:rsid w:val="009A645A"/>
    <w:rsid w:val="009A651A"/>
    <w:rsid w:val="009A6733"/>
    <w:rsid w:val="009A735C"/>
    <w:rsid w:val="009A7F95"/>
    <w:rsid w:val="009B1EFD"/>
    <w:rsid w:val="009B2526"/>
    <w:rsid w:val="009B3449"/>
    <w:rsid w:val="009B3DB2"/>
    <w:rsid w:val="009B481B"/>
    <w:rsid w:val="009B4F26"/>
    <w:rsid w:val="009B51FB"/>
    <w:rsid w:val="009B5A90"/>
    <w:rsid w:val="009B5F9F"/>
    <w:rsid w:val="009B6827"/>
    <w:rsid w:val="009B71BD"/>
    <w:rsid w:val="009B7AD4"/>
    <w:rsid w:val="009B7F7B"/>
    <w:rsid w:val="009B7F81"/>
    <w:rsid w:val="009C02EA"/>
    <w:rsid w:val="009C03C6"/>
    <w:rsid w:val="009C111F"/>
    <w:rsid w:val="009C16AA"/>
    <w:rsid w:val="009C1950"/>
    <w:rsid w:val="009C196D"/>
    <w:rsid w:val="009C1E4B"/>
    <w:rsid w:val="009C205A"/>
    <w:rsid w:val="009C298A"/>
    <w:rsid w:val="009C364E"/>
    <w:rsid w:val="009C3ECA"/>
    <w:rsid w:val="009C4D2E"/>
    <w:rsid w:val="009C4E7F"/>
    <w:rsid w:val="009C5D23"/>
    <w:rsid w:val="009C6109"/>
    <w:rsid w:val="009C63B7"/>
    <w:rsid w:val="009C769C"/>
    <w:rsid w:val="009D054E"/>
    <w:rsid w:val="009D0EEC"/>
    <w:rsid w:val="009D0FB4"/>
    <w:rsid w:val="009D202E"/>
    <w:rsid w:val="009D29EB"/>
    <w:rsid w:val="009D2A00"/>
    <w:rsid w:val="009D2D6E"/>
    <w:rsid w:val="009D2DAC"/>
    <w:rsid w:val="009D3789"/>
    <w:rsid w:val="009D4097"/>
    <w:rsid w:val="009D417F"/>
    <w:rsid w:val="009D4815"/>
    <w:rsid w:val="009D4E63"/>
    <w:rsid w:val="009D522C"/>
    <w:rsid w:val="009D547C"/>
    <w:rsid w:val="009D56F8"/>
    <w:rsid w:val="009D5770"/>
    <w:rsid w:val="009D58F6"/>
    <w:rsid w:val="009D5BFA"/>
    <w:rsid w:val="009D5CB2"/>
    <w:rsid w:val="009D6005"/>
    <w:rsid w:val="009D61CE"/>
    <w:rsid w:val="009D6DC2"/>
    <w:rsid w:val="009D7E41"/>
    <w:rsid w:val="009E0658"/>
    <w:rsid w:val="009E0893"/>
    <w:rsid w:val="009E0926"/>
    <w:rsid w:val="009E10CB"/>
    <w:rsid w:val="009E139D"/>
    <w:rsid w:val="009E186B"/>
    <w:rsid w:val="009E2535"/>
    <w:rsid w:val="009E2790"/>
    <w:rsid w:val="009E2A2D"/>
    <w:rsid w:val="009E2AEB"/>
    <w:rsid w:val="009E2B18"/>
    <w:rsid w:val="009E2CDB"/>
    <w:rsid w:val="009E334B"/>
    <w:rsid w:val="009E52B4"/>
    <w:rsid w:val="009E580E"/>
    <w:rsid w:val="009E5914"/>
    <w:rsid w:val="009E61C8"/>
    <w:rsid w:val="009E61F3"/>
    <w:rsid w:val="009E7D57"/>
    <w:rsid w:val="009E7DF0"/>
    <w:rsid w:val="009E7EE9"/>
    <w:rsid w:val="009E7F33"/>
    <w:rsid w:val="009F003C"/>
    <w:rsid w:val="009F00D0"/>
    <w:rsid w:val="009F043A"/>
    <w:rsid w:val="009F06DD"/>
    <w:rsid w:val="009F072D"/>
    <w:rsid w:val="009F1017"/>
    <w:rsid w:val="009F1110"/>
    <w:rsid w:val="009F12A1"/>
    <w:rsid w:val="009F1586"/>
    <w:rsid w:val="009F18A1"/>
    <w:rsid w:val="009F218F"/>
    <w:rsid w:val="009F25BF"/>
    <w:rsid w:val="009F2753"/>
    <w:rsid w:val="009F27D1"/>
    <w:rsid w:val="009F334E"/>
    <w:rsid w:val="009F3E94"/>
    <w:rsid w:val="009F3F5C"/>
    <w:rsid w:val="009F41F8"/>
    <w:rsid w:val="009F49C4"/>
    <w:rsid w:val="009F4A71"/>
    <w:rsid w:val="009F4C45"/>
    <w:rsid w:val="009F5659"/>
    <w:rsid w:val="009F5F16"/>
    <w:rsid w:val="009F6AD7"/>
    <w:rsid w:val="009F6F01"/>
    <w:rsid w:val="009F7010"/>
    <w:rsid w:val="009F705C"/>
    <w:rsid w:val="009F79D8"/>
    <w:rsid w:val="009F7C68"/>
    <w:rsid w:val="00A00305"/>
    <w:rsid w:val="00A0038F"/>
    <w:rsid w:val="00A0053F"/>
    <w:rsid w:val="00A0092F"/>
    <w:rsid w:val="00A00986"/>
    <w:rsid w:val="00A009A0"/>
    <w:rsid w:val="00A00EEA"/>
    <w:rsid w:val="00A01688"/>
    <w:rsid w:val="00A01DF2"/>
    <w:rsid w:val="00A029CC"/>
    <w:rsid w:val="00A03642"/>
    <w:rsid w:val="00A03F80"/>
    <w:rsid w:val="00A0504D"/>
    <w:rsid w:val="00A0590C"/>
    <w:rsid w:val="00A05ACB"/>
    <w:rsid w:val="00A05D48"/>
    <w:rsid w:val="00A05E82"/>
    <w:rsid w:val="00A061A3"/>
    <w:rsid w:val="00A06723"/>
    <w:rsid w:val="00A07F1C"/>
    <w:rsid w:val="00A102EC"/>
    <w:rsid w:val="00A10C49"/>
    <w:rsid w:val="00A1130D"/>
    <w:rsid w:val="00A11741"/>
    <w:rsid w:val="00A11EEB"/>
    <w:rsid w:val="00A12027"/>
    <w:rsid w:val="00A121E6"/>
    <w:rsid w:val="00A1317D"/>
    <w:rsid w:val="00A13E2C"/>
    <w:rsid w:val="00A14164"/>
    <w:rsid w:val="00A146AA"/>
    <w:rsid w:val="00A146B8"/>
    <w:rsid w:val="00A14AC2"/>
    <w:rsid w:val="00A15696"/>
    <w:rsid w:val="00A156CF"/>
    <w:rsid w:val="00A158B9"/>
    <w:rsid w:val="00A158BA"/>
    <w:rsid w:val="00A15B9E"/>
    <w:rsid w:val="00A1634D"/>
    <w:rsid w:val="00A1768C"/>
    <w:rsid w:val="00A17B6E"/>
    <w:rsid w:val="00A2038A"/>
    <w:rsid w:val="00A21967"/>
    <w:rsid w:val="00A223B1"/>
    <w:rsid w:val="00A226FD"/>
    <w:rsid w:val="00A2273A"/>
    <w:rsid w:val="00A22E02"/>
    <w:rsid w:val="00A22E94"/>
    <w:rsid w:val="00A23422"/>
    <w:rsid w:val="00A236B2"/>
    <w:rsid w:val="00A236FD"/>
    <w:rsid w:val="00A23BE2"/>
    <w:rsid w:val="00A24EAB"/>
    <w:rsid w:val="00A25281"/>
    <w:rsid w:val="00A25C92"/>
    <w:rsid w:val="00A25EDD"/>
    <w:rsid w:val="00A26197"/>
    <w:rsid w:val="00A26E6F"/>
    <w:rsid w:val="00A273FB"/>
    <w:rsid w:val="00A27439"/>
    <w:rsid w:val="00A27BF0"/>
    <w:rsid w:val="00A27C69"/>
    <w:rsid w:val="00A27EDE"/>
    <w:rsid w:val="00A3032C"/>
    <w:rsid w:val="00A309C1"/>
    <w:rsid w:val="00A30CEC"/>
    <w:rsid w:val="00A314BF"/>
    <w:rsid w:val="00A31705"/>
    <w:rsid w:val="00A31AFD"/>
    <w:rsid w:val="00A325F1"/>
    <w:rsid w:val="00A326AB"/>
    <w:rsid w:val="00A332A2"/>
    <w:rsid w:val="00A33F2C"/>
    <w:rsid w:val="00A34426"/>
    <w:rsid w:val="00A344C8"/>
    <w:rsid w:val="00A34BA6"/>
    <w:rsid w:val="00A34FCC"/>
    <w:rsid w:val="00A34FEC"/>
    <w:rsid w:val="00A353D1"/>
    <w:rsid w:val="00A35B9D"/>
    <w:rsid w:val="00A35DF4"/>
    <w:rsid w:val="00A36125"/>
    <w:rsid w:val="00A36139"/>
    <w:rsid w:val="00A36166"/>
    <w:rsid w:val="00A3617D"/>
    <w:rsid w:val="00A36804"/>
    <w:rsid w:val="00A37273"/>
    <w:rsid w:val="00A3780E"/>
    <w:rsid w:val="00A37D6C"/>
    <w:rsid w:val="00A400E3"/>
    <w:rsid w:val="00A404DC"/>
    <w:rsid w:val="00A406EF"/>
    <w:rsid w:val="00A40A85"/>
    <w:rsid w:val="00A40CAF"/>
    <w:rsid w:val="00A41642"/>
    <w:rsid w:val="00A4282D"/>
    <w:rsid w:val="00A43D95"/>
    <w:rsid w:val="00A43E09"/>
    <w:rsid w:val="00A448C4"/>
    <w:rsid w:val="00A4495B"/>
    <w:rsid w:val="00A44CAE"/>
    <w:rsid w:val="00A44DB2"/>
    <w:rsid w:val="00A4562F"/>
    <w:rsid w:val="00A45867"/>
    <w:rsid w:val="00A45C16"/>
    <w:rsid w:val="00A45E5F"/>
    <w:rsid w:val="00A469A0"/>
    <w:rsid w:val="00A47D56"/>
    <w:rsid w:val="00A47DFC"/>
    <w:rsid w:val="00A502AC"/>
    <w:rsid w:val="00A5073B"/>
    <w:rsid w:val="00A5094F"/>
    <w:rsid w:val="00A50AEB"/>
    <w:rsid w:val="00A50E20"/>
    <w:rsid w:val="00A50F68"/>
    <w:rsid w:val="00A513AE"/>
    <w:rsid w:val="00A515A0"/>
    <w:rsid w:val="00A53063"/>
    <w:rsid w:val="00A536E7"/>
    <w:rsid w:val="00A538BF"/>
    <w:rsid w:val="00A54914"/>
    <w:rsid w:val="00A54EC5"/>
    <w:rsid w:val="00A5504D"/>
    <w:rsid w:val="00A5592C"/>
    <w:rsid w:val="00A55F95"/>
    <w:rsid w:val="00A565BF"/>
    <w:rsid w:val="00A5693F"/>
    <w:rsid w:val="00A56A7F"/>
    <w:rsid w:val="00A56B6C"/>
    <w:rsid w:val="00A57551"/>
    <w:rsid w:val="00A5765C"/>
    <w:rsid w:val="00A576F4"/>
    <w:rsid w:val="00A57974"/>
    <w:rsid w:val="00A60AEE"/>
    <w:rsid w:val="00A61A3D"/>
    <w:rsid w:val="00A62C70"/>
    <w:rsid w:val="00A62F00"/>
    <w:rsid w:val="00A6370E"/>
    <w:rsid w:val="00A63777"/>
    <w:rsid w:val="00A63CA9"/>
    <w:rsid w:val="00A63D65"/>
    <w:rsid w:val="00A64DB1"/>
    <w:rsid w:val="00A64E05"/>
    <w:rsid w:val="00A6608F"/>
    <w:rsid w:val="00A66F1F"/>
    <w:rsid w:val="00A67594"/>
    <w:rsid w:val="00A67D44"/>
    <w:rsid w:val="00A70448"/>
    <w:rsid w:val="00A70D11"/>
    <w:rsid w:val="00A71BE1"/>
    <w:rsid w:val="00A71D07"/>
    <w:rsid w:val="00A71ED5"/>
    <w:rsid w:val="00A727EA"/>
    <w:rsid w:val="00A727F2"/>
    <w:rsid w:val="00A72965"/>
    <w:rsid w:val="00A72EB1"/>
    <w:rsid w:val="00A73D0E"/>
    <w:rsid w:val="00A74192"/>
    <w:rsid w:val="00A744DE"/>
    <w:rsid w:val="00A74BBF"/>
    <w:rsid w:val="00A750F9"/>
    <w:rsid w:val="00A757D7"/>
    <w:rsid w:val="00A77037"/>
    <w:rsid w:val="00A770F7"/>
    <w:rsid w:val="00A7737B"/>
    <w:rsid w:val="00A77401"/>
    <w:rsid w:val="00A77435"/>
    <w:rsid w:val="00A7752F"/>
    <w:rsid w:val="00A775DA"/>
    <w:rsid w:val="00A778AE"/>
    <w:rsid w:val="00A77CA6"/>
    <w:rsid w:val="00A80126"/>
    <w:rsid w:val="00A80259"/>
    <w:rsid w:val="00A80BC9"/>
    <w:rsid w:val="00A81887"/>
    <w:rsid w:val="00A81AC2"/>
    <w:rsid w:val="00A81EA0"/>
    <w:rsid w:val="00A8297F"/>
    <w:rsid w:val="00A82ED7"/>
    <w:rsid w:val="00A8313F"/>
    <w:rsid w:val="00A848B7"/>
    <w:rsid w:val="00A84A99"/>
    <w:rsid w:val="00A84C69"/>
    <w:rsid w:val="00A85135"/>
    <w:rsid w:val="00A85EF0"/>
    <w:rsid w:val="00A86746"/>
    <w:rsid w:val="00A86C98"/>
    <w:rsid w:val="00A90379"/>
    <w:rsid w:val="00A906DA"/>
    <w:rsid w:val="00A91658"/>
    <w:rsid w:val="00A91681"/>
    <w:rsid w:val="00A91B51"/>
    <w:rsid w:val="00A91CE3"/>
    <w:rsid w:val="00A920CF"/>
    <w:rsid w:val="00A9215B"/>
    <w:rsid w:val="00A9221F"/>
    <w:rsid w:val="00A9265E"/>
    <w:rsid w:val="00A934CC"/>
    <w:rsid w:val="00A93C21"/>
    <w:rsid w:val="00A945AB"/>
    <w:rsid w:val="00A956D4"/>
    <w:rsid w:val="00A95862"/>
    <w:rsid w:val="00A95B77"/>
    <w:rsid w:val="00A95CDA"/>
    <w:rsid w:val="00A9600D"/>
    <w:rsid w:val="00A96036"/>
    <w:rsid w:val="00A962DC"/>
    <w:rsid w:val="00A96311"/>
    <w:rsid w:val="00A96F72"/>
    <w:rsid w:val="00A9721C"/>
    <w:rsid w:val="00A97230"/>
    <w:rsid w:val="00A97572"/>
    <w:rsid w:val="00A978B2"/>
    <w:rsid w:val="00A97DCF"/>
    <w:rsid w:val="00AA0C86"/>
    <w:rsid w:val="00AA1869"/>
    <w:rsid w:val="00AA1C46"/>
    <w:rsid w:val="00AA31C0"/>
    <w:rsid w:val="00AA3936"/>
    <w:rsid w:val="00AA3F2C"/>
    <w:rsid w:val="00AA3F37"/>
    <w:rsid w:val="00AA411B"/>
    <w:rsid w:val="00AA4B33"/>
    <w:rsid w:val="00AA4E8C"/>
    <w:rsid w:val="00AA511E"/>
    <w:rsid w:val="00AA517E"/>
    <w:rsid w:val="00AA518A"/>
    <w:rsid w:val="00AA5261"/>
    <w:rsid w:val="00AA5665"/>
    <w:rsid w:val="00AA5A80"/>
    <w:rsid w:val="00AA62F4"/>
    <w:rsid w:val="00AA6723"/>
    <w:rsid w:val="00AA7034"/>
    <w:rsid w:val="00AA77B3"/>
    <w:rsid w:val="00AA7E80"/>
    <w:rsid w:val="00AB0477"/>
    <w:rsid w:val="00AB050A"/>
    <w:rsid w:val="00AB12EB"/>
    <w:rsid w:val="00AB1643"/>
    <w:rsid w:val="00AB1B93"/>
    <w:rsid w:val="00AB4BFF"/>
    <w:rsid w:val="00AB4CC4"/>
    <w:rsid w:val="00AB4E8C"/>
    <w:rsid w:val="00AB50F9"/>
    <w:rsid w:val="00AB5242"/>
    <w:rsid w:val="00AB551A"/>
    <w:rsid w:val="00AB697F"/>
    <w:rsid w:val="00AB712E"/>
    <w:rsid w:val="00AB7308"/>
    <w:rsid w:val="00AB77B5"/>
    <w:rsid w:val="00AC0775"/>
    <w:rsid w:val="00AC0829"/>
    <w:rsid w:val="00AC0FC7"/>
    <w:rsid w:val="00AC1495"/>
    <w:rsid w:val="00AC22DE"/>
    <w:rsid w:val="00AC2AC2"/>
    <w:rsid w:val="00AC33C2"/>
    <w:rsid w:val="00AC416B"/>
    <w:rsid w:val="00AC4DA0"/>
    <w:rsid w:val="00AC50E2"/>
    <w:rsid w:val="00AC5376"/>
    <w:rsid w:val="00AC5C56"/>
    <w:rsid w:val="00AC5E8F"/>
    <w:rsid w:val="00AC613A"/>
    <w:rsid w:val="00AC6302"/>
    <w:rsid w:val="00AC6F07"/>
    <w:rsid w:val="00AC736A"/>
    <w:rsid w:val="00AC7C14"/>
    <w:rsid w:val="00AD05DB"/>
    <w:rsid w:val="00AD0801"/>
    <w:rsid w:val="00AD0807"/>
    <w:rsid w:val="00AD08AD"/>
    <w:rsid w:val="00AD0F31"/>
    <w:rsid w:val="00AD1297"/>
    <w:rsid w:val="00AD175C"/>
    <w:rsid w:val="00AD1825"/>
    <w:rsid w:val="00AD1AAF"/>
    <w:rsid w:val="00AD2D63"/>
    <w:rsid w:val="00AD3188"/>
    <w:rsid w:val="00AD389C"/>
    <w:rsid w:val="00AD3FED"/>
    <w:rsid w:val="00AD4198"/>
    <w:rsid w:val="00AD4B48"/>
    <w:rsid w:val="00AD4B87"/>
    <w:rsid w:val="00AD4E1E"/>
    <w:rsid w:val="00AD4FC3"/>
    <w:rsid w:val="00AD56EE"/>
    <w:rsid w:val="00AD6712"/>
    <w:rsid w:val="00AD67E3"/>
    <w:rsid w:val="00AD69DD"/>
    <w:rsid w:val="00AD7522"/>
    <w:rsid w:val="00AD7B22"/>
    <w:rsid w:val="00AE02F0"/>
    <w:rsid w:val="00AE054C"/>
    <w:rsid w:val="00AE1987"/>
    <w:rsid w:val="00AE1AB4"/>
    <w:rsid w:val="00AE1F48"/>
    <w:rsid w:val="00AE2197"/>
    <w:rsid w:val="00AE21A9"/>
    <w:rsid w:val="00AE2528"/>
    <w:rsid w:val="00AE25DF"/>
    <w:rsid w:val="00AE2F68"/>
    <w:rsid w:val="00AE3359"/>
    <w:rsid w:val="00AE39DE"/>
    <w:rsid w:val="00AE3C6A"/>
    <w:rsid w:val="00AE4BBD"/>
    <w:rsid w:val="00AE5502"/>
    <w:rsid w:val="00AE5F43"/>
    <w:rsid w:val="00AE6310"/>
    <w:rsid w:val="00AE6696"/>
    <w:rsid w:val="00AE6820"/>
    <w:rsid w:val="00AE68C6"/>
    <w:rsid w:val="00AE6BF2"/>
    <w:rsid w:val="00AE6D0F"/>
    <w:rsid w:val="00AE6DB8"/>
    <w:rsid w:val="00AE734A"/>
    <w:rsid w:val="00AF011A"/>
    <w:rsid w:val="00AF0238"/>
    <w:rsid w:val="00AF0F12"/>
    <w:rsid w:val="00AF0F71"/>
    <w:rsid w:val="00AF118B"/>
    <w:rsid w:val="00AF15F8"/>
    <w:rsid w:val="00AF1C58"/>
    <w:rsid w:val="00AF2794"/>
    <w:rsid w:val="00AF27AD"/>
    <w:rsid w:val="00AF2A2D"/>
    <w:rsid w:val="00AF384D"/>
    <w:rsid w:val="00AF392A"/>
    <w:rsid w:val="00AF3D67"/>
    <w:rsid w:val="00AF4A99"/>
    <w:rsid w:val="00AF4F2E"/>
    <w:rsid w:val="00AF52A3"/>
    <w:rsid w:val="00AF53E5"/>
    <w:rsid w:val="00AF5DF1"/>
    <w:rsid w:val="00AF659B"/>
    <w:rsid w:val="00AF65F1"/>
    <w:rsid w:val="00AF663B"/>
    <w:rsid w:val="00AF740E"/>
    <w:rsid w:val="00AF7660"/>
    <w:rsid w:val="00AF7BEC"/>
    <w:rsid w:val="00AF7CB2"/>
    <w:rsid w:val="00AF7EFE"/>
    <w:rsid w:val="00B00253"/>
    <w:rsid w:val="00B004E4"/>
    <w:rsid w:val="00B00745"/>
    <w:rsid w:val="00B01307"/>
    <w:rsid w:val="00B01BCE"/>
    <w:rsid w:val="00B01C2E"/>
    <w:rsid w:val="00B027F7"/>
    <w:rsid w:val="00B02A7E"/>
    <w:rsid w:val="00B03542"/>
    <w:rsid w:val="00B03E07"/>
    <w:rsid w:val="00B03F55"/>
    <w:rsid w:val="00B0449C"/>
    <w:rsid w:val="00B0462E"/>
    <w:rsid w:val="00B046C8"/>
    <w:rsid w:val="00B0475D"/>
    <w:rsid w:val="00B049D3"/>
    <w:rsid w:val="00B05005"/>
    <w:rsid w:val="00B053B4"/>
    <w:rsid w:val="00B0541A"/>
    <w:rsid w:val="00B05512"/>
    <w:rsid w:val="00B05C0C"/>
    <w:rsid w:val="00B05CAF"/>
    <w:rsid w:val="00B05EFC"/>
    <w:rsid w:val="00B05F3B"/>
    <w:rsid w:val="00B060D2"/>
    <w:rsid w:val="00B064E9"/>
    <w:rsid w:val="00B06847"/>
    <w:rsid w:val="00B068AC"/>
    <w:rsid w:val="00B07113"/>
    <w:rsid w:val="00B073DE"/>
    <w:rsid w:val="00B075A7"/>
    <w:rsid w:val="00B078BD"/>
    <w:rsid w:val="00B100EA"/>
    <w:rsid w:val="00B103EB"/>
    <w:rsid w:val="00B104AA"/>
    <w:rsid w:val="00B1053F"/>
    <w:rsid w:val="00B10603"/>
    <w:rsid w:val="00B10D25"/>
    <w:rsid w:val="00B10EBA"/>
    <w:rsid w:val="00B1141B"/>
    <w:rsid w:val="00B115B4"/>
    <w:rsid w:val="00B1165A"/>
    <w:rsid w:val="00B11FE1"/>
    <w:rsid w:val="00B12C0B"/>
    <w:rsid w:val="00B12C4A"/>
    <w:rsid w:val="00B12F75"/>
    <w:rsid w:val="00B137C1"/>
    <w:rsid w:val="00B14344"/>
    <w:rsid w:val="00B14D97"/>
    <w:rsid w:val="00B14F0F"/>
    <w:rsid w:val="00B16718"/>
    <w:rsid w:val="00B1783D"/>
    <w:rsid w:val="00B17F8B"/>
    <w:rsid w:val="00B20ED8"/>
    <w:rsid w:val="00B20FCA"/>
    <w:rsid w:val="00B2133E"/>
    <w:rsid w:val="00B2387C"/>
    <w:rsid w:val="00B24634"/>
    <w:rsid w:val="00B25482"/>
    <w:rsid w:val="00B2576F"/>
    <w:rsid w:val="00B26317"/>
    <w:rsid w:val="00B26732"/>
    <w:rsid w:val="00B27036"/>
    <w:rsid w:val="00B27331"/>
    <w:rsid w:val="00B27661"/>
    <w:rsid w:val="00B301C5"/>
    <w:rsid w:val="00B3073F"/>
    <w:rsid w:val="00B30E97"/>
    <w:rsid w:val="00B3122A"/>
    <w:rsid w:val="00B3198A"/>
    <w:rsid w:val="00B31F77"/>
    <w:rsid w:val="00B32215"/>
    <w:rsid w:val="00B32301"/>
    <w:rsid w:val="00B3261A"/>
    <w:rsid w:val="00B3267A"/>
    <w:rsid w:val="00B335E5"/>
    <w:rsid w:val="00B33F74"/>
    <w:rsid w:val="00B34085"/>
    <w:rsid w:val="00B34C4B"/>
    <w:rsid w:val="00B3566D"/>
    <w:rsid w:val="00B35A31"/>
    <w:rsid w:val="00B35B27"/>
    <w:rsid w:val="00B361C9"/>
    <w:rsid w:val="00B37912"/>
    <w:rsid w:val="00B40795"/>
    <w:rsid w:val="00B4092C"/>
    <w:rsid w:val="00B40D06"/>
    <w:rsid w:val="00B41DC8"/>
    <w:rsid w:val="00B41FFF"/>
    <w:rsid w:val="00B42729"/>
    <w:rsid w:val="00B42A7F"/>
    <w:rsid w:val="00B42D6C"/>
    <w:rsid w:val="00B45E0F"/>
    <w:rsid w:val="00B46380"/>
    <w:rsid w:val="00B46AE6"/>
    <w:rsid w:val="00B47414"/>
    <w:rsid w:val="00B475DF"/>
    <w:rsid w:val="00B50AAF"/>
    <w:rsid w:val="00B50B1A"/>
    <w:rsid w:val="00B522FE"/>
    <w:rsid w:val="00B5264D"/>
    <w:rsid w:val="00B52B64"/>
    <w:rsid w:val="00B53229"/>
    <w:rsid w:val="00B53302"/>
    <w:rsid w:val="00B5330E"/>
    <w:rsid w:val="00B5331A"/>
    <w:rsid w:val="00B548E2"/>
    <w:rsid w:val="00B54FA3"/>
    <w:rsid w:val="00B55079"/>
    <w:rsid w:val="00B55541"/>
    <w:rsid w:val="00B55596"/>
    <w:rsid w:val="00B555FD"/>
    <w:rsid w:val="00B559BF"/>
    <w:rsid w:val="00B55A1C"/>
    <w:rsid w:val="00B565F2"/>
    <w:rsid w:val="00B5685C"/>
    <w:rsid w:val="00B56CBF"/>
    <w:rsid w:val="00B574DE"/>
    <w:rsid w:val="00B60B53"/>
    <w:rsid w:val="00B60D4F"/>
    <w:rsid w:val="00B61530"/>
    <w:rsid w:val="00B6199E"/>
    <w:rsid w:val="00B61D93"/>
    <w:rsid w:val="00B62274"/>
    <w:rsid w:val="00B62299"/>
    <w:rsid w:val="00B633F0"/>
    <w:rsid w:val="00B635F6"/>
    <w:rsid w:val="00B63B76"/>
    <w:rsid w:val="00B65AD8"/>
    <w:rsid w:val="00B65B0F"/>
    <w:rsid w:val="00B65DBB"/>
    <w:rsid w:val="00B662B2"/>
    <w:rsid w:val="00B665D7"/>
    <w:rsid w:val="00B66DE5"/>
    <w:rsid w:val="00B67785"/>
    <w:rsid w:val="00B70350"/>
    <w:rsid w:val="00B70A1B"/>
    <w:rsid w:val="00B70D06"/>
    <w:rsid w:val="00B70DD0"/>
    <w:rsid w:val="00B70E10"/>
    <w:rsid w:val="00B70E52"/>
    <w:rsid w:val="00B71A97"/>
    <w:rsid w:val="00B71B25"/>
    <w:rsid w:val="00B71C5D"/>
    <w:rsid w:val="00B7208C"/>
    <w:rsid w:val="00B749DA"/>
    <w:rsid w:val="00B753CE"/>
    <w:rsid w:val="00B75E04"/>
    <w:rsid w:val="00B76540"/>
    <w:rsid w:val="00B765CF"/>
    <w:rsid w:val="00B766DB"/>
    <w:rsid w:val="00B767FA"/>
    <w:rsid w:val="00B76B8D"/>
    <w:rsid w:val="00B777B2"/>
    <w:rsid w:val="00B80DFA"/>
    <w:rsid w:val="00B81189"/>
    <w:rsid w:val="00B81749"/>
    <w:rsid w:val="00B818BF"/>
    <w:rsid w:val="00B81ECB"/>
    <w:rsid w:val="00B826DC"/>
    <w:rsid w:val="00B82EB0"/>
    <w:rsid w:val="00B831E3"/>
    <w:rsid w:val="00B83C70"/>
    <w:rsid w:val="00B84014"/>
    <w:rsid w:val="00B84701"/>
    <w:rsid w:val="00B84998"/>
    <w:rsid w:val="00B849C7"/>
    <w:rsid w:val="00B84FB7"/>
    <w:rsid w:val="00B85074"/>
    <w:rsid w:val="00B85276"/>
    <w:rsid w:val="00B86191"/>
    <w:rsid w:val="00B87174"/>
    <w:rsid w:val="00B8736D"/>
    <w:rsid w:val="00B8780D"/>
    <w:rsid w:val="00B8782C"/>
    <w:rsid w:val="00B87F38"/>
    <w:rsid w:val="00B90C30"/>
    <w:rsid w:val="00B90E68"/>
    <w:rsid w:val="00B921EB"/>
    <w:rsid w:val="00B92393"/>
    <w:rsid w:val="00B92986"/>
    <w:rsid w:val="00B93754"/>
    <w:rsid w:val="00B93E5B"/>
    <w:rsid w:val="00B94009"/>
    <w:rsid w:val="00B94683"/>
    <w:rsid w:val="00B957D4"/>
    <w:rsid w:val="00B95C1D"/>
    <w:rsid w:val="00B95DF6"/>
    <w:rsid w:val="00B95FC7"/>
    <w:rsid w:val="00B964B0"/>
    <w:rsid w:val="00B96837"/>
    <w:rsid w:val="00B970E8"/>
    <w:rsid w:val="00B97982"/>
    <w:rsid w:val="00BA03FB"/>
    <w:rsid w:val="00BA1081"/>
    <w:rsid w:val="00BA1CF5"/>
    <w:rsid w:val="00BA2AA8"/>
    <w:rsid w:val="00BA2CBF"/>
    <w:rsid w:val="00BA33B0"/>
    <w:rsid w:val="00BA38DE"/>
    <w:rsid w:val="00BA42E9"/>
    <w:rsid w:val="00BA4411"/>
    <w:rsid w:val="00BA4A54"/>
    <w:rsid w:val="00BA4D44"/>
    <w:rsid w:val="00BA558B"/>
    <w:rsid w:val="00BA575F"/>
    <w:rsid w:val="00BA5B23"/>
    <w:rsid w:val="00BA5C6E"/>
    <w:rsid w:val="00BA5EFA"/>
    <w:rsid w:val="00BA6913"/>
    <w:rsid w:val="00BA71C7"/>
    <w:rsid w:val="00BA725F"/>
    <w:rsid w:val="00BA72FD"/>
    <w:rsid w:val="00BA75EB"/>
    <w:rsid w:val="00BA7BAA"/>
    <w:rsid w:val="00BA7E81"/>
    <w:rsid w:val="00BB05A3"/>
    <w:rsid w:val="00BB0777"/>
    <w:rsid w:val="00BB07FE"/>
    <w:rsid w:val="00BB0DE7"/>
    <w:rsid w:val="00BB11B6"/>
    <w:rsid w:val="00BB1377"/>
    <w:rsid w:val="00BB14CD"/>
    <w:rsid w:val="00BB14EC"/>
    <w:rsid w:val="00BB31F3"/>
    <w:rsid w:val="00BB3A18"/>
    <w:rsid w:val="00BB4051"/>
    <w:rsid w:val="00BB461D"/>
    <w:rsid w:val="00BB4777"/>
    <w:rsid w:val="00BB487E"/>
    <w:rsid w:val="00BB4B5C"/>
    <w:rsid w:val="00BB5272"/>
    <w:rsid w:val="00BB5623"/>
    <w:rsid w:val="00BB5F2D"/>
    <w:rsid w:val="00BB6597"/>
    <w:rsid w:val="00BB6E7B"/>
    <w:rsid w:val="00BB6FDD"/>
    <w:rsid w:val="00BB7024"/>
    <w:rsid w:val="00BB77F7"/>
    <w:rsid w:val="00BB781E"/>
    <w:rsid w:val="00BB7E0E"/>
    <w:rsid w:val="00BC0119"/>
    <w:rsid w:val="00BC07DF"/>
    <w:rsid w:val="00BC09B5"/>
    <w:rsid w:val="00BC1D0D"/>
    <w:rsid w:val="00BC20EC"/>
    <w:rsid w:val="00BC2189"/>
    <w:rsid w:val="00BC2934"/>
    <w:rsid w:val="00BC2B89"/>
    <w:rsid w:val="00BC2E6A"/>
    <w:rsid w:val="00BC34D2"/>
    <w:rsid w:val="00BC355A"/>
    <w:rsid w:val="00BC3A48"/>
    <w:rsid w:val="00BC3E18"/>
    <w:rsid w:val="00BC43F8"/>
    <w:rsid w:val="00BC4648"/>
    <w:rsid w:val="00BC4985"/>
    <w:rsid w:val="00BC59DA"/>
    <w:rsid w:val="00BC6455"/>
    <w:rsid w:val="00BC66B9"/>
    <w:rsid w:val="00BC6742"/>
    <w:rsid w:val="00BC6D78"/>
    <w:rsid w:val="00BC7998"/>
    <w:rsid w:val="00BC7C85"/>
    <w:rsid w:val="00BD0F86"/>
    <w:rsid w:val="00BD1B51"/>
    <w:rsid w:val="00BD1E99"/>
    <w:rsid w:val="00BD225D"/>
    <w:rsid w:val="00BD340B"/>
    <w:rsid w:val="00BD447D"/>
    <w:rsid w:val="00BD4520"/>
    <w:rsid w:val="00BD53C3"/>
    <w:rsid w:val="00BD5867"/>
    <w:rsid w:val="00BD5962"/>
    <w:rsid w:val="00BD774C"/>
    <w:rsid w:val="00BD79A9"/>
    <w:rsid w:val="00BD7C07"/>
    <w:rsid w:val="00BE04B6"/>
    <w:rsid w:val="00BE0A4D"/>
    <w:rsid w:val="00BE0A91"/>
    <w:rsid w:val="00BE1A91"/>
    <w:rsid w:val="00BE242E"/>
    <w:rsid w:val="00BE335F"/>
    <w:rsid w:val="00BE3604"/>
    <w:rsid w:val="00BE5802"/>
    <w:rsid w:val="00BE5928"/>
    <w:rsid w:val="00BE5C84"/>
    <w:rsid w:val="00BE60A4"/>
    <w:rsid w:val="00BE7034"/>
    <w:rsid w:val="00BE70C9"/>
    <w:rsid w:val="00BE73F5"/>
    <w:rsid w:val="00BE74F8"/>
    <w:rsid w:val="00BE7761"/>
    <w:rsid w:val="00BE7BE0"/>
    <w:rsid w:val="00BE7DB5"/>
    <w:rsid w:val="00BF0518"/>
    <w:rsid w:val="00BF07F3"/>
    <w:rsid w:val="00BF1C3C"/>
    <w:rsid w:val="00BF1F7C"/>
    <w:rsid w:val="00BF20A5"/>
    <w:rsid w:val="00BF235E"/>
    <w:rsid w:val="00BF2587"/>
    <w:rsid w:val="00BF296E"/>
    <w:rsid w:val="00BF2A0D"/>
    <w:rsid w:val="00BF35F4"/>
    <w:rsid w:val="00BF393A"/>
    <w:rsid w:val="00BF4439"/>
    <w:rsid w:val="00BF4630"/>
    <w:rsid w:val="00BF4748"/>
    <w:rsid w:val="00BF5109"/>
    <w:rsid w:val="00BF5336"/>
    <w:rsid w:val="00BF5D4F"/>
    <w:rsid w:val="00BF6135"/>
    <w:rsid w:val="00BF66C3"/>
    <w:rsid w:val="00BF66F5"/>
    <w:rsid w:val="00BF6B4B"/>
    <w:rsid w:val="00BF6B52"/>
    <w:rsid w:val="00BF6CBA"/>
    <w:rsid w:val="00BF6E41"/>
    <w:rsid w:val="00BF78CF"/>
    <w:rsid w:val="00BF7D76"/>
    <w:rsid w:val="00BF7FB3"/>
    <w:rsid w:val="00C0044C"/>
    <w:rsid w:val="00C00493"/>
    <w:rsid w:val="00C015D3"/>
    <w:rsid w:val="00C01A11"/>
    <w:rsid w:val="00C02270"/>
    <w:rsid w:val="00C02A57"/>
    <w:rsid w:val="00C02F1D"/>
    <w:rsid w:val="00C03055"/>
    <w:rsid w:val="00C0341E"/>
    <w:rsid w:val="00C038D4"/>
    <w:rsid w:val="00C04916"/>
    <w:rsid w:val="00C04B7A"/>
    <w:rsid w:val="00C05516"/>
    <w:rsid w:val="00C0580B"/>
    <w:rsid w:val="00C06115"/>
    <w:rsid w:val="00C067AE"/>
    <w:rsid w:val="00C06921"/>
    <w:rsid w:val="00C07E60"/>
    <w:rsid w:val="00C103BA"/>
    <w:rsid w:val="00C1052B"/>
    <w:rsid w:val="00C10667"/>
    <w:rsid w:val="00C10C6C"/>
    <w:rsid w:val="00C10F35"/>
    <w:rsid w:val="00C111F6"/>
    <w:rsid w:val="00C11ACE"/>
    <w:rsid w:val="00C12466"/>
    <w:rsid w:val="00C12594"/>
    <w:rsid w:val="00C12611"/>
    <w:rsid w:val="00C12ACB"/>
    <w:rsid w:val="00C12F32"/>
    <w:rsid w:val="00C13246"/>
    <w:rsid w:val="00C147F4"/>
    <w:rsid w:val="00C154A7"/>
    <w:rsid w:val="00C155D8"/>
    <w:rsid w:val="00C156AA"/>
    <w:rsid w:val="00C15B85"/>
    <w:rsid w:val="00C166BA"/>
    <w:rsid w:val="00C16781"/>
    <w:rsid w:val="00C16DE7"/>
    <w:rsid w:val="00C17F52"/>
    <w:rsid w:val="00C17FF2"/>
    <w:rsid w:val="00C21624"/>
    <w:rsid w:val="00C21FCA"/>
    <w:rsid w:val="00C2298F"/>
    <w:rsid w:val="00C22C2D"/>
    <w:rsid w:val="00C23520"/>
    <w:rsid w:val="00C2381C"/>
    <w:rsid w:val="00C24AD8"/>
    <w:rsid w:val="00C2509B"/>
    <w:rsid w:val="00C25187"/>
    <w:rsid w:val="00C251FC"/>
    <w:rsid w:val="00C252E3"/>
    <w:rsid w:val="00C25E73"/>
    <w:rsid w:val="00C26043"/>
    <w:rsid w:val="00C26239"/>
    <w:rsid w:val="00C2666B"/>
    <w:rsid w:val="00C26CA1"/>
    <w:rsid w:val="00C26EDB"/>
    <w:rsid w:val="00C2749E"/>
    <w:rsid w:val="00C27827"/>
    <w:rsid w:val="00C27E1A"/>
    <w:rsid w:val="00C27E6E"/>
    <w:rsid w:val="00C30283"/>
    <w:rsid w:val="00C3078F"/>
    <w:rsid w:val="00C3096B"/>
    <w:rsid w:val="00C310E4"/>
    <w:rsid w:val="00C31FA7"/>
    <w:rsid w:val="00C320E5"/>
    <w:rsid w:val="00C32114"/>
    <w:rsid w:val="00C3258B"/>
    <w:rsid w:val="00C3273A"/>
    <w:rsid w:val="00C332CC"/>
    <w:rsid w:val="00C334F5"/>
    <w:rsid w:val="00C33811"/>
    <w:rsid w:val="00C33BF9"/>
    <w:rsid w:val="00C3401F"/>
    <w:rsid w:val="00C346CA"/>
    <w:rsid w:val="00C362CA"/>
    <w:rsid w:val="00C36416"/>
    <w:rsid w:val="00C3762D"/>
    <w:rsid w:val="00C4081C"/>
    <w:rsid w:val="00C41FE5"/>
    <w:rsid w:val="00C42F5B"/>
    <w:rsid w:val="00C4388B"/>
    <w:rsid w:val="00C43B14"/>
    <w:rsid w:val="00C44237"/>
    <w:rsid w:val="00C444FC"/>
    <w:rsid w:val="00C446DC"/>
    <w:rsid w:val="00C44782"/>
    <w:rsid w:val="00C44A23"/>
    <w:rsid w:val="00C44A47"/>
    <w:rsid w:val="00C4561E"/>
    <w:rsid w:val="00C45D2D"/>
    <w:rsid w:val="00C4615F"/>
    <w:rsid w:val="00C46169"/>
    <w:rsid w:val="00C46229"/>
    <w:rsid w:val="00C466B1"/>
    <w:rsid w:val="00C46BFE"/>
    <w:rsid w:val="00C4754E"/>
    <w:rsid w:val="00C47761"/>
    <w:rsid w:val="00C47A35"/>
    <w:rsid w:val="00C47C43"/>
    <w:rsid w:val="00C5004C"/>
    <w:rsid w:val="00C5044A"/>
    <w:rsid w:val="00C506B4"/>
    <w:rsid w:val="00C5072B"/>
    <w:rsid w:val="00C50748"/>
    <w:rsid w:val="00C50BA0"/>
    <w:rsid w:val="00C50D8A"/>
    <w:rsid w:val="00C51306"/>
    <w:rsid w:val="00C51F0D"/>
    <w:rsid w:val="00C51FF4"/>
    <w:rsid w:val="00C520A2"/>
    <w:rsid w:val="00C5283B"/>
    <w:rsid w:val="00C52875"/>
    <w:rsid w:val="00C5305D"/>
    <w:rsid w:val="00C53951"/>
    <w:rsid w:val="00C53A62"/>
    <w:rsid w:val="00C548FE"/>
    <w:rsid w:val="00C54D67"/>
    <w:rsid w:val="00C553A4"/>
    <w:rsid w:val="00C55B35"/>
    <w:rsid w:val="00C55B9C"/>
    <w:rsid w:val="00C56EFC"/>
    <w:rsid w:val="00C56F0E"/>
    <w:rsid w:val="00C570B1"/>
    <w:rsid w:val="00C576D2"/>
    <w:rsid w:val="00C57B17"/>
    <w:rsid w:val="00C60516"/>
    <w:rsid w:val="00C60576"/>
    <w:rsid w:val="00C61168"/>
    <w:rsid w:val="00C611E5"/>
    <w:rsid w:val="00C61587"/>
    <w:rsid w:val="00C61E77"/>
    <w:rsid w:val="00C62158"/>
    <w:rsid w:val="00C62AF3"/>
    <w:rsid w:val="00C632BC"/>
    <w:rsid w:val="00C63579"/>
    <w:rsid w:val="00C636F3"/>
    <w:rsid w:val="00C63BB9"/>
    <w:rsid w:val="00C63DE6"/>
    <w:rsid w:val="00C6412F"/>
    <w:rsid w:val="00C6419E"/>
    <w:rsid w:val="00C6484E"/>
    <w:rsid w:val="00C6494B"/>
    <w:rsid w:val="00C64990"/>
    <w:rsid w:val="00C65175"/>
    <w:rsid w:val="00C65836"/>
    <w:rsid w:val="00C65C9E"/>
    <w:rsid w:val="00C6616A"/>
    <w:rsid w:val="00C66423"/>
    <w:rsid w:val="00C6652E"/>
    <w:rsid w:val="00C67887"/>
    <w:rsid w:val="00C67A4D"/>
    <w:rsid w:val="00C70585"/>
    <w:rsid w:val="00C70E03"/>
    <w:rsid w:val="00C71231"/>
    <w:rsid w:val="00C71D58"/>
    <w:rsid w:val="00C722C9"/>
    <w:rsid w:val="00C725CD"/>
    <w:rsid w:val="00C730E3"/>
    <w:rsid w:val="00C731F8"/>
    <w:rsid w:val="00C7345F"/>
    <w:rsid w:val="00C7416E"/>
    <w:rsid w:val="00C74379"/>
    <w:rsid w:val="00C7594B"/>
    <w:rsid w:val="00C75A35"/>
    <w:rsid w:val="00C75D94"/>
    <w:rsid w:val="00C7624A"/>
    <w:rsid w:val="00C76E10"/>
    <w:rsid w:val="00C77559"/>
    <w:rsid w:val="00C778C7"/>
    <w:rsid w:val="00C77B22"/>
    <w:rsid w:val="00C81DFD"/>
    <w:rsid w:val="00C822ED"/>
    <w:rsid w:val="00C8325B"/>
    <w:rsid w:val="00C84BD8"/>
    <w:rsid w:val="00C84E76"/>
    <w:rsid w:val="00C8545F"/>
    <w:rsid w:val="00C854F5"/>
    <w:rsid w:val="00C85731"/>
    <w:rsid w:val="00C857B1"/>
    <w:rsid w:val="00C85B3C"/>
    <w:rsid w:val="00C85CDA"/>
    <w:rsid w:val="00C8633C"/>
    <w:rsid w:val="00C86357"/>
    <w:rsid w:val="00C86774"/>
    <w:rsid w:val="00C86853"/>
    <w:rsid w:val="00C86E17"/>
    <w:rsid w:val="00C86F60"/>
    <w:rsid w:val="00C87075"/>
    <w:rsid w:val="00C872C1"/>
    <w:rsid w:val="00C87A1A"/>
    <w:rsid w:val="00C904DC"/>
    <w:rsid w:val="00C90DD3"/>
    <w:rsid w:val="00C90E16"/>
    <w:rsid w:val="00C919F9"/>
    <w:rsid w:val="00C91A52"/>
    <w:rsid w:val="00C91DEF"/>
    <w:rsid w:val="00C91E02"/>
    <w:rsid w:val="00C91E38"/>
    <w:rsid w:val="00C92068"/>
    <w:rsid w:val="00C9241A"/>
    <w:rsid w:val="00C935B4"/>
    <w:rsid w:val="00C9376E"/>
    <w:rsid w:val="00C93FE3"/>
    <w:rsid w:val="00C94023"/>
    <w:rsid w:val="00C9447F"/>
    <w:rsid w:val="00C952ED"/>
    <w:rsid w:val="00C955A9"/>
    <w:rsid w:val="00C95612"/>
    <w:rsid w:val="00C956DE"/>
    <w:rsid w:val="00C95A57"/>
    <w:rsid w:val="00C9606E"/>
    <w:rsid w:val="00C96529"/>
    <w:rsid w:val="00C966EC"/>
    <w:rsid w:val="00C9674E"/>
    <w:rsid w:val="00C96C54"/>
    <w:rsid w:val="00C970FC"/>
    <w:rsid w:val="00C972E2"/>
    <w:rsid w:val="00C975F1"/>
    <w:rsid w:val="00C9777C"/>
    <w:rsid w:val="00CA0491"/>
    <w:rsid w:val="00CA04FA"/>
    <w:rsid w:val="00CA0B69"/>
    <w:rsid w:val="00CA0C52"/>
    <w:rsid w:val="00CA1507"/>
    <w:rsid w:val="00CA166E"/>
    <w:rsid w:val="00CA1682"/>
    <w:rsid w:val="00CA16CD"/>
    <w:rsid w:val="00CA1B6C"/>
    <w:rsid w:val="00CA1B7C"/>
    <w:rsid w:val="00CA1E46"/>
    <w:rsid w:val="00CA2193"/>
    <w:rsid w:val="00CA242B"/>
    <w:rsid w:val="00CA3240"/>
    <w:rsid w:val="00CA3503"/>
    <w:rsid w:val="00CA3C62"/>
    <w:rsid w:val="00CA3EA0"/>
    <w:rsid w:val="00CA467F"/>
    <w:rsid w:val="00CA4933"/>
    <w:rsid w:val="00CA4AE6"/>
    <w:rsid w:val="00CA574F"/>
    <w:rsid w:val="00CA5B1D"/>
    <w:rsid w:val="00CA5CFD"/>
    <w:rsid w:val="00CA5D32"/>
    <w:rsid w:val="00CA6007"/>
    <w:rsid w:val="00CA6339"/>
    <w:rsid w:val="00CA6373"/>
    <w:rsid w:val="00CA6484"/>
    <w:rsid w:val="00CA6BC7"/>
    <w:rsid w:val="00CA708A"/>
    <w:rsid w:val="00CA71B4"/>
    <w:rsid w:val="00CA76A1"/>
    <w:rsid w:val="00CA771F"/>
    <w:rsid w:val="00CA7760"/>
    <w:rsid w:val="00CB0063"/>
    <w:rsid w:val="00CB05D5"/>
    <w:rsid w:val="00CB084A"/>
    <w:rsid w:val="00CB0A60"/>
    <w:rsid w:val="00CB110E"/>
    <w:rsid w:val="00CB1110"/>
    <w:rsid w:val="00CB2263"/>
    <w:rsid w:val="00CB23DD"/>
    <w:rsid w:val="00CB31D9"/>
    <w:rsid w:val="00CB3553"/>
    <w:rsid w:val="00CB50D6"/>
    <w:rsid w:val="00CB6077"/>
    <w:rsid w:val="00CB6B6A"/>
    <w:rsid w:val="00CB6EAD"/>
    <w:rsid w:val="00CB6F6D"/>
    <w:rsid w:val="00CB7342"/>
    <w:rsid w:val="00CB741A"/>
    <w:rsid w:val="00CB7E0A"/>
    <w:rsid w:val="00CB7EC0"/>
    <w:rsid w:val="00CC005D"/>
    <w:rsid w:val="00CC0240"/>
    <w:rsid w:val="00CC12B4"/>
    <w:rsid w:val="00CC1518"/>
    <w:rsid w:val="00CC1B6F"/>
    <w:rsid w:val="00CC38D9"/>
    <w:rsid w:val="00CC4A1C"/>
    <w:rsid w:val="00CC5321"/>
    <w:rsid w:val="00CC566B"/>
    <w:rsid w:val="00CC697E"/>
    <w:rsid w:val="00CC6C62"/>
    <w:rsid w:val="00CC713E"/>
    <w:rsid w:val="00CC7425"/>
    <w:rsid w:val="00CC786A"/>
    <w:rsid w:val="00CC7BE9"/>
    <w:rsid w:val="00CC7CD0"/>
    <w:rsid w:val="00CD0190"/>
    <w:rsid w:val="00CD02CB"/>
    <w:rsid w:val="00CD039B"/>
    <w:rsid w:val="00CD0447"/>
    <w:rsid w:val="00CD10A3"/>
    <w:rsid w:val="00CD1697"/>
    <w:rsid w:val="00CD253F"/>
    <w:rsid w:val="00CD3DAA"/>
    <w:rsid w:val="00CD3EF2"/>
    <w:rsid w:val="00CD4317"/>
    <w:rsid w:val="00CD4D37"/>
    <w:rsid w:val="00CD5EDA"/>
    <w:rsid w:val="00CD698C"/>
    <w:rsid w:val="00CD6FF8"/>
    <w:rsid w:val="00CE006F"/>
    <w:rsid w:val="00CE0DC7"/>
    <w:rsid w:val="00CE124E"/>
    <w:rsid w:val="00CE2695"/>
    <w:rsid w:val="00CE2B06"/>
    <w:rsid w:val="00CE2EE5"/>
    <w:rsid w:val="00CE3780"/>
    <w:rsid w:val="00CE4FF8"/>
    <w:rsid w:val="00CE65C3"/>
    <w:rsid w:val="00CE697C"/>
    <w:rsid w:val="00CE6C9B"/>
    <w:rsid w:val="00CE6ED6"/>
    <w:rsid w:val="00CE7CF6"/>
    <w:rsid w:val="00CF0EEE"/>
    <w:rsid w:val="00CF1821"/>
    <w:rsid w:val="00CF19FA"/>
    <w:rsid w:val="00CF1ED2"/>
    <w:rsid w:val="00CF2571"/>
    <w:rsid w:val="00CF2F9E"/>
    <w:rsid w:val="00CF3F4A"/>
    <w:rsid w:val="00CF4FAE"/>
    <w:rsid w:val="00CF57D5"/>
    <w:rsid w:val="00CF5F82"/>
    <w:rsid w:val="00CF710D"/>
    <w:rsid w:val="00CF75FC"/>
    <w:rsid w:val="00CF76B4"/>
    <w:rsid w:val="00CF7E60"/>
    <w:rsid w:val="00D00547"/>
    <w:rsid w:val="00D007ED"/>
    <w:rsid w:val="00D00AD0"/>
    <w:rsid w:val="00D00D56"/>
    <w:rsid w:val="00D0165B"/>
    <w:rsid w:val="00D01A9A"/>
    <w:rsid w:val="00D02513"/>
    <w:rsid w:val="00D02D08"/>
    <w:rsid w:val="00D02E28"/>
    <w:rsid w:val="00D033A7"/>
    <w:rsid w:val="00D03617"/>
    <w:rsid w:val="00D03B69"/>
    <w:rsid w:val="00D041DF"/>
    <w:rsid w:val="00D049EB"/>
    <w:rsid w:val="00D05122"/>
    <w:rsid w:val="00D05810"/>
    <w:rsid w:val="00D0595D"/>
    <w:rsid w:val="00D059B4"/>
    <w:rsid w:val="00D05C5C"/>
    <w:rsid w:val="00D05DF1"/>
    <w:rsid w:val="00D05E0A"/>
    <w:rsid w:val="00D06CC8"/>
    <w:rsid w:val="00D06F47"/>
    <w:rsid w:val="00D06F6D"/>
    <w:rsid w:val="00D0754D"/>
    <w:rsid w:val="00D07A70"/>
    <w:rsid w:val="00D07AFA"/>
    <w:rsid w:val="00D07D36"/>
    <w:rsid w:val="00D07DCF"/>
    <w:rsid w:val="00D10544"/>
    <w:rsid w:val="00D107D4"/>
    <w:rsid w:val="00D10AD2"/>
    <w:rsid w:val="00D10C9C"/>
    <w:rsid w:val="00D112F0"/>
    <w:rsid w:val="00D119B3"/>
    <w:rsid w:val="00D11DA7"/>
    <w:rsid w:val="00D126F5"/>
    <w:rsid w:val="00D14123"/>
    <w:rsid w:val="00D14F7E"/>
    <w:rsid w:val="00D15397"/>
    <w:rsid w:val="00D1544B"/>
    <w:rsid w:val="00D16210"/>
    <w:rsid w:val="00D1711F"/>
    <w:rsid w:val="00D176BF"/>
    <w:rsid w:val="00D178D7"/>
    <w:rsid w:val="00D20011"/>
    <w:rsid w:val="00D20388"/>
    <w:rsid w:val="00D207B7"/>
    <w:rsid w:val="00D20A31"/>
    <w:rsid w:val="00D20F4A"/>
    <w:rsid w:val="00D22498"/>
    <w:rsid w:val="00D22B62"/>
    <w:rsid w:val="00D235C2"/>
    <w:rsid w:val="00D238CC"/>
    <w:rsid w:val="00D239B5"/>
    <w:rsid w:val="00D23FEE"/>
    <w:rsid w:val="00D241C5"/>
    <w:rsid w:val="00D243E9"/>
    <w:rsid w:val="00D2461F"/>
    <w:rsid w:val="00D2520C"/>
    <w:rsid w:val="00D2598F"/>
    <w:rsid w:val="00D25E5E"/>
    <w:rsid w:val="00D26A44"/>
    <w:rsid w:val="00D26C44"/>
    <w:rsid w:val="00D2777F"/>
    <w:rsid w:val="00D278AE"/>
    <w:rsid w:val="00D27CCB"/>
    <w:rsid w:val="00D27FD1"/>
    <w:rsid w:val="00D3072A"/>
    <w:rsid w:val="00D30979"/>
    <w:rsid w:val="00D3169F"/>
    <w:rsid w:val="00D31B67"/>
    <w:rsid w:val="00D31BA1"/>
    <w:rsid w:val="00D32282"/>
    <w:rsid w:val="00D33CCE"/>
    <w:rsid w:val="00D33CD3"/>
    <w:rsid w:val="00D34836"/>
    <w:rsid w:val="00D3574F"/>
    <w:rsid w:val="00D35C1D"/>
    <w:rsid w:val="00D36122"/>
    <w:rsid w:val="00D36441"/>
    <w:rsid w:val="00D36641"/>
    <w:rsid w:val="00D36E45"/>
    <w:rsid w:val="00D37E8B"/>
    <w:rsid w:val="00D402CC"/>
    <w:rsid w:val="00D40846"/>
    <w:rsid w:val="00D409A2"/>
    <w:rsid w:val="00D40DCC"/>
    <w:rsid w:val="00D412E5"/>
    <w:rsid w:val="00D41471"/>
    <w:rsid w:val="00D414DD"/>
    <w:rsid w:val="00D415D8"/>
    <w:rsid w:val="00D41C44"/>
    <w:rsid w:val="00D42038"/>
    <w:rsid w:val="00D424E7"/>
    <w:rsid w:val="00D438FF"/>
    <w:rsid w:val="00D43CAF"/>
    <w:rsid w:val="00D43D8C"/>
    <w:rsid w:val="00D43EB2"/>
    <w:rsid w:val="00D441F4"/>
    <w:rsid w:val="00D44201"/>
    <w:rsid w:val="00D45A14"/>
    <w:rsid w:val="00D46588"/>
    <w:rsid w:val="00D46644"/>
    <w:rsid w:val="00D468B3"/>
    <w:rsid w:val="00D46C36"/>
    <w:rsid w:val="00D50474"/>
    <w:rsid w:val="00D50500"/>
    <w:rsid w:val="00D50E6A"/>
    <w:rsid w:val="00D519CD"/>
    <w:rsid w:val="00D51B0E"/>
    <w:rsid w:val="00D5239B"/>
    <w:rsid w:val="00D52578"/>
    <w:rsid w:val="00D5262D"/>
    <w:rsid w:val="00D529CD"/>
    <w:rsid w:val="00D5315E"/>
    <w:rsid w:val="00D535C7"/>
    <w:rsid w:val="00D53A91"/>
    <w:rsid w:val="00D53E0C"/>
    <w:rsid w:val="00D53FDF"/>
    <w:rsid w:val="00D541C5"/>
    <w:rsid w:val="00D54504"/>
    <w:rsid w:val="00D54643"/>
    <w:rsid w:val="00D5536E"/>
    <w:rsid w:val="00D55A4C"/>
    <w:rsid w:val="00D55C42"/>
    <w:rsid w:val="00D55E5A"/>
    <w:rsid w:val="00D56677"/>
    <w:rsid w:val="00D56B55"/>
    <w:rsid w:val="00D57767"/>
    <w:rsid w:val="00D57CB6"/>
    <w:rsid w:val="00D57F96"/>
    <w:rsid w:val="00D60084"/>
    <w:rsid w:val="00D61111"/>
    <w:rsid w:val="00D61650"/>
    <w:rsid w:val="00D61AD4"/>
    <w:rsid w:val="00D61FC7"/>
    <w:rsid w:val="00D621BA"/>
    <w:rsid w:val="00D623A4"/>
    <w:rsid w:val="00D62880"/>
    <w:rsid w:val="00D6304D"/>
    <w:rsid w:val="00D64619"/>
    <w:rsid w:val="00D64FEC"/>
    <w:rsid w:val="00D66411"/>
    <w:rsid w:val="00D668EE"/>
    <w:rsid w:val="00D66A03"/>
    <w:rsid w:val="00D66F7F"/>
    <w:rsid w:val="00D66F98"/>
    <w:rsid w:val="00D700D4"/>
    <w:rsid w:val="00D70788"/>
    <w:rsid w:val="00D70B79"/>
    <w:rsid w:val="00D70C1B"/>
    <w:rsid w:val="00D70D7F"/>
    <w:rsid w:val="00D70D87"/>
    <w:rsid w:val="00D719F1"/>
    <w:rsid w:val="00D71AD9"/>
    <w:rsid w:val="00D71BF9"/>
    <w:rsid w:val="00D7297C"/>
    <w:rsid w:val="00D72F6A"/>
    <w:rsid w:val="00D73101"/>
    <w:rsid w:val="00D7394A"/>
    <w:rsid w:val="00D739C6"/>
    <w:rsid w:val="00D73AF5"/>
    <w:rsid w:val="00D73D66"/>
    <w:rsid w:val="00D742FE"/>
    <w:rsid w:val="00D745AC"/>
    <w:rsid w:val="00D74642"/>
    <w:rsid w:val="00D74FBC"/>
    <w:rsid w:val="00D758AE"/>
    <w:rsid w:val="00D762B9"/>
    <w:rsid w:val="00D763BE"/>
    <w:rsid w:val="00D7693A"/>
    <w:rsid w:val="00D7776A"/>
    <w:rsid w:val="00D7781B"/>
    <w:rsid w:val="00D779AE"/>
    <w:rsid w:val="00D77CF9"/>
    <w:rsid w:val="00D80B9D"/>
    <w:rsid w:val="00D80C42"/>
    <w:rsid w:val="00D813F9"/>
    <w:rsid w:val="00D81417"/>
    <w:rsid w:val="00D815B2"/>
    <w:rsid w:val="00D81B56"/>
    <w:rsid w:val="00D8203A"/>
    <w:rsid w:val="00D823E7"/>
    <w:rsid w:val="00D8262A"/>
    <w:rsid w:val="00D826E5"/>
    <w:rsid w:val="00D8313E"/>
    <w:rsid w:val="00D8392E"/>
    <w:rsid w:val="00D83993"/>
    <w:rsid w:val="00D83D33"/>
    <w:rsid w:val="00D84063"/>
    <w:rsid w:val="00D84E22"/>
    <w:rsid w:val="00D84EA4"/>
    <w:rsid w:val="00D85087"/>
    <w:rsid w:val="00D851BA"/>
    <w:rsid w:val="00D863E8"/>
    <w:rsid w:val="00D86C1B"/>
    <w:rsid w:val="00D872FB"/>
    <w:rsid w:val="00D87856"/>
    <w:rsid w:val="00D900AF"/>
    <w:rsid w:val="00D9046B"/>
    <w:rsid w:val="00D90578"/>
    <w:rsid w:val="00D90BFA"/>
    <w:rsid w:val="00D910C7"/>
    <w:rsid w:val="00D91B69"/>
    <w:rsid w:val="00D92042"/>
    <w:rsid w:val="00D924AA"/>
    <w:rsid w:val="00D9253D"/>
    <w:rsid w:val="00D92C46"/>
    <w:rsid w:val="00D943D4"/>
    <w:rsid w:val="00D94B0D"/>
    <w:rsid w:val="00D953DF"/>
    <w:rsid w:val="00D95B0F"/>
    <w:rsid w:val="00D96685"/>
    <w:rsid w:val="00D96A55"/>
    <w:rsid w:val="00D96FF7"/>
    <w:rsid w:val="00D97042"/>
    <w:rsid w:val="00D976AC"/>
    <w:rsid w:val="00D97B4E"/>
    <w:rsid w:val="00DA0017"/>
    <w:rsid w:val="00DA03D9"/>
    <w:rsid w:val="00DA076A"/>
    <w:rsid w:val="00DA08A8"/>
    <w:rsid w:val="00DA0C08"/>
    <w:rsid w:val="00DA0CC6"/>
    <w:rsid w:val="00DA0FCB"/>
    <w:rsid w:val="00DA1F5B"/>
    <w:rsid w:val="00DA20CC"/>
    <w:rsid w:val="00DA24B8"/>
    <w:rsid w:val="00DA30BA"/>
    <w:rsid w:val="00DA3156"/>
    <w:rsid w:val="00DA44D6"/>
    <w:rsid w:val="00DA4654"/>
    <w:rsid w:val="00DA4A8A"/>
    <w:rsid w:val="00DA78DC"/>
    <w:rsid w:val="00DB0565"/>
    <w:rsid w:val="00DB0C65"/>
    <w:rsid w:val="00DB11C5"/>
    <w:rsid w:val="00DB13BD"/>
    <w:rsid w:val="00DB13E4"/>
    <w:rsid w:val="00DB1928"/>
    <w:rsid w:val="00DB1A14"/>
    <w:rsid w:val="00DB1ECF"/>
    <w:rsid w:val="00DB206A"/>
    <w:rsid w:val="00DB27E5"/>
    <w:rsid w:val="00DB27F5"/>
    <w:rsid w:val="00DB29DE"/>
    <w:rsid w:val="00DB2C5D"/>
    <w:rsid w:val="00DB2FE2"/>
    <w:rsid w:val="00DB3555"/>
    <w:rsid w:val="00DB4176"/>
    <w:rsid w:val="00DB4832"/>
    <w:rsid w:val="00DB4CFF"/>
    <w:rsid w:val="00DB6308"/>
    <w:rsid w:val="00DB67B7"/>
    <w:rsid w:val="00DB6F06"/>
    <w:rsid w:val="00DC0670"/>
    <w:rsid w:val="00DC0A29"/>
    <w:rsid w:val="00DC0A7D"/>
    <w:rsid w:val="00DC12F3"/>
    <w:rsid w:val="00DC1EFC"/>
    <w:rsid w:val="00DC23FA"/>
    <w:rsid w:val="00DC2702"/>
    <w:rsid w:val="00DC29AB"/>
    <w:rsid w:val="00DC34F7"/>
    <w:rsid w:val="00DC38DB"/>
    <w:rsid w:val="00DC3EC8"/>
    <w:rsid w:val="00DC4CED"/>
    <w:rsid w:val="00DC507F"/>
    <w:rsid w:val="00DC57F0"/>
    <w:rsid w:val="00DC5A34"/>
    <w:rsid w:val="00DC62FF"/>
    <w:rsid w:val="00DC6F04"/>
    <w:rsid w:val="00DC6F94"/>
    <w:rsid w:val="00DC7031"/>
    <w:rsid w:val="00DC7221"/>
    <w:rsid w:val="00DD0209"/>
    <w:rsid w:val="00DD0A2E"/>
    <w:rsid w:val="00DD1190"/>
    <w:rsid w:val="00DD173B"/>
    <w:rsid w:val="00DD1870"/>
    <w:rsid w:val="00DD1ADD"/>
    <w:rsid w:val="00DD1FFD"/>
    <w:rsid w:val="00DD2097"/>
    <w:rsid w:val="00DD25A9"/>
    <w:rsid w:val="00DD35D5"/>
    <w:rsid w:val="00DD3DAF"/>
    <w:rsid w:val="00DD3F41"/>
    <w:rsid w:val="00DD4C28"/>
    <w:rsid w:val="00DD53FD"/>
    <w:rsid w:val="00DD6468"/>
    <w:rsid w:val="00DD658D"/>
    <w:rsid w:val="00DD6814"/>
    <w:rsid w:val="00DD686F"/>
    <w:rsid w:val="00DD72BB"/>
    <w:rsid w:val="00DE0421"/>
    <w:rsid w:val="00DE0BBF"/>
    <w:rsid w:val="00DE14C7"/>
    <w:rsid w:val="00DE1D3B"/>
    <w:rsid w:val="00DE2599"/>
    <w:rsid w:val="00DE2705"/>
    <w:rsid w:val="00DE29B3"/>
    <w:rsid w:val="00DE2BAE"/>
    <w:rsid w:val="00DE2D25"/>
    <w:rsid w:val="00DE2FBF"/>
    <w:rsid w:val="00DE3834"/>
    <w:rsid w:val="00DE3C11"/>
    <w:rsid w:val="00DE46F5"/>
    <w:rsid w:val="00DE49CA"/>
    <w:rsid w:val="00DE5EC9"/>
    <w:rsid w:val="00DE645A"/>
    <w:rsid w:val="00DE6909"/>
    <w:rsid w:val="00DE6D6F"/>
    <w:rsid w:val="00DE6FE5"/>
    <w:rsid w:val="00DE707D"/>
    <w:rsid w:val="00DE788E"/>
    <w:rsid w:val="00DF0BA0"/>
    <w:rsid w:val="00DF1478"/>
    <w:rsid w:val="00DF1791"/>
    <w:rsid w:val="00DF244E"/>
    <w:rsid w:val="00DF3753"/>
    <w:rsid w:val="00DF42FF"/>
    <w:rsid w:val="00DF4691"/>
    <w:rsid w:val="00DF46AC"/>
    <w:rsid w:val="00DF47A3"/>
    <w:rsid w:val="00DF543A"/>
    <w:rsid w:val="00DF55F3"/>
    <w:rsid w:val="00DF59B5"/>
    <w:rsid w:val="00DF654E"/>
    <w:rsid w:val="00DF683A"/>
    <w:rsid w:val="00DF68FA"/>
    <w:rsid w:val="00DF6E55"/>
    <w:rsid w:val="00DF6FA6"/>
    <w:rsid w:val="00DF7101"/>
    <w:rsid w:val="00DF7D73"/>
    <w:rsid w:val="00E01DE0"/>
    <w:rsid w:val="00E0222B"/>
    <w:rsid w:val="00E023A3"/>
    <w:rsid w:val="00E02A4A"/>
    <w:rsid w:val="00E02B6B"/>
    <w:rsid w:val="00E02C8E"/>
    <w:rsid w:val="00E02EC0"/>
    <w:rsid w:val="00E0341B"/>
    <w:rsid w:val="00E03B11"/>
    <w:rsid w:val="00E03B19"/>
    <w:rsid w:val="00E03BBB"/>
    <w:rsid w:val="00E053D8"/>
    <w:rsid w:val="00E057BD"/>
    <w:rsid w:val="00E057D4"/>
    <w:rsid w:val="00E068E1"/>
    <w:rsid w:val="00E06A29"/>
    <w:rsid w:val="00E0713B"/>
    <w:rsid w:val="00E07619"/>
    <w:rsid w:val="00E077AC"/>
    <w:rsid w:val="00E07972"/>
    <w:rsid w:val="00E07AB3"/>
    <w:rsid w:val="00E07BB7"/>
    <w:rsid w:val="00E07CE9"/>
    <w:rsid w:val="00E1078F"/>
    <w:rsid w:val="00E1099B"/>
    <w:rsid w:val="00E11557"/>
    <w:rsid w:val="00E11CDE"/>
    <w:rsid w:val="00E11DF1"/>
    <w:rsid w:val="00E127AE"/>
    <w:rsid w:val="00E12D8D"/>
    <w:rsid w:val="00E130D2"/>
    <w:rsid w:val="00E13720"/>
    <w:rsid w:val="00E13A47"/>
    <w:rsid w:val="00E13FC0"/>
    <w:rsid w:val="00E14077"/>
    <w:rsid w:val="00E14165"/>
    <w:rsid w:val="00E148C5"/>
    <w:rsid w:val="00E15320"/>
    <w:rsid w:val="00E1581D"/>
    <w:rsid w:val="00E15946"/>
    <w:rsid w:val="00E15A57"/>
    <w:rsid w:val="00E15C28"/>
    <w:rsid w:val="00E15D65"/>
    <w:rsid w:val="00E15EFF"/>
    <w:rsid w:val="00E16043"/>
    <w:rsid w:val="00E16084"/>
    <w:rsid w:val="00E1653A"/>
    <w:rsid w:val="00E16852"/>
    <w:rsid w:val="00E169C5"/>
    <w:rsid w:val="00E17521"/>
    <w:rsid w:val="00E2108F"/>
    <w:rsid w:val="00E217ED"/>
    <w:rsid w:val="00E21C64"/>
    <w:rsid w:val="00E2237E"/>
    <w:rsid w:val="00E22B10"/>
    <w:rsid w:val="00E22B37"/>
    <w:rsid w:val="00E23216"/>
    <w:rsid w:val="00E240B5"/>
    <w:rsid w:val="00E249B9"/>
    <w:rsid w:val="00E263A1"/>
    <w:rsid w:val="00E26764"/>
    <w:rsid w:val="00E27719"/>
    <w:rsid w:val="00E27E82"/>
    <w:rsid w:val="00E3018F"/>
    <w:rsid w:val="00E31091"/>
    <w:rsid w:val="00E311EB"/>
    <w:rsid w:val="00E31D3A"/>
    <w:rsid w:val="00E31D5F"/>
    <w:rsid w:val="00E31ED2"/>
    <w:rsid w:val="00E3262F"/>
    <w:rsid w:val="00E326CD"/>
    <w:rsid w:val="00E32F96"/>
    <w:rsid w:val="00E3388E"/>
    <w:rsid w:val="00E34489"/>
    <w:rsid w:val="00E345FE"/>
    <w:rsid w:val="00E34604"/>
    <w:rsid w:val="00E34C96"/>
    <w:rsid w:val="00E34FF2"/>
    <w:rsid w:val="00E3561A"/>
    <w:rsid w:val="00E36090"/>
    <w:rsid w:val="00E370DD"/>
    <w:rsid w:val="00E372AD"/>
    <w:rsid w:val="00E3766B"/>
    <w:rsid w:val="00E3778C"/>
    <w:rsid w:val="00E37C54"/>
    <w:rsid w:val="00E37CCF"/>
    <w:rsid w:val="00E37E55"/>
    <w:rsid w:val="00E402B2"/>
    <w:rsid w:val="00E4065D"/>
    <w:rsid w:val="00E40FDD"/>
    <w:rsid w:val="00E41029"/>
    <w:rsid w:val="00E411F8"/>
    <w:rsid w:val="00E4157A"/>
    <w:rsid w:val="00E416D5"/>
    <w:rsid w:val="00E41827"/>
    <w:rsid w:val="00E41908"/>
    <w:rsid w:val="00E41E42"/>
    <w:rsid w:val="00E41EEA"/>
    <w:rsid w:val="00E42C34"/>
    <w:rsid w:val="00E437DB"/>
    <w:rsid w:val="00E43D67"/>
    <w:rsid w:val="00E44746"/>
    <w:rsid w:val="00E448D5"/>
    <w:rsid w:val="00E4549A"/>
    <w:rsid w:val="00E458E6"/>
    <w:rsid w:val="00E468DB"/>
    <w:rsid w:val="00E46917"/>
    <w:rsid w:val="00E46D4C"/>
    <w:rsid w:val="00E4794C"/>
    <w:rsid w:val="00E47A39"/>
    <w:rsid w:val="00E47F72"/>
    <w:rsid w:val="00E500A4"/>
    <w:rsid w:val="00E5021D"/>
    <w:rsid w:val="00E50ACD"/>
    <w:rsid w:val="00E52E7B"/>
    <w:rsid w:val="00E53111"/>
    <w:rsid w:val="00E532AE"/>
    <w:rsid w:val="00E537F6"/>
    <w:rsid w:val="00E53834"/>
    <w:rsid w:val="00E54333"/>
    <w:rsid w:val="00E54EE1"/>
    <w:rsid w:val="00E5500C"/>
    <w:rsid w:val="00E550E7"/>
    <w:rsid w:val="00E550EB"/>
    <w:rsid w:val="00E551FE"/>
    <w:rsid w:val="00E557C9"/>
    <w:rsid w:val="00E55BDE"/>
    <w:rsid w:val="00E55BEB"/>
    <w:rsid w:val="00E562CC"/>
    <w:rsid w:val="00E56378"/>
    <w:rsid w:val="00E56786"/>
    <w:rsid w:val="00E5720A"/>
    <w:rsid w:val="00E57A62"/>
    <w:rsid w:val="00E57C29"/>
    <w:rsid w:val="00E60C9D"/>
    <w:rsid w:val="00E60D65"/>
    <w:rsid w:val="00E61129"/>
    <w:rsid w:val="00E61231"/>
    <w:rsid w:val="00E614BD"/>
    <w:rsid w:val="00E61B6F"/>
    <w:rsid w:val="00E629CA"/>
    <w:rsid w:val="00E63035"/>
    <w:rsid w:val="00E63217"/>
    <w:rsid w:val="00E63867"/>
    <w:rsid w:val="00E641ED"/>
    <w:rsid w:val="00E646CC"/>
    <w:rsid w:val="00E64A3B"/>
    <w:rsid w:val="00E6597E"/>
    <w:rsid w:val="00E671E0"/>
    <w:rsid w:val="00E6744C"/>
    <w:rsid w:val="00E67676"/>
    <w:rsid w:val="00E676BC"/>
    <w:rsid w:val="00E67E4E"/>
    <w:rsid w:val="00E7056E"/>
    <w:rsid w:val="00E71708"/>
    <w:rsid w:val="00E71D30"/>
    <w:rsid w:val="00E71D41"/>
    <w:rsid w:val="00E71EBA"/>
    <w:rsid w:val="00E72185"/>
    <w:rsid w:val="00E7286D"/>
    <w:rsid w:val="00E72EFA"/>
    <w:rsid w:val="00E73D8E"/>
    <w:rsid w:val="00E7449B"/>
    <w:rsid w:val="00E745A0"/>
    <w:rsid w:val="00E74D2F"/>
    <w:rsid w:val="00E74D42"/>
    <w:rsid w:val="00E74E2D"/>
    <w:rsid w:val="00E75364"/>
    <w:rsid w:val="00E76136"/>
    <w:rsid w:val="00E762D4"/>
    <w:rsid w:val="00E76589"/>
    <w:rsid w:val="00E7668F"/>
    <w:rsid w:val="00E768D0"/>
    <w:rsid w:val="00E76965"/>
    <w:rsid w:val="00E76C41"/>
    <w:rsid w:val="00E76C66"/>
    <w:rsid w:val="00E779DE"/>
    <w:rsid w:val="00E803B1"/>
    <w:rsid w:val="00E8040B"/>
    <w:rsid w:val="00E8104D"/>
    <w:rsid w:val="00E81299"/>
    <w:rsid w:val="00E81E55"/>
    <w:rsid w:val="00E824CF"/>
    <w:rsid w:val="00E83327"/>
    <w:rsid w:val="00E83ACF"/>
    <w:rsid w:val="00E83B31"/>
    <w:rsid w:val="00E83DC5"/>
    <w:rsid w:val="00E83FF4"/>
    <w:rsid w:val="00E841A2"/>
    <w:rsid w:val="00E8429C"/>
    <w:rsid w:val="00E84308"/>
    <w:rsid w:val="00E8469B"/>
    <w:rsid w:val="00E84C5A"/>
    <w:rsid w:val="00E84EDF"/>
    <w:rsid w:val="00E85084"/>
    <w:rsid w:val="00E8534B"/>
    <w:rsid w:val="00E85A4B"/>
    <w:rsid w:val="00E85DD7"/>
    <w:rsid w:val="00E8642F"/>
    <w:rsid w:val="00E86884"/>
    <w:rsid w:val="00E86933"/>
    <w:rsid w:val="00E87557"/>
    <w:rsid w:val="00E8783E"/>
    <w:rsid w:val="00E878D3"/>
    <w:rsid w:val="00E87A0F"/>
    <w:rsid w:val="00E90202"/>
    <w:rsid w:val="00E90743"/>
    <w:rsid w:val="00E908C4"/>
    <w:rsid w:val="00E914FE"/>
    <w:rsid w:val="00E918F7"/>
    <w:rsid w:val="00E91A51"/>
    <w:rsid w:val="00E91A84"/>
    <w:rsid w:val="00E91B4D"/>
    <w:rsid w:val="00E91CF9"/>
    <w:rsid w:val="00E92484"/>
    <w:rsid w:val="00E9279A"/>
    <w:rsid w:val="00E928E3"/>
    <w:rsid w:val="00E92CFF"/>
    <w:rsid w:val="00E92F03"/>
    <w:rsid w:val="00E930BE"/>
    <w:rsid w:val="00E93A3C"/>
    <w:rsid w:val="00E93D0A"/>
    <w:rsid w:val="00E93F6A"/>
    <w:rsid w:val="00E94473"/>
    <w:rsid w:val="00E95098"/>
    <w:rsid w:val="00E9519F"/>
    <w:rsid w:val="00E95790"/>
    <w:rsid w:val="00E960BC"/>
    <w:rsid w:val="00E961CD"/>
    <w:rsid w:val="00E9671E"/>
    <w:rsid w:val="00E96E64"/>
    <w:rsid w:val="00EA0A5D"/>
    <w:rsid w:val="00EA1E8A"/>
    <w:rsid w:val="00EA212C"/>
    <w:rsid w:val="00EA2617"/>
    <w:rsid w:val="00EA28FE"/>
    <w:rsid w:val="00EA36B0"/>
    <w:rsid w:val="00EA39AE"/>
    <w:rsid w:val="00EA3A20"/>
    <w:rsid w:val="00EA3AD6"/>
    <w:rsid w:val="00EA3B13"/>
    <w:rsid w:val="00EA3BF4"/>
    <w:rsid w:val="00EA3DC4"/>
    <w:rsid w:val="00EA3EDB"/>
    <w:rsid w:val="00EA47E0"/>
    <w:rsid w:val="00EA48E6"/>
    <w:rsid w:val="00EA4A54"/>
    <w:rsid w:val="00EA4AD3"/>
    <w:rsid w:val="00EA5EDD"/>
    <w:rsid w:val="00EA6258"/>
    <w:rsid w:val="00EA65BF"/>
    <w:rsid w:val="00EA6D07"/>
    <w:rsid w:val="00EA7A3D"/>
    <w:rsid w:val="00EA7DA7"/>
    <w:rsid w:val="00EA7DB9"/>
    <w:rsid w:val="00EA7F63"/>
    <w:rsid w:val="00EA7FF4"/>
    <w:rsid w:val="00EB0C14"/>
    <w:rsid w:val="00EB17B7"/>
    <w:rsid w:val="00EB1AEB"/>
    <w:rsid w:val="00EB1F51"/>
    <w:rsid w:val="00EB222D"/>
    <w:rsid w:val="00EB2693"/>
    <w:rsid w:val="00EB2A3F"/>
    <w:rsid w:val="00EB44CF"/>
    <w:rsid w:val="00EB4705"/>
    <w:rsid w:val="00EB489D"/>
    <w:rsid w:val="00EB4D78"/>
    <w:rsid w:val="00EB51E7"/>
    <w:rsid w:val="00EB55AE"/>
    <w:rsid w:val="00EB5E19"/>
    <w:rsid w:val="00EB5F53"/>
    <w:rsid w:val="00EB69A2"/>
    <w:rsid w:val="00EB7628"/>
    <w:rsid w:val="00EB7821"/>
    <w:rsid w:val="00EB7A14"/>
    <w:rsid w:val="00EB7B3D"/>
    <w:rsid w:val="00EB7F6F"/>
    <w:rsid w:val="00EC0004"/>
    <w:rsid w:val="00EC0A79"/>
    <w:rsid w:val="00EC14D6"/>
    <w:rsid w:val="00EC1FBD"/>
    <w:rsid w:val="00EC27CD"/>
    <w:rsid w:val="00EC2A15"/>
    <w:rsid w:val="00EC2CFF"/>
    <w:rsid w:val="00EC3051"/>
    <w:rsid w:val="00EC32DB"/>
    <w:rsid w:val="00EC3600"/>
    <w:rsid w:val="00EC3B73"/>
    <w:rsid w:val="00EC3DD6"/>
    <w:rsid w:val="00EC41CF"/>
    <w:rsid w:val="00EC43E4"/>
    <w:rsid w:val="00EC45FF"/>
    <w:rsid w:val="00EC481E"/>
    <w:rsid w:val="00EC5072"/>
    <w:rsid w:val="00EC583A"/>
    <w:rsid w:val="00EC5910"/>
    <w:rsid w:val="00EC5A21"/>
    <w:rsid w:val="00EC5C48"/>
    <w:rsid w:val="00EC5CF5"/>
    <w:rsid w:val="00ED01EF"/>
    <w:rsid w:val="00ED1225"/>
    <w:rsid w:val="00ED1332"/>
    <w:rsid w:val="00ED1996"/>
    <w:rsid w:val="00ED1D7C"/>
    <w:rsid w:val="00ED202A"/>
    <w:rsid w:val="00ED2123"/>
    <w:rsid w:val="00ED2158"/>
    <w:rsid w:val="00ED245C"/>
    <w:rsid w:val="00ED24B0"/>
    <w:rsid w:val="00ED271F"/>
    <w:rsid w:val="00ED2E05"/>
    <w:rsid w:val="00ED2F35"/>
    <w:rsid w:val="00ED2FE1"/>
    <w:rsid w:val="00ED31BF"/>
    <w:rsid w:val="00ED3562"/>
    <w:rsid w:val="00ED4059"/>
    <w:rsid w:val="00ED41EE"/>
    <w:rsid w:val="00ED4890"/>
    <w:rsid w:val="00ED4BB9"/>
    <w:rsid w:val="00ED58B1"/>
    <w:rsid w:val="00ED62E6"/>
    <w:rsid w:val="00ED6555"/>
    <w:rsid w:val="00ED6B4E"/>
    <w:rsid w:val="00ED6DE1"/>
    <w:rsid w:val="00ED7456"/>
    <w:rsid w:val="00ED748F"/>
    <w:rsid w:val="00EE0189"/>
    <w:rsid w:val="00EE07CD"/>
    <w:rsid w:val="00EE097D"/>
    <w:rsid w:val="00EE12ED"/>
    <w:rsid w:val="00EE177E"/>
    <w:rsid w:val="00EE1F84"/>
    <w:rsid w:val="00EE2054"/>
    <w:rsid w:val="00EE20C7"/>
    <w:rsid w:val="00EE2F70"/>
    <w:rsid w:val="00EE3D08"/>
    <w:rsid w:val="00EE3FB2"/>
    <w:rsid w:val="00EE4B3D"/>
    <w:rsid w:val="00EE4DE8"/>
    <w:rsid w:val="00EE545D"/>
    <w:rsid w:val="00EE63F4"/>
    <w:rsid w:val="00EE7203"/>
    <w:rsid w:val="00EE796F"/>
    <w:rsid w:val="00EE7A7B"/>
    <w:rsid w:val="00EE7CA1"/>
    <w:rsid w:val="00EF0B4C"/>
    <w:rsid w:val="00EF0D99"/>
    <w:rsid w:val="00EF2F5F"/>
    <w:rsid w:val="00EF30AD"/>
    <w:rsid w:val="00EF3C07"/>
    <w:rsid w:val="00EF3CA4"/>
    <w:rsid w:val="00EF4F3D"/>
    <w:rsid w:val="00EF500A"/>
    <w:rsid w:val="00EF50CA"/>
    <w:rsid w:val="00EF5365"/>
    <w:rsid w:val="00EF5884"/>
    <w:rsid w:val="00EF5C87"/>
    <w:rsid w:val="00EF6CF0"/>
    <w:rsid w:val="00EF6DD6"/>
    <w:rsid w:val="00EF753B"/>
    <w:rsid w:val="00EF7D31"/>
    <w:rsid w:val="00EF7FF0"/>
    <w:rsid w:val="00F0000A"/>
    <w:rsid w:val="00F0121A"/>
    <w:rsid w:val="00F01F22"/>
    <w:rsid w:val="00F0258E"/>
    <w:rsid w:val="00F02842"/>
    <w:rsid w:val="00F029CB"/>
    <w:rsid w:val="00F02A0D"/>
    <w:rsid w:val="00F02C34"/>
    <w:rsid w:val="00F03562"/>
    <w:rsid w:val="00F03F2F"/>
    <w:rsid w:val="00F04413"/>
    <w:rsid w:val="00F04A81"/>
    <w:rsid w:val="00F050C1"/>
    <w:rsid w:val="00F05770"/>
    <w:rsid w:val="00F058E1"/>
    <w:rsid w:val="00F0599E"/>
    <w:rsid w:val="00F05F0A"/>
    <w:rsid w:val="00F0633C"/>
    <w:rsid w:val="00F079CC"/>
    <w:rsid w:val="00F07A59"/>
    <w:rsid w:val="00F07D4D"/>
    <w:rsid w:val="00F07DAB"/>
    <w:rsid w:val="00F1022F"/>
    <w:rsid w:val="00F10CE3"/>
    <w:rsid w:val="00F10FF1"/>
    <w:rsid w:val="00F116B8"/>
    <w:rsid w:val="00F11C78"/>
    <w:rsid w:val="00F11FAC"/>
    <w:rsid w:val="00F120A2"/>
    <w:rsid w:val="00F136B2"/>
    <w:rsid w:val="00F147CB"/>
    <w:rsid w:val="00F14EBF"/>
    <w:rsid w:val="00F15356"/>
    <w:rsid w:val="00F15574"/>
    <w:rsid w:val="00F15754"/>
    <w:rsid w:val="00F1587F"/>
    <w:rsid w:val="00F15B8C"/>
    <w:rsid w:val="00F16204"/>
    <w:rsid w:val="00F17296"/>
    <w:rsid w:val="00F172CC"/>
    <w:rsid w:val="00F17988"/>
    <w:rsid w:val="00F17D72"/>
    <w:rsid w:val="00F20489"/>
    <w:rsid w:val="00F207C6"/>
    <w:rsid w:val="00F208DC"/>
    <w:rsid w:val="00F218A2"/>
    <w:rsid w:val="00F21990"/>
    <w:rsid w:val="00F21A88"/>
    <w:rsid w:val="00F21C05"/>
    <w:rsid w:val="00F22785"/>
    <w:rsid w:val="00F2289B"/>
    <w:rsid w:val="00F233DA"/>
    <w:rsid w:val="00F238C9"/>
    <w:rsid w:val="00F24904"/>
    <w:rsid w:val="00F24AB8"/>
    <w:rsid w:val="00F24E0E"/>
    <w:rsid w:val="00F250CC"/>
    <w:rsid w:val="00F250D9"/>
    <w:rsid w:val="00F2599C"/>
    <w:rsid w:val="00F25AD4"/>
    <w:rsid w:val="00F25AF3"/>
    <w:rsid w:val="00F26211"/>
    <w:rsid w:val="00F26E08"/>
    <w:rsid w:val="00F30B77"/>
    <w:rsid w:val="00F31073"/>
    <w:rsid w:val="00F311AF"/>
    <w:rsid w:val="00F31704"/>
    <w:rsid w:val="00F31B53"/>
    <w:rsid w:val="00F3364C"/>
    <w:rsid w:val="00F339C1"/>
    <w:rsid w:val="00F34CCB"/>
    <w:rsid w:val="00F3534F"/>
    <w:rsid w:val="00F35484"/>
    <w:rsid w:val="00F36310"/>
    <w:rsid w:val="00F36834"/>
    <w:rsid w:val="00F36C27"/>
    <w:rsid w:val="00F36F14"/>
    <w:rsid w:val="00F372F8"/>
    <w:rsid w:val="00F375F7"/>
    <w:rsid w:val="00F37ADC"/>
    <w:rsid w:val="00F37EC5"/>
    <w:rsid w:val="00F406D0"/>
    <w:rsid w:val="00F40878"/>
    <w:rsid w:val="00F41650"/>
    <w:rsid w:val="00F416CF"/>
    <w:rsid w:val="00F41F54"/>
    <w:rsid w:val="00F4207D"/>
    <w:rsid w:val="00F426CF"/>
    <w:rsid w:val="00F4288A"/>
    <w:rsid w:val="00F42BBC"/>
    <w:rsid w:val="00F42BBD"/>
    <w:rsid w:val="00F42ED5"/>
    <w:rsid w:val="00F42F0F"/>
    <w:rsid w:val="00F43EC7"/>
    <w:rsid w:val="00F443F0"/>
    <w:rsid w:val="00F449E5"/>
    <w:rsid w:val="00F44A22"/>
    <w:rsid w:val="00F44A3A"/>
    <w:rsid w:val="00F44BD6"/>
    <w:rsid w:val="00F44C5B"/>
    <w:rsid w:val="00F44E93"/>
    <w:rsid w:val="00F46096"/>
    <w:rsid w:val="00F46896"/>
    <w:rsid w:val="00F47CF6"/>
    <w:rsid w:val="00F47DC6"/>
    <w:rsid w:val="00F501A5"/>
    <w:rsid w:val="00F509E4"/>
    <w:rsid w:val="00F50DF3"/>
    <w:rsid w:val="00F50E24"/>
    <w:rsid w:val="00F511C5"/>
    <w:rsid w:val="00F51835"/>
    <w:rsid w:val="00F51B3A"/>
    <w:rsid w:val="00F51BC0"/>
    <w:rsid w:val="00F521B4"/>
    <w:rsid w:val="00F524CD"/>
    <w:rsid w:val="00F529D5"/>
    <w:rsid w:val="00F529E8"/>
    <w:rsid w:val="00F52B80"/>
    <w:rsid w:val="00F53BD8"/>
    <w:rsid w:val="00F56268"/>
    <w:rsid w:val="00F56621"/>
    <w:rsid w:val="00F5666D"/>
    <w:rsid w:val="00F56CF8"/>
    <w:rsid w:val="00F57103"/>
    <w:rsid w:val="00F57130"/>
    <w:rsid w:val="00F571BE"/>
    <w:rsid w:val="00F57565"/>
    <w:rsid w:val="00F57BFF"/>
    <w:rsid w:val="00F57D32"/>
    <w:rsid w:val="00F60098"/>
    <w:rsid w:val="00F607B1"/>
    <w:rsid w:val="00F60A0E"/>
    <w:rsid w:val="00F60C49"/>
    <w:rsid w:val="00F611B5"/>
    <w:rsid w:val="00F615FE"/>
    <w:rsid w:val="00F61818"/>
    <w:rsid w:val="00F61A29"/>
    <w:rsid w:val="00F61C90"/>
    <w:rsid w:val="00F61FFD"/>
    <w:rsid w:val="00F622AC"/>
    <w:rsid w:val="00F622F1"/>
    <w:rsid w:val="00F6253F"/>
    <w:rsid w:val="00F6285F"/>
    <w:rsid w:val="00F62B05"/>
    <w:rsid w:val="00F62B27"/>
    <w:rsid w:val="00F62D80"/>
    <w:rsid w:val="00F63211"/>
    <w:rsid w:val="00F6332B"/>
    <w:rsid w:val="00F63791"/>
    <w:rsid w:val="00F63885"/>
    <w:rsid w:val="00F64BAC"/>
    <w:rsid w:val="00F657E2"/>
    <w:rsid w:val="00F66591"/>
    <w:rsid w:val="00F674B3"/>
    <w:rsid w:val="00F67966"/>
    <w:rsid w:val="00F700F5"/>
    <w:rsid w:val="00F70D5E"/>
    <w:rsid w:val="00F70F79"/>
    <w:rsid w:val="00F71572"/>
    <w:rsid w:val="00F71CFA"/>
    <w:rsid w:val="00F7202A"/>
    <w:rsid w:val="00F72306"/>
    <w:rsid w:val="00F7248B"/>
    <w:rsid w:val="00F7254D"/>
    <w:rsid w:val="00F726C4"/>
    <w:rsid w:val="00F735FE"/>
    <w:rsid w:val="00F73CB4"/>
    <w:rsid w:val="00F73EDF"/>
    <w:rsid w:val="00F74159"/>
    <w:rsid w:val="00F749B7"/>
    <w:rsid w:val="00F74DF4"/>
    <w:rsid w:val="00F74EEE"/>
    <w:rsid w:val="00F751C9"/>
    <w:rsid w:val="00F76448"/>
    <w:rsid w:val="00F7692D"/>
    <w:rsid w:val="00F76AD5"/>
    <w:rsid w:val="00F77511"/>
    <w:rsid w:val="00F77768"/>
    <w:rsid w:val="00F77831"/>
    <w:rsid w:val="00F778C8"/>
    <w:rsid w:val="00F77E34"/>
    <w:rsid w:val="00F801A0"/>
    <w:rsid w:val="00F8075E"/>
    <w:rsid w:val="00F8099F"/>
    <w:rsid w:val="00F818CF"/>
    <w:rsid w:val="00F823B7"/>
    <w:rsid w:val="00F82801"/>
    <w:rsid w:val="00F82BA2"/>
    <w:rsid w:val="00F83505"/>
    <w:rsid w:val="00F839F6"/>
    <w:rsid w:val="00F83D91"/>
    <w:rsid w:val="00F83E0B"/>
    <w:rsid w:val="00F84139"/>
    <w:rsid w:val="00F84451"/>
    <w:rsid w:val="00F84AF2"/>
    <w:rsid w:val="00F84CD9"/>
    <w:rsid w:val="00F84F3A"/>
    <w:rsid w:val="00F85841"/>
    <w:rsid w:val="00F858AC"/>
    <w:rsid w:val="00F8674D"/>
    <w:rsid w:val="00F86961"/>
    <w:rsid w:val="00F87109"/>
    <w:rsid w:val="00F8714D"/>
    <w:rsid w:val="00F874B2"/>
    <w:rsid w:val="00F87724"/>
    <w:rsid w:val="00F904A6"/>
    <w:rsid w:val="00F9063E"/>
    <w:rsid w:val="00F90BFD"/>
    <w:rsid w:val="00F9111D"/>
    <w:rsid w:val="00F91F1A"/>
    <w:rsid w:val="00F91F7D"/>
    <w:rsid w:val="00F923EC"/>
    <w:rsid w:val="00F92504"/>
    <w:rsid w:val="00F926D6"/>
    <w:rsid w:val="00F92AF5"/>
    <w:rsid w:val="00F92E08"/>
    <w:rsid w:val="00F93535"/>
    <w:rsid w:val="00F93C35"/>
    <w:rsid w:val="00F942AC"/>
    <w:rsid w:val="00F943D8"/>
    <w:rsid w:val="00F94D0D"/>
    <w:rsid w:val="00F94F46"/>
    <w:rsid w:val="00F95B2F"/>
    <w:rsid w:val="00F95C38"/>
    <w:rsid w:val="00F95F9E"/>
    <w:rsid w:val="00F96185"/>
    <w:rsid w:val="00F96352"/>
    <w:rsid w:val="00F97459"/>
    <w:rsid w:val="00F97596"/>
    <w:rsid w:val="00F97E61"/>
    <w:rsid w:val="00FA1021"/>
    <w:rsid w:val="00FA12CC"/>
    <w:rsid w:val="00FA13FC"/>
    <w:rsid w:val="00FA161B"/>
    <w:rsid w:val="00FA165A"/>
    <w:rsid w:val="00FA1EC3"/>
    <w:rsid w:val="00FA28C8"/>
    <w:rsid w:val="00FA29D5"/>
    <w:rsid w:val="00FA2B1E"/>
    <w:rsid w:val="00FA34AF"/>
    <w:rsid w:val="00FA3E07"/>
    <w:rsid w:val="00FA402F"/>
    <w:rsid w:val="00FA416C"/>
    <w:rsid w:val="00FA4796"/>
    <w:rsid w:val="00FA4CC6"/>
    <w:rsid w:val="00FA55AF"/>
    <w:rsid w:val="00FA6175"/>
    <w:rsid w:val="00FA6300"/>
    <w:rsid w:val="00FA6C81"/>
    <w:rsid w:val="00FA780C"/>
    <w:rsid w:val="00FB0381"/>
    <w:rsid w:val="00FB04EF"/>
    <w:rsid w:val="00FB145C"/>
    <w:rsid w:val="00FB16F9"/>
    <w:rsid w:val="00FB1D29"/>
    <w:rsid w:val="00FB1E04"/>
    <w:rsid w:val="00FB22B6"/>
    <w:rsid w:val="00FB376B"/>
    <w:rsid w:val="00FB3A06"/>
    <w:rsid w:val="00FB3BB0"/>
    <w:rsid w:val="00FB4769"/>
    <w:rsid w:val="00FB4904"/>
    <w:rsid w:val="00FB4929"/>
    <w:rsid w:val="00FB498A"/>
    <w:rsid w:val="00FB5242"/>
    <w:rsid w:val="00FB5F5D"/>
    <w:rsid w:val="00FB6A27"/>
    <w:rsid w:val="00FB72BA"/>
    <w:rsid w:val="00FB72F0"/>
    <w:rsid w:val="00FB7AFB"/>
    <w:rsid w:val="00FC0287"/>
    <w:rsid w:val="00FC136D"/>
    <w:rsid w:val="00FC311A"/>
    <w:rsid w:val="00FC316E"/>
    <w:rsid w:val="00FC3529"/>
    <w:rsid w:val="00FC3F90"/>
    <w:rsid w:val="00FC43BE"/>
    <w:rsid w:val="00FC4AA1"/>
    <w:rsid w:val="00FC4B89"/>
    <w:rsid w:val="00FC4E29"/>
    <w:rsid w:val="00FC50CB"/>
    <w:rsid w:val="00FC53FA"/>
    <w:rsid w:val="00FC5800"/>
    <w:rsid w:val="00FC59D4"/>
    <w:rsid w:val="00FC5FA4"/>
    <w:rsid w:val="00FC6940"/>
    <w:rsid w:val="00FC6A55"/>
    <w:rsid w:val="00FC6F76"/>
    <w:rsid w:val="00FC7314"/>
    <w:rsid w:val="00FD0622"/>
    <w:rsid w:val="00FD0DC0"/>
    <w:rsid w:val="00FD1838"/>
    <w:rsid w:val="00FD21E2"/>
    <w:rsid w:val="00FD2481"/>
    <w:rsid w:val="00FD2713"/>
    <w:rsid w:val="00FD2999"/>
    <w:rsid w:val="00FD32C2"/>
    <w:rsid w:val="00FD3DCA"/>
    <w:rsid w:val="00FD41C7"/>
    <w:rsid w:val="00FD437A"/>
    <w:rsid w:val="00FD76FB"/>
    <w:rsid w:val="00FE0057"/>
    <w:rsid w:val="00FE01D8"/>
    <w:rsid w:val="00FE03DA"/>
    <w:rsid w:val="00FE10D4"/>
    <w:rsid w:val="00FE1B82"/>
    <w:rsid w:val="00FE1CF6"/>
    <w:rsid w:val="00FE1DB2"/>
    <w:rsid w:val="00FE1FC5"/>
    <w:rsid w:val="00FE3A7F"/>
    <w:rsid w:val="00FE3AFF"/>
    <w:rsid w:val="00FE3D16"/>
    <w:rsid w:val="00FE3FEC"/>
    <w:rsid w:val="00FE43CA"/>
    <w:rsid w:val="00FE48B0"/>
    <w:rsid w:val="00FE497D"/>
    <w:rsid w:val="00FE4A26"/>
    <w:rsid w:val="00FE5DDA"/>
    <w:rsid w:val="00FE67B4"/>
    <w:rsid w:val="00FE69AD"/>
    <w:rsid w:val="00FE6E49"/>
    <w:rsid w:val="00FE7906"/>
    <w:rsid w:val="00FE7F2E"/>
    <w:rsid w:val="00FF0021"/>
    <w:rsid w:val="00FF04CA"/>
    <w:rsid w:val="00FF0955"/>
    <w:rsid w:val="00FF10F3"/>
    <w:rsid w:val="00FF31AF"/>
    <w:rsid w:val="00FF32B7"/>
    <w:rsid w:val="00FF38C6"/>
    <w:rsid w:val="00FF4470"/>
    <w:rsid w:val="00FF46CC"/>
    <w:rsid w:val="00FF4715"/>
    <w:rsid w:val="00FF4DB2"/>
    <w:rsid w:val="00FF50A5"/>
    <w:rsid w:val="00FF5192"/>
    <w:rsid w:val="00FF5B5B"/>
    <w:rsid w:val="00FF63E6"/>
    <w:rsid w:val="00FF68E2"/>
    <w:rsid w:val="00FF7249"/>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7F88A2"/>
  <w15:docId w15:val="{ACD96FFA-46A6-4688-96F7-8B23225B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before="100" w:after="200" w:line="276" w:lineRule="auto"/>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A0"/>
  </w:style>
  <w:style w:type="paragraph" w:styleId="1">
    <w:name w:val="heading 1"/>
    <w:basedOn w:val="a"/>
    <w:next w:val="a"/>
    <w:link w:val="10"/>
    <w:uiPriority w:val="99"/>
    <w:qFormat/>
    <w:rsid w:val="008E40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9"/>
    <w:unhideWhenUsed/>
    <w:qFormat/>
    <w:rsid w:val="008E40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unhideWhenUsed/>
    <w:qFormat/>
    <w:rsid w:val="008E40A0"/>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unhideWhenUsed/>
    <w:qFormat/>
    <w:rsid w:val="008E40A0"/>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unhideWhenUsed/>
    <w:qFormat/>
    <w:rsid w:val="008E40A0"/>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unhideWhenUsed/>
    <w:qFormat/>
    <w:rsid w:val="008E40A0"/>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unhideWhenUsed/>
    <w:qFormat/>
    <w:rsid w:val="008E40A0"/>
    <w:pPr>
      <w:spacing w:before="200" w:after="0"/>
      <w:outlineLvl w:val="6"/>
    </w:pPr>
    <w:rPr>
      <w:caps/>
      <w:color w:val="365F91" w:themeColor="accent1" w:themeShade="BF"/>
      <w:spacing w:val="10"/>
    </w:rPr>
  </w:style>
  <w:style w:type="paragraph" w:styleId="8">
    <w:name w:val="heading 8"/>
    <w:basedOn w:val="a"/>
    <w:next w:val="a"/>
    <w:link w:val="80"/>
    <w:uiPriority w:val="9"/>
    <w:unhideWhenUsed/>
    <w:qFormat/>
    <w:locked/>
    <w:rsid w:val="008E40A0"/>
    <w:pPr>
      <w:spacing w:before="200" w:after="0"/>
      <w:outlineLvl w:val="7"/>
    </w:pPr>
    <w:rPr>
      <w:caps/>
      <w:spacing w:val="10"/>
      <w:sz w:val="18"/>
      <w:szCs w:val="18"/>
    </w:rPr>
  </w:style>
  <w:style w:type="paragraph" w:styleId="9">
    <w:name w:val="heading 9"/>
    <w:basedOn w:val="a"/>
    <w:next w:val="a"/>
    <w:link w:val="90"/>
    <w:uiPriority w:val="9"/>
    <w:unhideWhenUsed/>
    <w:qFormat/>
    <w:rsid w:val="008E40A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E40A0"/>
    <w:rPr>
      <w:caps/>
      <w:color w:val="FFFFFF" w:themeColor="background1"/>
      <w:spacing w:val="15"/>
      <w:sz w:val="22"/>
      <w:szCs w:val="22"/>
      <w:shd w:val="clear" w:color="auto" w:fill="4F81BD" w:themeFill="accent1"/>
    </w:rPr>
  </w:style>
  <w:style w:type="character" w:customStyle="1" w:styleId="20">
    <w:name w:val="Заголовок 2 Знак"/>
    <w:basedOn w:val="a0"/>
    <w:link w:val="2"/>
    <w:uiPriority w:val="99"/>
    <w:locked/>
    <w:rsid w:val="008E40A0"/>
    <w:rPr>
      <w:caps/>
      <w:spacing w:val="15"/>
      <w:shd w:val="clear" w:color="auto" w:fill="DBE5F1" w:themeFill="accent1" w:themeFillTint="33"/>
    </w:rPr>
  </w:style>
  <w:style w:type="character" w:customStyle="1" w:styleId="30">
    <w:name w:val="Заголовок 3 Знак"/>
    <w:basedOn w:val="a0"/>
    <w:link w:val="3"/>
    <w:uiPriority w:val="9"/>
    <w:locked/>
    <w:rsid w:val="008E40A0"/>
    <w:rPr>
      <w:caps/>
      <w:color w:val="243F60" w:themeColor="accent1" w:themeShade="7F"/>
      <w:spacing w:val="15"/>
    </w:rPr>
  </w:style>
  <w:style w:type="character" w:customStyle="1" w:styleId="40">
    <w:name w:val="Заголовок 4 Знак"/>
    <w:basedOn w:val="a0"/>
    <w:link w:val="4"/>
    <w:uiPriority w:val="9"/>
    <w:locked/>
    <w:rsid w:val="008E40A0"/>
    <w:rPr>
      <w:caps/>
      <w:color w:val="365F91" w:themeColor="accent1" w:themeShade="BF"/>
      <w:spacing w:val="10"/>
    </w:rPr>
  </w:style>
  <w:style w:type="character" w:customStyle="1" w:styleId="50">
    <w:name w:val="Заголовок 5 Знак"/>
    <w:basedOn w:val="a0"/>
    <w:link w:val="5"/>
    <w:uiPriority w:val="9"/>
    <w:locked/>
    <w:rsid w:val="008E40A0"/>
    <w:rPr>
      <w:caps/>
      <w:color w:val="365F91" w:themeColor="accent1" w:themeShade="BF"/>
      <w:spacing w:val="10"/>
    </w:rPr>
  </w:style>
  <w:style w:type="character" w:customStyle="1" w:styleId="60">
    <w:name w:val="Заголовок 6 Знак"/>
    <w:basedOn w:val="a0"/>
    <w:link w:val="6"/>
    <w:uiPriority w:val="9"/>
    <w:locked/>
    <w:rsid w:val="008E40A0"/>
    <w:rPr>
      <w:caps/>
      <w:color w:val="365F91" w:themeColor="accent1" w:themeShade="BF"/>
      <w:spacing w:val="10"/>
    </w:rPr>
  </w:style>
  <w:style w:type="character" w:customStyle="1" w:styleId="70">
    <w:name w:val="Заголовок 7 Знак"/>
    <w:basedOn w:val="a0"/>
    <w:link w:val="7"/>
    <w:uiPriority w:val="9"/>
    <w:locked/>
    <w:rsid w:val="008E40A0"/>
    <w:rPr>
      <w:caps/>
      <w:color w:val="365F91" w:themeColor="accent1" w:themeShade="BF"/>
      <w:spacing w:val="10"/>
    </w:rPr>
  </w:style>
  <w:style w:type="character" w:customStyle="1" w:styleId="80">
    <w:name w:val="Заголовок 8 Знак"/>
    <w:basedOn w:val="a0"/>
    <w:link w:val="8"/>
    <w:uiPriority w:val="9"/>
    <w:rsid w:val="008E40A0"/>
    <w:rPr>
      <w:caps/>
      <w:spacing w:val="10"/>
      <w:sz w:val="18"/>
      <w:szCs w:val="18"/>
    </w:rPr>
  </w:style>
  <w:style w:type="character" w:customStyle="1" w:styleId="90">
    <w:name w:val="Заголовок 9 Знак"/>
    <w:basedOn w:val="a0"/>
    <w:link w:val="9"/>
    <w:uiPriority w:val="9"/>
    <w:locked/>
    <w:rsid w:val="008E40A0"/>
    <w:rPr>
      <w:i/>
      <w:iCs/>
      <w:caps/>
      <w:spacing w:val="10"/>
      <w:sz w:val="18"/>
      <w:szCs w:val="18"/>
    </w:rPr>
  </w:style>
  <w:style w:type="paragraph" w:styleId="a3">
    <w:name w:val="Balloon Text"/>
    <w:basedOn w:val="a"/>
    <w:link w:val="a4"/>
    <w:uiPriority w:val="99"/>
    <w:semiHidden/>
    <w:rsid w:val="00541DC9"/>
    <w:rPr>
      <w:rFonts w:ascii="Tahoma" w:hAnsi="Tahoma" w:cs="Tahoma"/>
      <w:sz w:val="16"/>
      <w:szCs w:val="16"/>
    </w:rPr>
  </w:style>
  <w:style w:type="character" w:customStyle="1" w:styleId="a4">
    <w:name w:val="Текст выноски Знак"/>
    <w:basedOn w:val="a0"/>
    <w:link w:val="a3"/>
    <w:uiPriority w:val="99"/>
    <w:semiHidden/>
    <w:locked/>
    <w:rsid w:val="004C6030"/>
    <w:rPr>
      <w:rFonts w:cs="Times New Roman"/>
      <w:sz w:val="2"/>
      <w:szCs w:val="2"/>
    </w:rPr>
  </w:style>
  <w:style w:type="paragraph" w:customStyle="1" w:styleId="artx">
    <w:name w:val="artx"/>
    <w:basedOn w:val="a"/>
    <w:rsid w:val="00653FFB"/>
    <w:rPr>
      <w:rFonts w:ascii="Arial" w:hAnsi="Arial" w:cs="Arial"/>
      <w:color w:val="000000"/>
      <w:sz w:val="18"/>
      <w:szCs w:val="18"/>
    </w:rPr>
  </w:style>
  <w:style w:type="paragraph" w:styleId="a5">
    <w:name w:val="Body Text"/>
    <w:basedOn w:val="a"/>
    <w:link w:val="a6"/>
    <w:uiPriority w:val="99"/>
    <w:rsid w:val="00D84EA4"/>
    <w:pPr>
      <w:spacing w:after="100"/>
      <w:jc w:val="both"/>
    </w:pPr>
    <w:rPr>
      <w:rFonts w:ascii="Verdana" w:hAnsi="Verdana" w:cs="Verdana"/>
      <w:sz w:val="18"/>
      <w:szCs w:val="18"/>
    </w:rPr>
  </w:style>
  <w:style w:type="character" w:customStyle="1" w:styleId="a6">
    <w:name w:val="Основной текст Знак"/>
    <w:basedOn w:val="a0"/>
    <w:link w:val="a5"/>
    <w:uiPriority w:val="99"/>
    <w:locked/>
    <w:rsid w:val="004C6030"/>
    <w:rPr>
      <w:rFonts w:cs="Times New Roman"/>
      <w:sz w:val="20"/>
      <w:szCs w:val="20"/>
    </w:rPr>
  </w:style>
  <w:style w:type="paragraph" w:styleId="a7">
    <w:name w:val="footer"/>
    <w:basedOn w:val="a"/>
    <w:link w:val="a8"/>
    <w:rsid w:val="00541DC9"/>
    <w:pPr>
      <w:tabs>
        <w:tab w:val="center" w:pos="4153"/>
        <w:tab w:val="right" w:pos="8306"/>
      </w:tabs>
    </w:pPr>
  </w:style>
  <w:style w:type="character" w:customStyle="1" w:styleId="a8">
    <w:name w:val="Нижний колонтитул Знак"/>
    <w:basedOn w:val="a0"/>
    <w:link w:val="a7"/>
    <w:locked/>
    <w:rsid w:val="009953E9"/>
    <w:rPr>
      <w:rFonts w:cs="Times New Roman"/>
      <w:lang w:val="ru-RU" w:eastAsia="ru-RU"/>
    </w:rPr>
  </w:style>
  <w:style w:type="character" w:styleId="a9">
    <w:name w:val="page number"/>
    <w:basedOn w:val="a0"/>
    <w:uiPriority w:val="99"/>
    <w:rsid w:val="00541DC9"/>
    <w:rPr>
      <w:rFonts w:cs="Times New Roman"/>
    </w:rPr>
  </w:style>
  <w:style w:type="paragraph" w:styleId="aa">
    <w:name w:val="header"/>
    <w:basedOn w:val="a"/>
    <w:link w:val="ab"/>
    <w:rsid w:val="00541DC9"/>
    <w:pPr>
      <w:tabs>
        <w:tab w:val="center" w:pos="4153"/>
        <w:tab w:val="right" w:pos="8306"/>
      </w:tabs>
    </w:pPr>
  </w:style>
  <w:style w:type="character" w:customStyle="1" w:styleId="ab">
    <w:name w:val="Верхний колонтитул Знак"/>
    <w:basedOn w:val="a0"/>
    <w:link w:val="aa"/>
    <w:locked/>
    <w:rsid w:val="004C6030"/>
    <w:rPr>
      <w:rFonts w:cs="Times New Roman"/>
      <w:sz w:val="20"/>
      <w:szCs w:val="20"/>
    </w:rPr>
  </w:style>
  <w:style w:type="paragraph" w:styleId="ac">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d"/>
    <w:rsid w:val="008E7F6E"/>
  </w:style>
  <w:style w:type="character" w:customStyle="1" w:styleId="ad">
    <w:name w:val="Текст сноски Знак"/>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link w:val="ac"/>
    <w:uiPriority w:val="99"/>
    <w:locked/>
    <w:rsid w:val="004C6030"/>
    <w:rPr>
      <w:rFonts w:cs="Times New Roman"/>
      <w:sz w:val="20"/>
      <w:szCs w:val="20"/>
    </w:rPr>
  </w:style>
  <w:style w:type="character" w:styleId="ae">
    <w:name w:val="footnote reference"/>
    <w:aliases w:val="Знак сноски 1,Знак сноски-FN"/>
    <w:basedOn w:val="a0"/>
    <w:rsid w:val="008E7F6E"/>
    <w:rPr>
      <w:rFonts w:cs="Times New Roman"/>
      <w:vertAlign w:val="superscript"/>
    </w:rPr>
  </w:style>
  <w:style w:type="paragraph" w:styleId="af">
    <w:name w:val="Title"/>
    <w:basedOn w:val="a"/>
    <w:next w:val="a"/>
    <w:link w:val="af0"/>
    <w:qFormat/>
    <w:rsid w:val="008E40A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11">
    <w:name w:val="Заголовок Знак1"/>
    <w:basedOn w:val="a0"/>
    <w:uiPriority w:val="10"/>
    <w:locked/>
    <w:rsid w:val="004C6030"/>
    <w:rPr>
      <w:rFonts w:ascii="Cambria" w:hAnsi="Cambria" w:cs="Cambria"/>
      <w:b/>
      <w:bCs/>
      <w:kern w:val="28"/>
      <w:sz w:val="32"/>
      <w:szCs w:val="32"/>
    </w:rPr>
  </w:style>
  <w:style w:type="character" w:styleId="af1">
    <w:name w:val="Hyperlink"/>
    <w:basedOn w:val="a0"/>
    <w:rsid w:val="008E7F6E"/>
    <w:rPr>
      <w:rFonts w:ascii="Tahoma" w:hAnsi="Tahoma" w:cs="Tahoma"/>
      <w:b/>
      <w:bCs/>
      <w:color w:val="auto"/>
      <w:sz w:val="20"/>
      <w:szCs w:val="20"/>
      <w:u w:val="single"/>
    </w:rPr>
  </w:style>
  <w:style w:type="character" w:styleId="af2">
    <w:name w:val="Emphasis"/>
    <w:uiPriority w:val="20"/>
    <w:qFormat/>
    <w:rsid w:val="008E40A0"/>
    <w:rPr>
      <w:caps/>
      <w:color w:val="243F60" w:themeColor="accent1" w:themeShade="7F"/>
      <w:spacing w:val="5"/>
    </w:rPr>
  </w:style>
  <w:style w:type="paragraph" w:styleId="31">
    <w:name w:val="Body Text 3"/>
    <w:basedOn w:val="a"/>
    <w:link w:val="32"/>
    <w:rsid w:val="008E7F6E"/>
    <w:pPr>
      <w:spacing w:after="120"/>
    </w:pPr>
    <w:rPr>
      <w:sz w:val="16"/>
      <w:szCs w:val="16"/>
    </w:rPr>
  </w:style>
  <w:style w:type="character" w:customStyle="1" w:styleId="32">
    <w:name w:val="Основной текст 3 Знак"/>
    <w:basedOn w:val="a0"/>
    <w:link w:val="31"/>
    <w:locked/>
    <w:rsid w:val="004C6030"/>
    <w:rPr>
      <w:rFonts w:cs="Times New Roman"/>
      <w:sz w:val="16"/>
      <w:szCs w:val="16"/>
    </w:rPr>
  </w:style>
  <w:style w:type="character" w:styleId="af3">
    <w:name w:val="line number"/>
    <w:basedOn w:val="a0"/>
    <w:rsid w:val="00B831E3"/>
    <w:rPr>
      <w:rFonts w:cs="Times New Roman"/>
    </w:rPr>
  </w:style>
  <w:style w:type="paragraph" w:customStyle="1" w:styleId="12">
    <w:name w:val="Знак Знак Знак Знак Знак Знак1 Знак Знак Знак Знак Знак Знак Знак Знак Знак Знак"/>
    <w:basedOn w:val="a"/>
    <w:rsid w:val="00EA3B13"/>
    <w:pPr>
      <w:spacing w:after="160" w:line="240" w:lineRule="exact"/>
    </w:pPr>
    <w:rPr>
      <w:rFonts w:ascii="Verdana" w:hAnsi="Verdana" w:cs="Verdana"/>
      <w:lang w:val="en-US" w:eastAsia="en-US"/>
    </w:rPr>
  </w:style>
  <w:style w:type="paragraph" w:styleId="21">
    <w:name w:val="Body Text Indent 2"/>
    <w:basedOn w:val="a"/>
    <w:link w:val="22"/>
    <w:rsid w:val="005620F1"/>
    <w:pPr>
      <w:spacing w:after="120" w:line="480" w:lineRule="auto"/>
      <w:ind w:left="283"/>
    </w:pPr>
  </w:style>
  <w:style w:type="character" w:customStyle="1" w:styleId="22">
    <w:name w:val="Основной текст с отступом 2 Знак"/>
    <w:basedOn w:val="a0"/>
    <w:link w:val="21"/>
    <w:locked/>
    <w:rsid w:val="004C6030"/>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FE03DA"/>
    <w:rPr>
      <w:rFonts w:ascii="Verdana" w:hAnsi="Verdana" w:cs="Verdana"/>
      <w:lang w:val="en-US" w:eastAsia="en-US"/>
    </w:rPr>
  </w:style>
  <w:style w:type="table" w:styleId="af4">
    <w:name w:val="Table Grid"/>
    <w:basedOn w:val="a1"/>
    <w:uiPriority w:val="99"/>
    <w:rsid w:val="00FE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rsid w:val="0048472D"/>
    <w:rPr>
      <w:rFonts w:ascii="Times New Roman" w:hAnsi="Times New Roman" w:cs="Times New Roman"/>
      <w:sz w:val="22"/>
      <w:szCs w:val="22"/>
    </w:rPr>
  </w:style>
  <w:style w:type="paragraph" w:styleId="23">
    <w:name w:val="Body Text 2"/>
    <w:basedOn w:val="a"/>
    <w:link w:val="24"/>
    <w:uiPriority w:val="99"/>
    <w:rsid w:val="00415C5F"/>
    <w:pPr>
      <w:spacing w:after="120" w:line="480" w:lineRule="auto"/>
    </w:pPr>
    <w:rPr>
      <w:sz w:val="24"/>
      <w:szCs w:val="24"/>
    </w:rPr>
  </w:style>
  <w:style w:type="character" w:customStyle="1" w:styleId="24">
    <w:name w:val="Основной текст 2 Знак"/>
    <w:basedOn w:val="a0"/>
    <w:link w:val="23"/>
    <w:uiPriority w:val="99"/>
    <w:locked/>
    <w:rsid w:val="004C6030"/>
    <w:rPr>
      <w:rFonts w:cs="Times New Roman"/>
      <w:sz w:val="20"/>
      <w:szCs w:val="20"/>
    </w:rPr>
  </w:style>
  <w:style w:type="paragraph" w:customStyle="1" w:styleId="p2">
    <w:name w:val="p2"/>
    <w:basedOn w:val="a"/>
    <w:rsid w:val="00415C5F"/>
    <w:pPr>
      <w:spacing w:beforeAutospacing="1" w:after="100" w:afterAutospacing="1"/>
      <w:jc w:val="both"/>
    </w:pPr>
    <w:rPr>
      <w:rFonts w:ascii="Arial" w:hAnsi="Arial" w:cs="Arial"/>
      <w:color w:val="000000"/>
    </w:rPr>
  </w:style>
  <w:style w:type="paragraph" w:styleId="af5">
    <w:name w:val="Plain Text"/>
    <w:aliases w:val="Текст Знак1 Знак1,Текст Знак Знак Знак1,Знак Знак2,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Текст Зн, Знак"/>
    <w:basedOn w:val="a"/>
    <w:link w:val="af6"/>
    <w:uiPriority w:val="99"/>
    <w:rsid w:val="008518C1"/>
    <w:rPr>
      <w:rFonts w:ascii="Courier New" w:hAnsi="Courier New" w:cs="Courier New"/>
    </w:rPr>
  </w:style>
  <w:style w:type="character" w:customStyle="1" w:styleId="af6">
    <w:name w:val="Текст Знак"/>
    <w:aliases w:val="Текст Знак1 Знак1 Знак1,Текст Знак Знак Знак1 Знак1,Знак Знак2 Знак1,Знак Знак Знак1 Знак1,Знак Знак Знак Знак Знак1 Знак1,Текст Знак2 Знак Знак1 Знак1,Текст Знак1 Знак1 Знак Знак1 Знак1,Текст Знак Знак Знак1 Знак Знак1 Знак1,Текст Зн Знак1"/>
    <w:basedOn w:val="a0"/>
    <w:link w:val="af5"/>
    <w:uiPriority w:val="99"/>
    <w:locked/>
    <w:rsid w:val="004C6030"/>
    <w:rPr>
      <w:rFonts w:ascii="Courier New" w:hAnsi="Courier New" w:cs="Courier New"/>
      <w:sz w:val="20"/>
      <w:szCs w:val="20"/>
    </w:rPr>
  </w:style>
  <w:style w:type="paragraph" w:styleId="HTML">
    <w:name w:val="HTML Preformatted"/>
    <w:basedOn w:val="a"/>
    <w:link w:val="HTML0"/>
    <w:uiPriority w:val="99"/>
    <w:rsid w:val="0085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897612"/>
    <w:rPr>
      <w:rFonts w:ascii="Courier New" w:hAnsi="Courier New" w:cs="Courier New"/>
      <w:lang w:val="ru-RU" w:eastAsia="ru-RU"/>
    </w:rPr>
  </w:style>
  <w:style w:type="paragraph" w:styleId="af7">
    <w:name w:val="Body Text Indent"/>
    <w:basedOn w:val="a"/>
    <w:link w:val="af8"/>
    <w:uiPriority w:val="99"/>
    <w:rsid w:val="008518C1"/>
    <w:pPr>
      <w:spacing w:after="120"/>
      <w:ind w:left="283"/>
    </w:pPr>
  </w:style>
  <w:style w:type="character" w:customStyle="1" w:styleId="af8">
    <w:name w:val="Основной текст с отступом Знак"/>
    <w:basedOn w:val="a0"/>
    <w:link w:val="af7"/>
    <w:uiPriority w:val="99"/>
    <w:locked/>
    <w:rsid w:val="004C6030"/>
    <w:rPr>
      <w:rFonts w:cs="Times New Roman"/>
      <w:sz w:val="20"/>
      <w:szCs w:val="20"/>
    </w:rPr>
  </w:style>
  <w:style w:type="paragraph" w:customStyle="1" w:styleId="Pa16">
    <w:name w:val="Pa16"/>
    <w:basedOn w:val="a"/>
    <w:next w:val="a"/>
    <w:rsid w:val="008518C1"/>
    <w:pPr>
      <w:autoSpaceDE w:val="0"/>
      <w:autoSpaceDN w:val="0"/>
      <w:adjustRightInd w:val="0"/>
      <w:spacing w:line="221" w:lineRule="atLeast"/>
    </w:pPr>
    <w:rPr>
      <w:rFonts w:ascii="FreeSetC" w:hAnsi="FreeSetC" w:cs="FreeSetC"/>
      <w:sz w:val="24"/>
      <w:szCs w:val="24"/>
    </w:rPr>
  </w:style>
  <w:style w:type="paragraph" w:styleId="33">
    <w:name w:val="Body Text Indent 3"/>
    <w:basedOn w:val="a"/>
    <w:link w:val="34"/>
    <w:rsid w:val="00AA4E8C"/>
    <w:pPr>
      <w:spacing w:after="120"/>
      <w:ind w:left="283"/>
    </w:pPr>
    <w:rPr>
      <w:sz w:val="16"/>
      <w:szCs w:val="16"/>
    </w:rPr>
  </w:style>
  <w:style w:type="character" w:customStyle="1" w:styleId="34">
    <w:name w:val="Основной текст с отступом 3 Знак"/>
    <w:basedOn w:val="a0"/>
    <w:link w:val="33"/>
    <w:locked/>
    <w:rsid w:val="004C6030"/>
    <w:rPr>
      <w:rFonts w:cs="Times New Roman"/>
      <w:sz w:val="16"/>
      <w:szCs w:val="16"/>
    </w:rPr>
  </w:style>
  <w:style w:type="paragraph" w:styleId="af9">
    <w:name w:val="Normal (Web)"/>
    <w:basedOn w:val="a"/>
    <w:uiPriority w:val="99"/>
    <w:rsid w:val="0058279C"/>
    <w:pPr>
      <w:spacing w:beforeAutospacing="1" w:after="100" w:afterAutospacing="1"/>
    </w:pPr>
    <w:rPr>
      <w:sz w:val="24"/>
      <w:szCs w:val="24"/>
    </w:rPr>
  </w:style>
  <w:style w:type="paragraph" w:customStyle="1" w:styleId="Normal1">
    <w:name w:val="Normal1"/>
    <w:link w:val="Normal"/>
    <w:rsid w:val="00B61D93"/>
    <w:pPr>
      <w:spacing w:after="100"/>
    </w:pPr>
    <w:rPr>
      <w:sz w:val="24"/>
      <w:szCs w:val="24"/>
    </w:rPr>
  </w:style>
  <w:style w:type="character" w:customStyle="1" w:styleId="Normal">
    <w:name w:val="Normal Знак"/>
    <w:basedOn w:val="a0"/>
    <w:link w:val="Normal1"/>
    <w:locked/>
    <w:rsid w:val="004C444A"/>
    <w:rPr>
      <w:sz w:val="24"/>
      <w:szCs w:val="24"/>
      <w:lang w:val="ru-RU" w:eastAsia="ru-RU" w:bidi="ar-SA"/>
    </w:rPr>
  </w:style>
  <w:style w:type="character" w:styleId="afa">
    <w:name w:val="annotation reference"/>
    <w:basedOn w:val="a0"/>
    <w:semiHidden/>
    <w:rsid w:val="00AF52A3"/>
    <w:rPr>
      <w:rFonts w:cs="Times New Roman"/>
      <w:sz w:val="16"/>
      <w:szCs w:val="16"/>
    </w:rPr>
  </w:style>
  <w:style w:type="paragraph" w:styleId="afb">
    <w:name w:val="annotation text"/>
    <w:basedOn w:val="a"/>
    <w:link w:val="afc"/>
    <w:uiPriority w:val="99"/>
    <w:semiHidden/>
    <w:rsid w:val="00AF52A3"/>
  </w:style>
  <w:style w:type="character" w:customStyle="1" w:styleId="afc">
    <w:name w:val="Текст примечания Знак"/>
    <w:basedOn w:val="a0"/>
    <w:link w:val="afb"/>
    <w:uiPriority w:val="99"/>
    <w:semiHidden/>
    <w:locked/>
    <w:rsid w:val="004C6030"/>
    <w:rPr>
      <w:rFonts w:cs="Times New Roman"/>
      <w:sz w:val="20"/>
      <w:szCs w:val="20"/>
    </w:rPr>
  </w:style>
  <w:style w:type="paragraph" w:styleId="afd">
    <w:name w:val="annotation subject"/>
    <w:basedOn w:val="afb"/>
    <w:next w:val="afb"/>
    <w:link w:val="afe"/>
    <w:semiHidden/>
    <w:rsid w:val="00AF52A3"/>
    <w:rPr>
      <w:b/>
      <w:bCs/>
    </w:rPr>
  </w:style>
  <w:style w:type="character" w:customStyle="1" w:styleId="afe">
    <w:name w:val="Тема примечания Знак"/>
    <w:basedOn w:val="afc"/>
    <w:link w:val="afd"/>
    <w:semiHidden/>
    <w:locked/>
    <w:rsid w:val="004C6030"/>
    <w:rPr>
      <w:rFonts w:cs="Times New Roman"/>
      <w:b/>
      <w:bCs/>
      <w:sz w:val="20"/>
      <w:szCs w:val="20"/>
    </w:rPr>
  </w:style>
  <w:style w:type="paragraph" w:customStyle="1" w:styleId="caaieiaie1">
    <w:name w:val="caaieiaie 1"/>
    <w:basedOn w:val="a"/>
    <w:next w:val="a"/>
    <w:rsid w:val="00570C81"/>
    <w:pPr>
      <w:keepNext/>
    </w:pPr>
    <w:rPr>
      <w:sz w:val="24"/>
      <w:szCs w:val="24"/>
      <w:lang w:val="en-US"/>
    </w:rPr>
  </w:style>
  <w:style w:type="paragraph" w:customStyle="1" w:styleId="25">
    <w:name w:val="2"/>
    <w:basedOn w:val="a"/>
    <w:rsid w:val="005F227A"/>
    <w:rPr>
      <w:rFonts w:ascii="Verdana" w:hAnsi="Verdana" w:cs="Verdana"/>
      <w:lang w:val="en-US" w:eastAsia="en-US"/>
    </w:rPr>
  </w:style>
  <w:style w:type="paragraph" w:customStyle="1" w:styleId="13">
    <w:name w:val="Обычный1"/>
    <w:basedOn w:val="a"/>
    <w:rsid w:val="004C444A"/>
    <w:pPr>
      <w:spacing w:beforeAutospacing="1" w:after="100" w:afterAutospacing="1"/>
    </w:pPr>
    <w:rPr>
      <w:sz w:val="24"/>
      <w:szCs w:val="24"/>
    </w:rPr>
  </w:style>
  <w:style w:type="paragraph" w:customStyle="1" w:styleId="14">
    <w:name w:val="Абзац списка1"/>
    <w:basedOn w:val="a"/>
    <w:rsid w:val="00284603"/>
    <w:pPr>
      <w:ind w:left="720" w:firstLine="709"/>
      <w:jc w:val="both"/>
    </w:pPr>
    <w:rPr>
      <w:rFonts w:ascii="Calibri" w:hAnsi="Calibri" w:cs="Calibri"/>
      <w:sz w:val="22"/>
      <w:szCs w:val="22"/>
    </w:rPr>
  </w:style>
  <w:style w:type="paragraph" w:customStyle="1" w:styleId="par">
    <w:name w:val="par"/>
    <w:basedOn w:val="a"/>
    <w:rsid w:val="0047598D"/>
    <w:pPr>
      <w:spacing w:beforeAutospacing="1" w:after="100" w:afterAutospacing="1"/>
    </w:pPr>
    <w:rPr>
      <w:sz w:val="24"/>
      <w:szCs w:val="24"/>
    </w:rPr>
  </w:style>
  <w:style w:type="character" w:customStyle="1" w:styleId="Strong1">
    <w:name w:val="Strong1"/>
    <w:rsid w:val="002B77F2"/>
    <w:rPr>
      <w:b/>
    </w:rPr>
  </w:style>
  <w:style w:type="paragraph" w:customStyle="1" w:styleId="aff">
    <w:name w:val="a"/>
    <w:basedOn w:val="a"/>
    <w:rsid w:val="000020E5"/>
    <w:pPr>
      <w:spacing w:before="60"/>
      <w:jc w:val="both"/>
    </w:pPr>
    <w:rPr>
      <w:rFonts w:ascii="Arial" w:hAnsi="Arial" w:cs="Arial"/>
    </w:rPr>
  </w:style>
  <w:style w:type="paragraph" w:customStyle="1" w:styleId="aff0">
    <w:name w:val="Знак"/>
    <w:basedOn w:val="a"/>
    <w:rsid w:val="005F20F4"/>
    <w:rPr>
      <w:rFonts w:ascii="Verdana" w:hAnsi="Verdana" w:cs="Verdana"/>
      <w:lang w:val="en-US" w:eastAsia="en-US"/>
    </w:rPr>
  </w:style>
  <w:style w:type="paragraph" w:customStyle="1" w:styleId="15">
    <w:name w:val="Знак Знак Знак Знак Знак Знак Знак Знак Знак1 Знак Знак Знак Знак"/>
    <w:basedOn w:val="a"/>
    <w:rsid w:val="0099174B"/>
    <w:pPr>
      <w:spacing w:after="160" w:line="240" w:lineRule="exact"/>
    </w:pPr>
    <w:rPr>
      <w:rFonts w:ascii="Verdana" w:hAnsi="Verdana" w:cs="Verdana"/>
      <w:lang w:val="en-US" w:eastAsia="en-US"/>
    </w:rPr>
  </w:style>
  <w:style w:type="paragraph" w:styleId="aff1">
    <w:name w:val="Closing"/>
    <w:basedOn w:val="a"/>
    <w:link w:val="aff2"/>
    <w:rsid w:val="00F1587F"/>
    <w:pPr>
      <w:spacing w:line="220" w:lineRule="atLeast"/>
      <w:ind w:left="840" w:right="-360"/>
    </w:pPr>
  </w:style>
  <w:style w:type="character" w:customStyle="1" w:styleId="aff2">
    <w:name w:val="Прощание Знак"/>
    <w:basedOn w:val="a0"/>
    <w:link w:val="aff1"/>
    <w:locked/>
    <w:rsid w:val="004C6030"/>
    <w:rPr>
      <w:rFonts w:cs="Times New Roman"/>
      <w:sz w:val="20"/>
      <w:szCs w:val="20"/>
    </w:rPr>
  </w:style>
  <w:style w:type="paragraph" w:customStyle="1" w:styleId="Iauiue">
    <w:name w:val="Iau?iue"/>
    <w:rsid w:val="006A5175"/>
  </w:style>
  <w:style w:type="paragraph" w:customStyle="1" w:styleId="16">
    <w:name w:val="Знак1"/>
    <w:basedOn w:val="a"/>
    <w:rsid w:val="00226D6F"/>
    <w:rPr>
      <w:rFonts w:ascii="Verdana" w:hAnsi="Verdana" w:cs="Verdana"/>
      <w:lang w:val="en-US" w:eastAsia="en-US"/>
    </w:rPr>
  </w:style>
  <w:style w:type="character" w:styleId="aff3">
    <w:name w:val="Strong"/>
    <w:uiPriority w:val="22"/>
    <w:qFormat/>
    <w:rsid w:val="008E40A0"/>
    <w:rPr>
      <w:b/>
      <w:bCs/>
    </w:rPr>
  </w:style>
  <w:style w:type="character" w:customStyle="1" w:styleId="text-small">
    <w:name w:val="text-small"/>
    <w:basedOn w:val="a0"/>
    <w:rsid w:val="00226D6F"/>
    <w:rPr>
      <w:rFonts w:cs="Times New Roman"/>
    </w:rPr>
  </w:style>
  <w:style w:type="character" w:customStyle="1" w:styleId="margintext-small">
    <w:name w:val="margin text-small"/>
    <w:basedOn w:val="a0"/>
    <w:rsid w:val="00226D6F"/>
    <w:rPr>
      <w:rFonts w:cs="Times New Roman"/>
    </w:rPr>
  </w:style>
  <w:style w:type="paragraph" w:customStyle="1" w:styleId="ConsNormal">
    <w:name w:val="ConsNormal"/>
    <w:rsid w:val="00226D6F"/>
    <w:pPr>
      <w:widowControl w:val="0"/>
      <w:autoSpaceDE w:val="0"/>
      <w:autoSpaceDN w:val="0"/>
      <w:adjustRightInd w:val="0"/>
      <w:ind w:right="19772" w:firstLine="720"/>
    </w:pPr>
    <w:rPr>
      <w:rFonts w:ascii="Arial" w:hAnsi="Arial" w:cs="Arial"/>
    </w:rPr>
  </w:style>
  <w:style w:type="character" w:customStyle="1" w:styleId="FontStyle11">
    <w:name w:val="Font Style11"/>
    <w:basedOn w:val="a0"/>
    <w:rsid w:val="00226D6F"/>
    <w:rPr>
      <w:rFonts w:ascii="Times New Roman" w:hAnsi="Times New Roman" w:cs="Times New Roman"/>
      <w:sz w:val="24"/>
      <w:szCs w:val="24"/>
    </w:rPr>
  </w:style>
  <w:style w:type="character" w:customStyle="1" w:styleId="b-news-groupsnews-description">
    <w:name w:val="b-news-groups__news-description"/>
    <w:basedOn w:val="a0"/>
    <w:rsid w:val="00376494"/>
    <w:rPr>
      <w:rFonts w:cs="Times New Roman"/>
    </w:rPr>
  </w:style>
  <w:style w:type="character" w:customStyle="1" w:styleId="17">
    <w:name w:val="Знак Знак1"/>
    <w:basedOn w:val="a0"/>
    <w:rsid w:val="00A64DB1"/>
    <w:rPr>
      <w:rFonts w:cs="Times New Roman"/>
      <w:lang w:val="ru-RU" w:eastAsia="ru-RU"/>
    </w:rPr>
  </w:style>
  <w:style w:type="paragraph" w:customStyle="1" w:styleId="26">
    <w:name w:val="Знак2 Знак Знак Знак"/>
    <w:basedOn w:val="a"/>
    <w:rsid w:val="002D77DE"/>
    <w:rPr>
      <w:rFonts w:ascii="Verdana" w:hAnsi="Verdana" w:cs="Verdana"/>
      <w:lang w:val="en-US" w:eastAsia="en-US"/>
    </w:rPr>
  </w:style>
  <w:style w:type="character" w:customStyle="1" w:styleId="blk">
    <w:name w:val="blk"/>
    <w:basedOn w:val="a0"/>
    <w:rsid w:val="00CA6373"/>
    <w:rPr>
      <w:rFonts w:cs="Times New Roman"/>
    </w:rPr>
  </w:style>
  <w:style w:type="paragraph" w:customStyle="1" w:styleId="18">
    <w:name w:val="Без интервала1"/>
    <w:rsid w:val="00795BC1"/>
    <w:rPr>
      <w:rFonts w:ascii="Calibri" w:hAnsi="Calibri" w:cs="Calibri"/>
      <w:sz w:val="22"/>
      <w:szCs w:val="22"/>
    </w:rPr>
  </w:style>
  <w:style w:type="paragraph" w:customStyle="1" w:styleId="210">
    <w:name w:val="Знак2 Знак Знак Знак1"/>
    <w:basedOn w:val="a"/>
    <w:rsid w:val="00C94023"/>
    <w:rPr>
      <w:rFonts w:ascii="Verdana" w:hAnsi="Verdana" w:cs="Verdana"/>
      <w:lang w:val="en-US" w:eastAsia="en-US"/>
    </w:rPr>
  </w:style>
  <w:style w:type="paragraph" w:customStyle="1" w:styleId="MainText">
    <w:name w:val="MainText"/>
    <w:rsid w:val="00C15B85"/>
    <w:pPr>
      <w:overflowPunct w:val="0"/>
      <w:autoSpaceDE w:val="0"/>
      <w:autoSpaceDN w:val="0"/>
      <w:adjustRightInd w:val="0"/>
      <w:ind w:firstLine="567"/>
      <w:jc w:val="both"/>
    </w:pPr>
    <w:rPr>
      <w:rFonts w:ascii="PragmaticaC" w:hAnsi="PragmaticaC" w:cs="PragmaticaC"/>
      <w:color w:val="000000"/>
      <w:sz w:val="19"/>
      <w:szCs w:val="19"/>
      <w:lang w:val="en-US" w:eastAsia="en-US"/>
    </w:rPr>
  </w:style>
  <w:style w:type="paragraph" w:customStyle="1" w:styleId="Default">
    <w:name w:val="Default"/>
    <w:rsid w:val="003E01A1"/>
    <w:pPr>
      <w:autoSpaceDE w:val="0"/>
      <w:autoSpaceDN w:val="0"/>
      <w:adjustRightInd w:val="0"/>
    </w:pPr>
    <w:rPr>
      <w:color w:val="000000"/>
      <w:sz w:val="24"/>
      <w:szCs w:val="24"/>
    </w:rPr>
  </w:style>
  <w:style w:type="paragraph" w:customStyle="1" w:styleId="19">
    <w:name w:val="1"/>
    <w:basedOn w:val="a"/>
    <w:rsid w:val="00E92484"/>
    <w:rPr>
      <w:rFonts w:ascii="Verdana" w:hAnsi="Verdana" w:cs="Verdana"/>
      <w:lang w:val="en-US" w:eastAsia="en-US"/>
    </w:rPr>
  </w:style>
  <w:style w:type="paragraph" w:customStyle="1" w:styleId="ListParagraph1">
    <w:name w:val="List Paragraph1"/>
    <w:basedOn w:val="a"/>
    <w:rsid w:val="00531652"/>
    <w:pPr>
      <w:ind w:left="720"/>
    </w:pPr>
    <w:rPr>
      <w:rFonts w:ascii="Calibri" w:hAnsi="Calibri" w:cs="Calibri"/>
      <w:sz w:val="22"/>
      <w:szCs w:val="22"/>
      <w:lang w:eastAsia="en-US"/>
    </w:rPr>
  </w:style>
  <w:style w:type="paragraph" w:customStyle="1" w:styleId="110">
    <w:name w:val="Знак Знак Знак Знак Знак Знак1 Знак Знак Знак Знак Знак Знак Знак Знак Знак Знак1"/>
    <w:basedOn w:val="a"/>
    <w:rsid w:val="00D41471"/>
    <w:pPr>
      <w:spacing w:after="160" w:line="240" w:lineRule="exact"/>
    </w:pPr>
    <w:rPr>
      <w:rFonts w:ascii="Verdana" w:hAnsi="Verdana" w:cs="Verdana"/>
      <w:lang w:val="en-US" w:eastAsia="en-US"/>
    </w:rPr>
  </w:style>
  <w:style w:type="paragraph" w:customStyle="1" w:styleId="ConsPlusNormal">
    <w:name w:val="ConsPlusNormal"/>
    <w:rsid w:val="00A64E05"/>
    <w:pPr>
      <w:widowControl w:val="0"/>
      <w:autoSpaceDE w:val="0"/>
      <w:autoSpaceDN w:val="0"/>
      <w:adjustRightInd w:val="0"/>
    </w:pPr>
    <w:rPr>
      <w:rFonts w:ascii="Arial" w:hAnsi="Arial" w:cs="Arial"/>
    </w:rPr>
  </w:style>
  <w:style w:type="character" w:customStyle="1" w:styleId="HTMLPreformattedChar">
    <w:name w:val="HTML Preformatted Char"/>
    <w:basedOn w:val="a0"/>
    <w:semiHidden/>
    <w:locked/>
    <w:rsid w:val="00C56F0E"/>
    <w:rPr>
      <w:rFonts w:ascii="Courier New" w:hAnsi="Courier New" w:cs="Courier New"/>
      <w:lang w:val="ru-RU" w:eastAsia="ru-RU"/>
    </w:rPr>
  </w:style>
  <w:style w:type="paragraph" w:customStyle="1" w:styleId="Style6">
    <w:name w:val="Style6"/>
    <w:basedOn w:val="a"/>
    <w:rsid w:val="00CE4FF8"/>
    <w:pPr>
      <w:widowControl w:val="0"/>
      <w:autoSpaceDE w:val="0"/>
      <w:autoSpaceDN w:val="0"/>
      <w:adjustRightInd w:val="0"/>
      <w:spacing w:line="226" w:lineRule="exact"/>
      <w:ind w:firstLine="580"/>
      <w:jc w:val="both"/>
    </w:pPr>
    <w:rPr>
      <w:sz w:val="24"/>
      <w:szCs w:val="24"/>
    </w:rPr>
  </w:style>
  <w:style w:type="character" w:customStyle="1" w:styleId="FontStyle13">
    <w:name w:val="Font Style13"/>
    <w:basedOn w:val="a0"/>
    <w:rsid w:val="00CE4FF8"/>
    <w:rPr>
      <w:rFonts w:ascii="Times New Roman" w:hAnsi="Times New Roman" w:cs="Times New Roman"/>
      <w:sz w:val="18"/>
      <w:szCs w:val="18"/>
    </w:rPr>
  </w:style>
  <w:style w:type="character" w:customStyle="1" w:styleId="FontStyle14">
    <w:name w:val="Font Style14"/>
    <w:basedOn w:val="a0"/>
    <w:rsid w:val="00CE4FF8"/>
    <w:rPr>
      <w:rFonts w:ascii="Times New Roman" w:hAnsi="Times New Roman" w:cs="Times New Roman"/>
      <w:b/>
      <w:bCs/>
      <w:i/>
      <w:iCs/>
      <w:sz w:val="16"/>
      <w:szCs w:val="16"/>
    </w:rPr>
  </w:style>
  <w:style w:type="character" w:customStyle="1" w:styleId="FootnoteTextChar">
    <w:name w:val="Footnote Text Char"/>
    <w:basedOn w:val="a0"/>
    <w:semiHidden/>
    <w:locked/>
    <w:rsid w:val="006802FB"/>
    <w:rPr>
      <w:rFonts w:cs="Times New Roman"/>
      <w:sz w:val="20"/>
      <w:szCs w:val="20"/>
    </w:rPr>
  </w:style>
  <w:style w:type="paragraph" w:customStyle="1" w:styleId="Style4">
    <w:name w:val="Style4"/>
    <w:basedOn w:val="a"/>
    <w:rsid w:val="00403E66"/>
    <w:pPr>
      <w:widowControl w:val="0"/>
      <w:autoSpaceDE w:val="0"/>
      <w:autoSpaceDN w:val="0"/>
      <w:adjustRightInd w:val="0"/>
      <w:spacing w:line="267" w:lineRule="exact"/>
      <w:ind w:firstLine="720"/>
      <w:jc w:val="both"/>
    </w:pPr>
    <w:rPr>
      <w:sz w:val="24"/>
      <w:szCs w:val="24"/>
    </w:rPr>
  </w:style>
  <w:style w:type="paragraph" w:customStyle="1" w:styleId="1a">
    <w:name w:val="Обычный1"/>
    <w:rsid w:val="0075144C"/>
    <w:pPr>
      <w:spacing w:after="100"/>
    </w:pPr>
    <w:rPr>
      <w:snapToGrid w:val="0"/>
      <w:sz w:val="24"/>
    </w:rPr>
  </w:style>
  <w:style w:type="character" w:customStyle="1" w:styleId="Heading2Char">
    <w:name w:val="Heading 2 Char"/>
    <w:basedOn w:val="a0"/>
    <w:semiHidden/>
    <w:locked/>
    <w:rsid w:val="008D7F02"/>
    <w:rPr>
      <w:rFonts w:ascii="Verdana" w:hAnsi="Verdana" w:cs="Verdana"/>
      <w:b/>
      <w:bCs/>
      <w:lang w:val="ru-RU" w:eastAsia="ru-RU" w:bidi="ar-SA"/>
    </w:rPr>
  </w:style>
  <w:style w:type="paragraph" w:customStyle="1" w:styleId="ConsPlusNonformat">
    <w:name w:val="ConsPlusNonformat"/>
    <w:uiPriority w:val="99"/>
    <w:rsid w:val="004A7DE1"/>
    <w:pPr>
      <w:ind w:firstLine="709"/>
    </w:pPr>
    <w:rPr>
      <w:rFonts w:ascii="Courier New" w:hAnsi="Courier New" w:cs="Courier New"/>
    </w:rPr>
  </w:style>
  <w:style w:type="paragraph" w:styleId="aff4">
    <w:name w:val="List Paragraph"/>
    <w:basedOn w:val="a"/>
    <w:uiPriority w:val="34"/>
    <w:qFormat/>
    <w:rsid w:val="004A7DE1"/>
    <w:pPr>
      <w:ind w:left="720"/>
      <w:contextualSpacing/>
    </w:pPr>
  </w:style>
  <w:style w:type="paragraph" w:styleId="aff5">
    <w:name w:val="endnote text"/>
    <w:basedOn w:val="a"/>
    <w:link w:val="aff6"/>
    <w:rsid w:val="004A7DE1"/>
    <w:pPr>
      <w:ind w:firstLine="709"/>
    </w:pPr>
  </w:style>
  <w:style w:type="character" w:customStyle="1" w:styleId="aff6">
    <w:name w:val="Текст концевой сноски Знак"/>
    <w:basedOn w:val="a0"/>
    <w:link w:val="aff5"/>
    <w:rsid w:val="004A7DE1"/>
  </w:style>
  <w:style w:type="character" w:styleId="aff7">
    <w:name w:val="endnote reference"/>
    <w:basedOn w:val="a0"/>
    <w:rsid w:val="004A7DE1"/>
    <w:rPr>
      <w:vertAlign w:val="superscript"/>
    </w:rPr>
  </w:style>
  <w:style w:type="numbering" w:customStyle="1" w:styleId="1b">
    <w:name w:val="Нет списка1"/>
    <w:next w:val="a2"/>
    <w:uiPriority w:val="99"/>
    <w:semiHidden/>
    <w:unhideWhenUsed/>
    <w:rsid w:val="00D719F1"/>
  </w:style>
  <w:style w:type="character" w:customStyle="1" w:styleId="81">
    <w:name w:val="Знак Знак8"/>
    <w:basedOn w:val="a0"/>
    <w:semiHidden/>
    <w:locked/>
    <w:rsid w:val="00D719F1"/>
    <w:rPr>
      <w:rFonts w:ascii="Verdana" w:hAnsi="Verdana" w:cs="Verdana"/>
      <w:lang w:val="ru-RU" w:eastAsia="ru-RU" w:bidi="ar-SA"/>
    </w:rPr>
  </w:style>
  <w:style w:type="character" w:customStyle="1" w:styleId="BodyTextIndent2Char">
    <w:name w:val="Body Text Indent 2 Char"/>
    <w:basedOn w:val="a0"/>
    <w:semiHidden/>
    <w:locked/>
    <w:rsid w:val="00533389"/>
    <w:rPr>
      <w:lang w:val="ru-RU" w:eastAsia="ru-RU" w:bidi="ar-SA"/>
    </w:rPr>
  </w:style>
  <w:style w:type="paragraph" w:customStyle="1" w:styleId="1c">
    <w:name w:val="Обычный1"/>
    <w:rsid w:val="00DC6F94"/>
    <w:pPr>
      <w:spacing w:after="100"/>
    </w:pPr>
    <w:rPr>
      <w:snapToGrid w:val="0"/>
      <w:sz w:val="24"/>
    </w:rPr>
  </w:style>
  <w:style w:type="paragraph" w:styleId="aff8">
    <w:name w:val="No Spacing"/>
    <w:uiPriority w:val="1"/>
    <w:qFormat/>
    <w:rsid w:val="008E40A0"/>
    <w:pPr>
      <w:spacing w:after="0" w:line="240" w:lineRule="auto"/>
    </w:pPr>
  </w:style>
  <w:style w:type="character" w:customStyle="1" w:styleId="margin">
    <w:name w:val="margin"/>
    <w:basedOn w:val="a0"/>
    <w:rsid w:val="00DC6F94"/>
  </w:style>
  <w:style w:type="character" w:customStyle="1" w:styleId="st">
    <w:name w:val="st"/>
    <w:basedOn w:val="a0"/>
    <w:rsid w:val="003A349A"/>
    <w:rPr>
      <w:lang w:val="ru-RU"/>
    </w:rPr>
  </w:style>
  <w:style w:type="character" w:customStyle="1" w:styleId="FontStyle64">
    <w:name w:val="Font Style64"/>
    <w:basedOn w:val="a0"/>
    <w:rsid w:val="009F003C"/>
    <w:rPr>
      <w:rFonts w:ascii="Book Antiqua" w:hAnsi="Book Antiqua" w:cs="Book Antiqua"/>
      <w:sz w:val="18"/>
      <w:szCs w:val="18"/>
    </w:rPr>
  </w:style>
  <w:style w:type="character" w:customStyle="1" w:styleId="1d">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ocked/>
    <w:rsid w:val="00980420"/>
    <w:rPr>
      <w:lang w:val="ru-RU" w:eastAsia="ru-RU" w:bidi="ar-SA"/>
    </w:rPr>
  </w:style>
  <w:style w:type="paragraph" w:customStyle="1" w:styleId="hyphenator502hide">
    <w:name w:val="hyphenator502hide"/>
    <w:basedOn w:val="a"/>
    <w:rsid w:val="00FA6300"/>
    <w:pPr>
      <w:spacing w:beforeAutospacing="1" w:after="100" w:afterAutospacing="1"/>
    </w:pPr>
    <w:rPr>
      <w:sz w:val="24"/>
      <w:szCs w:val="24"/>
    </w:rPr>
  </w:style>
  <w:style w:type="paragraph" w:customStyle="1" w:styleId="aff9">
    <w:name w:val="Знак"/>
    <w:basedOn w:val="a"/>
    <w:rsid w:val="009552ED"/>
    <w:rPr>
      <w:rFonts w:ascii="Verdana" w:hAnsi="Verdana" w:cs="Verdana"/>
      <w:lang w:val="en-US" w:eastAsia="en-US"/>
    </w:rPr>
  </w:style>
  <w:style w:type="paragraph" w:customStyle="1" w:styleId="affa">
    <w:name w:val="Знак"/>
    <w:basedOn w:val="a"/>
    <w:rsid w:val="0091561F"/>
    <w:rPr>
      <w:rFonts w:ascii="Verdana" w:hAnsi="Verdana" w:cs="Verdana"/>
      <w:lang w:val="en-US" w:eastAsia="en-US"/>
    </w:rPr>
  </w:style>
  <w:style w:type="paragraph" w:customStyle="1" w:styleId="affb">
    <w:name w:val="Знак"/>
    <w:basedOn w:val="a"/>
    <w:rsid w:val="00157541"/>
    <w:rPr>
      <w:rFonts w:ascii="Verdana" w:hAnsi="Verdana" w:cs="Verdana"/>
      <w:lang w:val="en-US" w:eastAsia="en-US"/>
    </w:rPr>
  </w:style>
  <w:style w:type="character" w:customStyle="1" w:styleId="af0">
    <w:name w:val="Название Знак"/>
    <w:basedOn w:val="a0"/>
    <w:link w:val="af"/>
    <w:locked/>
    <w:rsid w:val="008E40A0"/>
    <w:rPr>
      <w:rFonts w:asciiTheme="majorHAnsi" w:eastAsiaTheme="majorEastAsia" w:hAnsiTheme="majorHAnsi" w:cstheme="majorBidi"/>
      <w:caps/>
      <w:color w:val="4F81BD" w:themeColor="accent1"/>
      <w:spacing w:val="10"/>
      <w:sz w:val="52"/>
      <w:szCs w:val="52"/>
    </w:rPr>
  </w:style>
  <w:style w:type="character" w:customStyle="1" w:styleId="1e">
    <w:name w:val="Текст Знак1"/>
    <w:aliases w:val="Текст Знак1 Знак1 Знак,Текст Знак Знак Знак1 Знак,Знак Знак2 Знак,Знак Знак Знак1 Знак,Знак Знак Знак Знак Знак1 Знак,Текст Знак2 Знак Знак1 Знак,Текст Знак1 Знак1 Знак Знак1 Знак,Текст Знак Знак Знак1 Знак Знак1 Знак,Текст Зн Знак"/>
    <w:locked/>
    <w:rsid w:val="00B826DC"/>
    <w:rPr>
      <w:rFonts w:ascii="Courier New" w:eastAsia="Times New Roman" w:hAnsi="Courier New" w:cs="Times New Roman"/>
      <w:sz w:val="20"/>
      <w:szCs w:val="20"/>
    </w:rPr>
  </w:style>
  <w:style w:type="paragraph" w:styleId="affc">
    <w:name w:val="caption"/>
    <w:basedOn w:val="a"/>
    <w:next w:val="a"/>
    <w:uiPriority w:val="35"/>
    <w:unhideWhenUsed/>
    <w:qFormat/>
    <w:locked/>
    <w:rsid w:val="008E40A0"/>
    <w:rPr>
      <w:b/>
      <w:bCs/>
      <w:color w:val="365F91" w:themeColor="accent1" w:themeShade="BF"/>
      <w:sz w:val="16"/>
      <w:szCs w:val="16"/>
    </w:rPr>
  </w:style>
  <w:style w:type="character" w:customStyle="1" w:styleId="fce729a3b9-b71d-465b-b2c8-45dd450aeb19-1">
    <w:name w:val="fce729a3b9-b71d-465b-b2c8-45dd450aeb19-1"/>
    <w:rsid w:val="00B826DC"/>
  </w:style>
  <w:style w:type="character" w:customStyle="1" w:styleId="fc01b89789-3ce8-47c3-a9c6-9f9de0cd4260-1">
    <w:name w:val="fc01b89789-3ce8-47c3-a9c6-9f9de0cd4260-1"/>
    <w:rsid w:val="00B826DC"/>
  </w:style>
  <w:style w:type="paragraph" w:customStyle="1" w:styleId="35">
    <w:name w:val="Обычный3"/>
    <w:rsid w:val="00842545"/>
    <w:pPr>
      <w:spacing w:after="100"/>
    </w:pPr>
    <w:rPr>
      <w:snapToGrid w:val="0"/>
      <w:sz w:val="24"/>
    </w:rPr>
  </w:style>
  <w:style w:type="paragraph" w:customStyle="1" w:styleId="affd">
    <w:name w:val="Основной текст с отступом.Основной текст без отступа.Основной текст с отступом среднее письмо"/>
    <w:basedOn w:val="a"/>
    <w:rsid w:val="00115BDD"/>
    <w:pPr>
      <w:spacing w:line="360" w:lineRule="auto"/>
      <w:ind w:firstLine="709"/>
      <w:jc w:val="both"/>
    </w:pPr>
    <w:rPr>
      <w:sz w:val="24"/>
      <w:szCs w:val="24"/>
    </w:rPr>
  </w:style>
  <w:style w:type="character" w:customStyle="1" w:styleId="newscontent">
    <w:name w:val="newscontent"/>
    <w:basedOn w:val="a0"/>
    <w:rsid w:val="007A3B6C"/>
  </w:style>
  <w:style w:type="paragraph" w:styleId="affe">
    <w:name w:val="Intense Quote"/>
    <w:basedOn w:val="a"/>
    <w:next w:val="a"/>
    <w:link w:val="afff"/>
    <w:uiPriority w:val="30"/>
    <w:qFormat/>
    <w:rsid w:val="008E40A0"/>
    <w:pPr>
      <w:spacing w:before="240" w:after="240" w:line="240" w:lineRule="auto"/>
      <w:ind w:left="1080" w:right="1080"/>
      <w:jc w:val="center"/>
    </w:pPr>
    <w:rPr>
      <w:color w:val="4F81BD" w:themeColor="accent1"/>
      <w:sz w:val="24"/>
      <w:szCs w:val="24"/>
    </w:rPr>
  </w:style>
  <w:style w:type="character" w:customStyle="1" w:styleId="afff">
    <w:name w:val="Выделенная цитата Знак"/>
    <w:basedOn w:val="a0"/>
    <w:link w:val="affe"/>
    <w:uiPriority w:val="30"/>
    <w:rsid w:val="008E40A0"/>
    <w:rPr>
      <w:color w:val="4F81BD" w:themeColor="accent1"/>
      <w:sz w:val="24"/>
      <w:szCs w:val="24"/>
    </w:rPr>
  </w:style>
  <w:style w:type="character" w:customStyle="1" w:styleId="b-articleintro">
    <w:name w:val="b-article__intro"/>
    <w:basedOn w:val="a0"/>
    <w:rsid w:val="00237BFB"/>
  </w:style>
  <w:style w:type="character" w:customStyle="1" w:styleId="small">
    <w:name w:val="small"/>
    <w:basedOn w:val="a0"/>
    <w:rsid w:val="001360C0"/>
  </w:style>
  <w:style w:type="character" w:customStyle="1" w:styleId="caps">
    <w:name w:val="caps"/>
    <w:basedOn w:val="a0"/>
    <w:rsid w:val="003F75A1"/>
  </w:style>
  <w:style w:type="character" w:customStyle="1" w:styleId="e24kjd">
    <w:name w:val="e24kjd"/>
    <w:basedOn w:val="a0"/>
    <w:rsid w:val="003F75A1"/>
  </w:style>
  <w:style w:type="paragraph" w:customStyle="1" w:styleId="b-articletext">
    <w:name w:val="b-article__text"/>
    <w:basedOn w:val="a"/>
    <w:rsid w:val="005E4838"/>
    <w:pPr>
      <w:spacing w:beforeAutospacing="1" w:after="100" w:afterAutospacing="1"/>
    </w:pPr>
    <w:rPr>
      <w:sz w:val="24"/>
      <w:szCs w:val="24"/>
    </w:rPr>
  </w:style>
  <w:style w:type="paragraph" w:styleId="afff0">
    <w:name w:val="Subtitle"/>
    <w:basedOn w:val="a"/>
    <w:next w:val="a"/>
    <w:link w:val="afff1"/>
    <w:uiPriority w:val="11"/>
    <w:qFormat/>
    <w:locked/>
    <w:rsid w:val="008E40A0"/>
    <w:pPr>
      <w:spacing w:before="0" w:after="500" w:line="240" w:lineRule="auto"/>
    </w:pPr>
    <w:rPr>
      <w:caps/>
      <w:color w:val="595959" w:themeColor="text1" w:themeTint="A6"/>
      <w:spacing w:val="10"/>
      <w:sz w:val="21"/>
      <w:szCs w:val="21"/>
    </w:rPr>
  </w:style>
  <w:style w:type="character" w:customStyle="1" w:styleId="afff1">
    <w:name w:val="Подзаголовок Знак"/>
    <w:basedOn w:val="a0"/>
    <w:link w:val="afff0"/>
    <w:uiPriority w:val="11"/>
    <w:rsid w:val="008E40A0"/>
    <w:rPr>
      <w:caps/>
      <w:color w:val="595959" w:themeColor="text1" w:themeTint="A6"/>
      <w:spacing w:val="10"/>
      <w:sz w:val="21"/>
      <w:szCs w:val="21"/>
    </w:rPr>
  </w:style>
  <w:style w:type="paragraph" w:styleId="27">
    <w:name w:val="Quote"/>
    <w:basedOn w:val="a"/>
    <w:next w:val="a"/>
    <w:link w:val="28"/>
    <w:uiPriority w:val="29"/>
    <w:qFormat/>
    <w:rsid w:val="008E40A0"/>
    <w:rPr>
      <w:i/>
      <w:iCs/>
      <w:sz w:val="24"/>
      <w:szCs w:val="24"/>
    </w:rPr>
  </w:style>
  <w:style w:type="character" w:customStyle="1" w:styleId="28">
    <w:name w:val="Цитата 2 Знак"/>
    <w:basedOn w:val="a0"/>
    <w:link w:val="27"/>
    <w:uiPriority w:val="29"/>
    <w:rsid w:val="008E40A0"/>
    <w:rPr>
      <w:i/>
      <w:iCs/>
      <w:sz w:val="24"/>
      <w:szCs w:val="24"/>
    </w:rPr>
  </w:style>
  <w:style w:type="character" w:styleId="afff2">
    <w:name w:val="Subtle Emphasis"/>
    <w:uiPriority w:val="19"/>
    <w:qFormat/>
    <w:rsid w:val="008E40A0"/>
    <w:rPr>
      <w:i/>
      <w:iCs/>
      <w:color w:val="243F60" w:themeColor="accent1" w:themeShade="7F"/>
    </w:rPr>
  </w:style>
  <w:style w:type="character" w:styleId="afff3">
    <w:name w:val="Intense Emphasis"/>
    <w:uiPriority w:val="21"/>
    <w:qFormat/>
    <w:rsid w:val="008E40A0"/>
    <w:rPr>
      <w:b/>
      <w:bCs/>
      <w:caps/>
      <w:color w:val="243F60" w:themeColor="accent1" w:themeShade="7F"/>
      <w:spacing w:val="10"/>
    </w:rPr>
  </w:style>
  <w:style w:type="character" w:styleId="afff4">
    <w:name w:val="Subtle Reference"/>
    <w:uiPriority w:val="31"/>
    <w:qFormat/>
    <w:rsid w:val="008E40A0"/>
    <w:rPr>
      <w:b/>
      <w:bCs/>
      <w:color w:val="4F81BD" w:themeColor="accent1"/>
    </w:rPr>
  </w:style>
  <w:style w:type="character" w:styleId="afff5">
    <w:name w:val="Intense Reference"/>
    <w:uiPriority w:val="32"/>
    <w:qFormat/>
    <w:rsid w:val="008E40A0"/>
    <w:rPr>
      <w:b/>
      <w:bCs/>
      <w:i/>
      <w:iCs/>
      <w:caps/>
      <w:color w:val="4F81BD" w:themeColor="accent1"/>
    </w:rPr>
  </w:style>
  <w:style w:type="character" w:styleId="afff6">
    <w:name w:val="Book Title"/>
    <w:uiPriority w:val="33"/>
    <w:qFormat/>
    <w:rsid w:val="008E40A0"/>
    <w:rPr>
      <w:b/>
      <w:bCs/>
      <w:i/>
      <w:iCs/>
      <w:spacing w:val="0"/>
    </w:rPr>
  </w:style>
  <w:style w:type="paragraph" w:styleId="afff7">
    <w:name w:val="TOC Heading"/>
    <w:basedOn w:val="1"/>
    <w:next w:val="a"/>
    <w:uiPriority w:val="39"/>
    <w:semiHidden/>
    <w:unhideWhenUsed/>
    <w:qFormat/>
    <w:rsid w:val="008E40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7147552">
      <w:bodyDiv w:val="1"/>
      <w:marLeft w:val="0"/>
      <w:marRight w:val="0"/>
      <w:marTop w:val="0"/>
      <w:marBottom w:val="0"/>
      <w:divBdr>
        <w:top w:val="none" w:sz="0" w:space="0" w:color="auto"/>
        <w:left w:val="none" w:sz="0" w:space="0" w:color="auto"/>
        <w:bottom w:val="none" w:sz="0" w:space="0" w:color="auto"/>
        <w:right w:val="none" w:sz="0" w:space="0" w:color="auto"/>
      </w:divBdr>
    </w:div>
    <w:div w:id="139613909">
      <w:bodyDiv w:val="1"/>
      <w:marLeft w:val="0"/>
      <w:marRight w:val="0"/>
      <w:marTop w:val="0"/>
      <w:marBottom w:val="0"/>
      <w:divBdr>
        <w:top w:val="none" w:sz="0" w:space="0" w:color="auto"/>
        <w:left w:val="none" w:sz="0" w:space="0" w:color="auto"/>
        <w:bottom w:val="none" w:sz="0" w:space="0" w:color="auto"/>
        <w:right w:val="none" w:sz="0" w:space="0" w:color="auto"/>
      </w:divBdr>
    </w:div>
    <w:div w:id="207649880">
      <w:bodyDiv w:val="1"/>
      <w:marLeft w:val="0"/>
      <w:marRight w:val="0"/>
      <w:marTop w:val="0"/>
      <w:marBottom w:val="0"/>
      <w:divBdr>
        <w:top w:val="none" w:sz="0" w:space="0" w:color="auto"/>
        <w:left w:val="none" w:sz="0" w:space="0" w:color="auto"/>
        <w:bottom w:val="none" w:sz="0" w:space="0" w:color="auto"/>
        <w:right w:val="none" w:sz="0" w:space="0" w:color="auto"/>
      </w:divBdr>
    </w:div>
    <w:div w:id="441069497">
      <w:bodyDiv w:val="1"/>
      <w:marLeft w:val="0"/>
      <w:marRight w:val="0"/>
      <w:marTop w:val="0"/>
      <w:marBottom w:val="0"/>
      <w:divBdr>
        <w:top w:val="none" w:sz="0" w:space="0" w:color="auto"/>
        <w:left w:val="none" w:sz="0" w:space="0" w:color="auto"/>
        <w:bottom w:val="none" w:sz="0" w:space="0" w:color="auto"/>
        <w:right w:val="none" w:sz="0" w:space="0" w:color="auto"/>
      </w:divBdr>
    </w:div>
    <w:div w:id="500387864">
      <w:bodyDiv w:val="1"/>
      <w:marLeft w:val="0"/>
      <w:marRight w:val="0"/>
      <w:marTop w:val="0"/>
      <w:marBottom w:val="0"/>
      <w:divBdr>
        <w:top w:val="none" w:sz="0" w:space="0" w:color="auto"/>
        <w:left w:val="none" w:sz="0" w:space="0" w:color="auto"/>
        <w:bottom w:val="none" w:sz="0" w:space="0" w:color="auto"/>
        <w:right w:val="none" w:sz="0" w:space="0" w:color="auto"/>
      </w:divBdr>
    </w:div>
    <w:div w:id="681010652">
      <w:bodyDiv w:val="1"/>
      <w:marLeft w:val="0"/>
      <w:marRight w:val="0"/>
      <w:marTop w:val="0"/>
      <w:marBottom w:val="0"/>
      <w:divBdr>
        <w:top w:val="none" w:sz="0" w:space="0" w:color="auto"/>
        <w:left w:val="none" w:sz="0" w:space="0" w:color="auto"/>
        <w:bottom w:val="none" w:sz="0" w:space="0" w:color="auto"/>
        <w:right w:val="none" w:sz="0" w:space="0" w:color="auto"/>
      </w:divBdr>
    </w:div>
    <w:div w:id="1118330462">
      <w:bodyDiv w:val="1"/>
      <w:marLeft w:val="0"/>
      <w:marRight w:val="0"/>
      <w:marTop w:val="0"/>
      <w:marBottom w:val="0"/>
      <w:divBdr>
        <w:top w:val="none" w:sz="0" w:space="0" w:color="auto"/>
        <w:left w:val="none" w:sz="0" w:space="0" w:color="auto"/>
        <w:bottom w:val="none" w:sz="0" w:space="0" w:color="auto"/>
        <w:right w:val="none" w:sz="0" w:space="0" w:color="auto"/>
      </w:divBdr>
    </w:div>
    <w:div w:id="1378896458">
      <w:bodyDiv w:val="1"/>
      <w:marLeft w:val="0"/>
      <w:marRight w:val="0"/>
      <w:marTop w:val="0"/>
      <w:marBottom w:val="0"/>
      <w:divBdr>
        <w:top w:val="none" w:sz="0" w:space="0" w:color="auto"/>
        <w:left w:val="none" w:sz="0" w:space="0" w:color="auto"/>
        <w:bottom w:val="none" w:sz="0" w:space="0" w:color="auto"/>
        <w:right w:val="none" w:sz="0" w:space="0" w:color="auto"/>
      </w:divBdr>
      <w:divsChild>
        <w:div w:id="149756181">
          <w:marLeft w:val="0"/>
          <w:marRight w:val="0"/>
          <w:marTop w:val="0"/>
          <w:marBottom w:val="0"/>
          <w:divBdr>
            <w:top w:val="none" w:sz="0" w:space="0" w:color="auto"/>
            <w:left w:val="none" w:sz="0" w:space="0" w:color="auto"/>
            <w:bottom w:val="none" w:sz="0" w:space="0" w:color="auto"/>
            <w:right w:val="none" w:sz="0" w:space="0" w:color="auto"/>
          </w:divBdr>
        </w:div>
      </w:divsChild>
    </w:div>
    <w:div w:id="1472212600">
      <w:bodyDiv w:val="1"/>
      <w:marLeft w:val="0"/>
      <w:marRight w:val="0"/>
      <w:marTop w:val="0"/>
      <w:marBottom w:val="0"/>
      <w:divBdr>
        <w:top w:val="none" w:sz="0" w:space="0" w:color="auto"/>
        <w:left w:val="none" w:sz="0" w:space="0" w:color="auto"/>
        <w:bottom w:val="none" w:sz="0" w:space="0" w:color="auto"/>
        <w:right w:val="none" w:sz="0" w:space="0" w:color="auto"/>
      </w:divBdr>
    </w:div>
    <w:div w:id="1672640066">
      <w:bodyDiv w:val="1"/>
      <w:marLeft w:val="0"/>
      <w:marRight w:val="0"/>
      <w:marTop w:val="0"/>
      <w:marBottom w:val="0"/>
      <w:divBdr>
        <w:top w:val="none" w:sz="0" w:space="0" w:color="auto"/>
        <w:left w:val="none" w:sz="0" w:space="0" w:color="auto"/>
        <w:bottom w:val="none" w:sz="0" w:space="0" w:color="auto"/>
        <w:right w:val="none" w:sz="0" w:space="0" w:color="auto"/>
      </w:divBdr>
    </w:div>
    <w:div w:id="1786653917">
      <w:bodyDiv w:val="1"/>
      <w:marLeft w:val="0"/>
      <w:marRight w:val="0"/>
      <w:marTop w:val="0"/>
      <w:marBottom w:val="0"/>
      <w:divBdr>
        <w:top w:val="none" w:sz="0" w:space="0" w:color="auto"/>
        <w:left w:val="none" w:sz="0" w:space="0" w:color="auto"/>
        <w:bottom w:val="none" w:sz="0" w:space="0" w:color="auto"/>
        <w:right w:val="none" w:sz="0" w:space="0" w:color="auto"/>
      </w:divBdr>
    </w:div>
    <w:div w:id="20768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file:///C:\Users\u034\AppData\AppData\Local\&#1048;&#1085;&#1089;&#1090;&#1088;&#1091;&#1082;&#1094;&#1080;&#1080;\2007\22\&#8470;%2022-&#1048;%20&#1086;&#1090;%2009.11.2007.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FCF6-7066-46F0-9917-82692722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65</Pages>
  <Words>28585</Words>
  <Characters>162938</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PRB</Company>
  <LinksUpToDate>false</LinksUpToDate>
  <CharactersWithSpaces>191141</CharactersWithSpaces>
  <SharedDoc>false</SharedDoc>
  <HLinks>
    <vt:vector size="42" baseType="variant">
      <vt:variant>
        <vt:i4>74974304</vt:i4>
      </vt:variant>
      <vt:variant>
        <vt:i4>18</vt:i4>
      </vt:variant>
      <vt:variant>
        <vt:i4>0</vt:i4>
      </vt:variant>
      <vt:variant>
        <vt:i4>5</vt:i4>
      </vt:variant>
      <vt:variant>
        <vt:lpwstr>НА ПРБ/Указания/2017/1005-У.docx</vt:lpwstr>
      </vt:variant>
      <vt:variant>
        <vt:lpwstr/>
      </vt:variant>
      <vt:variant>
        <vt:i4>71565330</vt:i4>
      </vt:variant>
      <vt:variant>
        <vt:i4>14</vt:i4>
      </vt:variant>
      <vt:variant>
        <vt:i4>0</vt:i4>
      </vt:variant>
      <vt:variant>
        <vt:i4>5</vt:i4>
      </vt:variant>
      <vt:variant>
        <vt:lpwstr>НА ПРБ/Указания/2017/989-У Указание 989-У  о  внесении  изменений  в 46- Р.doc</vt:lpwstr>
      </vt:variant>
      <vt:variant>
        <vt:lpwstr/>
      </vt:variant>
      <vt:variant>
        <vt:i4>4390938</vt:i4>
      </vt:variant>
      <vt:variant>
        <vt:i4>12</vt:i4>
      </vt:variant>
      <vt:variant>
        <vt:i4>0</vt:i4>
      </vt:variant>
      <vt:variant>
        <vt:i4>5</vt:i4>
      </vt:variant>
      <vt:variant>
        <vt:lpwstr>НА ПРБ/Указания/2017/998-У Указание об отмене Указания в 9-И от 07 06 2017г  986-У.docx</vt:lpwstr>
      </vt:variant>
      <vt:variant>
        <vt:lpwstr/>
      </vt:variant>
      <vt:variant>
        <vt:i4>71565330</vt:i4>
      </vt:variant>
      <vt:variant>
        <vt:i4>9</vt:i4>
      </vt:variant>
      <vt:variant>
        <vt:i4>0</vt:i4>
      </vt:variant>
      <vt:variant>
        <vt:i4>5</vt:i4>
      </vt:variant>
      <vt:variant>
        <vt:lpwstr>НА ПРБ/Указания/2017/989-У Указание 989-У  о  внесении  изменений  в 46- Р.doc</vt:lpwstr>
      </vt:variant>
      <vt:variant>
        <vt:lpwstr/>
      </vt:variant>
      <vt:variant>
        <vt:i4>75038811</vt:i4>
      </vt:variant>
      <vt:variant>
        <vt:i4>6</vt:i4>
      </vt:variant>
      <vt:variant>
        <vt:i4>0</vt:i4>
      </vt:variant>
      <vt:variant>
        <vt:i4>5</vt:i4>
      </vt:variant>
      <vt:variant>
        <vt:lpwstr>НА ПРБ/Указания/2017/1014-Y.docx</vt:lpwstr>
      </vt:variant>
      <vt:variant>
        <vt:lpwstr/>
      </vt:variant>
      <vt:variant>
        <vt:i4>75039846</vt:i4>
      </vt:variant>
      <vt:variant>
        <vt:i4>3</vt:i4>
      </vt:variant>
      <vt:variant>
        <vt:i4>0</vt:i4>
      </vt:variant>
      <vt:variant>
        <vt:i4>5</vt:i4>
      </vt:variant>
      <vt:variant>
        <vt:lpwstr>НА ПРБ/Указания/2017/1013-У.docx</vt:lpwstr>
      </vt:variant>
      <vt:variant>
        <vt:lpwstr/>
      </vt:variant>
      <vt:variant>
        <vt:i4>67175427</vt:i4>
      </vt:variant>
      <vt:variant>
        <vt:i4>0</vt:i4>
      </vt:variant>
      <vt:variant>
        <vt:i4>0</vt:i4>
      </vt:variant>
      <vt:variant>
        <vt:i4>5</vt:i4>
      </vt:variant>
      <vt:variant>
        <vt:lpwstr>НА ПРБ/Указания/2017/1015-У.doc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Мельник М.В.</dc:creator>
  <cp:lastModifiedBy>Дротенко</cp:lastModifiedBy>
  <cp:revision>41</cp:revision>
  <cp:lastPrinted>2020-03-30T13:40:00Z</cp:lastPrinted>
  <dcterms:created xsi:type="dcterms:W3CDTF">2020-03-23T11:29:00Z</dcterms:created>
  <dcterms:modified xsi:type="dcterms:W3CDTF">2020-07-02T13:59:00Z</dcterms:modified>
</cp:coreProperties>
</file>