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00" w:rsidRPr="00A36C00" w:rsidRDefault="00A36C00" w:rsidP="00A36C00">
      <w:pPr>
        <w:spacing w:after="0" w:line="240" w:lineRule="auto"/>
        <w:jc w:val="center"/>
        <w:rPr>
          <w:rFonts w:ascii="Times New Roman" w:eastAsia="Calibri" w:hAnsi="Times New Roman" w:cs="Times New Roman"/>
          <w:sz w:val="28"/>
          <w:szCs w:val="28"/>
          <w:shd w:val="clear" w:color="auto" w:fill="FFFFFF"/>
          <w:lang w:eastAsia="en-US"/>
        </w:rPr>
      </w:pPr>
      <w:r w:rsidRPr="00A36C00">
        <w:rPr>
          <w:rFonts w:ascii="Times New Roman" w:eastAsia="Calibri" w:hAnsi="Times New Roman" w:cs="Times New Roman"/>
          <w:sz w:val="28"/>
          <w:szCs w:val="28"/>
          <w:shd w:val="clear" w:color="auto" w:fill="FFFFFF"/>
          <w:lang w:eastAsia="en-US"/>
        </w:rPr>
        <w:t xml:space="preserve">Сравнительная таблица </w:t>
      </w:r>
    </w:p>
    <w:p w:rsidR="00A36C00" w:rsidRPr="00A36C00" w:rsidRDefault="00A36C00" w:rsidP="00A36C00">
      <w:pPr>
        <w:spacing w:after="0" w:line="240" w:lineRule="auto"/>
        <w:jc w:val="center"/>
        <w:rPr>
          <w:rFonts w:ascii="Times New Roman" w:eastAsia="Calibri" w:hAnsi="Times New Roman" w:cs="Times New Roman"/>
          <w:sz w:val="28"/>
          <w:szCs w:val="28"/>
          <w:lang w:eastAsia="en-US"/>
        </w:rPr>
      </w:pPr>
      <w:r w:rsidRPr="00A36C00">
        <w:rPr>
          <w:rFonts w:ascii="Times New Roman" w:eastAsia="Calibri" w:hAnsi="Times New Roman" w:cs="Times New Roman"/>
          <w:sz w:val="28"/>
          <w:szCs w:val="28"/>
          <w:shd w:val="clear" w:color="auto" w:fill="FFFFFF"/>
          <w:lang w:eastAsia="en-US"/>
        </w:rPr>
        <w:t xml:space="preserve">к проекту закона Приднестровской Молдавской Республики </w:t>
      </w:r>
      <w:r w:rsidRPr="00A36C00">
        <w:rPr>
          <w:rFonts w:ascii="Times New Roman" w:eastAsia="Calibri" w:hAnsi="Times New Roman" w:cs="Times New Roman"/>
          <w:sz w:val="28"/>
          <w:szCs w:val="28"/>
          <w:lang w:eastAsia="en-US"/>
        </w:rPr>
        <w:t xml:space="preserve">«О внесении </w:t>
      </w:r>
    </w:p>
    <w:p w:rsidR="00A36C00" w:rsidRPr="00A36C00" w:rsidRDefault="00A36C00" w:rsidP="00A36C00">
      <w:pPr>
        <w:spacing w:after="0" w:line="240" w:lineRule="auto"/>
        <w:jc w:val="center"/>
        <w:rPr>
          <w:rFonts w:ascii="Times New Roman" w:eastAsia="Calibri" w:hAnsi="Times New Roman" w:cs="Times New Roman"/>
          <w:sz w:val="28"/>
          <w:szCs w:val="28"/>
          <w:lang w:eastAsia="en-US"/>
        </w:rPr>
      </w:pPr>
      <w:r w:rsidRPr="00A36C00">
        <w:rPr>
          <w:rFonts w:ascii="Times New Roman" w:eastAsia="Calibri" w:hAnsi="Times New Roman" w:cs="Times New Roman"/>
          <w:sz w:val="28"/>
          <w:szCs w:val="28"/>
          <w:lang w:eastAsia="en-US"/>
        </w:rPr>
        <w:t>изменений и дополнений в некоторые законодательные акты Приднестровской Молдавской Республики»</w:t>
      </w:r>
    </w:p>
    <w:p w:rsidR="00A36C00" w:rsidRPr="00A36C00" w:rsidRDefault="00A36C00" w:rsidP="00A36C00">
      <w:pPr>
        <w:spacing w:after="0" w:line="240" w:lineRule="auto"/>
        <w:jc w:val="center"/>
        <w:rPr>
          <w:rFonts w:ascii="Calibri" w:eastAsia="Calibri" w:hAnsi="Calibri" w:cs="Times New Roman"/>
          <w:lang w:eastAsia="en-US"/>
        </w:rPr>
      </w:pPr>
    </w:p>
    <w:tbl>
      <w:tblPr>
        <w:tblStyle w:val="7"/>
        <w:tblW w:w="0" w:type="auto"/>
        <w:tblInd w:w="0" w:type="dxa"/>
        <w:tblLook w:val="04A0" w:firstRow="1" w:lastRow="0" w:firstColumn="1" w:lastColumn="0" w:noHBand="0" w:noVBand="1"/>
      </w:tblPr>
      <w:tblGrid>
        <w:gridCol w:w="4786"/>
        <w:gridCol w:w="4785"/>
      </w:tblGrid>
      <w:tr w:rsidR="00A36C00" w:rsidRPr="00A36C00" w:rsidTr="00A36C00">
        <w:trPr>
          <w:trHeight w:val="586"/>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b/>
                <w:sz w:val="28"/>
                <w:szCs w:val="28"/>
              </w:rPr>
            </w:pPr>
            <w:r w:rsidRPr="00A36C00">
              <w:rPr>
                <w:rFonts w:eastAsia="Calibri"/>
                <w:b/>
                <w:sz w:val="28"/>
                <w:szCs w:val="28"/>
              </w:rPr>
              <w:t>Действующая редакция</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b/>
                <w:sz w:val="28"/>
                <w:szCs w:val="28"/>
              </w:rPr>
            </w:pPr>
            <w:r w:rsidRPr="00A36C00">
              <w:rPr>
                <w:rFonts w:eastAsia="Calibri"/>
                <w:b/>
                <w:sz w:val="28"/>
                <w:szCs w:val="28"/>
              </w:rPr>
              <w:t>Предлагаемая редакция</w:t>
            </w:r>
          </w:p>
        </w:tc>
      </w:tr>
      <w:tr w:rsidR="00A36C00" w:rsidRPr="00A36C00" w:rsidTr="00A36C00">
        <w:trPr>
          <w:trHeight w:val="431"/>
        </w:trPr>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b/>
                <w:sz w:val="28"/>
                <w:szCs w:val="28"/>
              </w:rPr>
            </w:pPr>
            <w:r w:rsidRPr="00A36C00">
              <w:rPr>
                <w:rFonts w:eastAsia="Calibri"/>
                <w:b/>
                <w:sz w:val="28"/>
                <w:szCs w:val="28"/>
              </w:rPr>
              <w:t>Трудовой кодекс Приднестровской Молдавской Республики</w:t>
            </w:r>
          </w:p>
        </w:tc>
      </w:tr>
      <w:tr w:rsidR="00A36C00" w:rsidRPr="00A36C00" w:rsidTr="00A36C00">
        <w:tc>
          <w:tcPr>
            <w:tcW w:w="4786" w:type="dxa"/>
            <w:tcBorders>
              <w:top w:val="single" w:sz="4" w:space="0" w:color="000000"/>
              <w:left w:val="single" w:sz="4" w:space="0" w:color="000000"/>
              <w:bottom w:val="single" w:sz="4" w:space="0" w:color="000000"/>
              <w:right w:val="single" w:sz="4" w:space="0" w:color="000000"/>
            </w:tcBorders>
            <w:vAlign w:val="center"/>
          </w:tcPr>
          <w:p w:rsidR="00A36C00" w:rsidRPr="00A36C00" w:rsidRDefault="00A36C00" w:rsidP="00A36C00">
            <w:pPr>
              <w:jc w:val="both"/>
              <w:rPr>
                <w:rFonts w:eastAsia="Calibri"/>
                <w:sz w:val="28"/>
                <w:szCs w:val="28"/>
              </w:rPr>
            </w:pPr>
            <w:r w:rsidRPr="00A36C00">
              <w:rPr>
                <w:rFonts w:eastAsia="Calibri"/>
                <w:sz w:val="28"/>
                <w:szCs w:val="28"/>
              </w:rPr>
              <w:t xml:space="preserve">        Пункт 1 статьи 312: </w:t>
            </w:r>
          </w:p>
          <w:p w:rsidR="00A36C00" w:rsidRPr="00A36C00" w:rsidRDefault="00A36C00" w:rsidP="00A36C00">
            <w:pPr>
              <w:jc w:val="both"/>
              <w:rPr>
                <w:sz w:val="28"/>
                <w:szCs w:val="28"/>
              </w:rPr>
            </w:pPr>
          </w:p>
          <w:p w:rsidR="00A36C00" w:rsidRPr="00A36C00" w:rsidRDefault="00A36C00" w:rsidP="00A36C00">
            <w:pPr>
              <w:jc w:val="both"/>
              <w:rPr>
                <w:sz w:val="28"/>
                <w:szCs w:val="28"/>
              </w:rPr>
            </w:pPr>
            <w:r w:rsidRPr="00A36C00">
              <w:rPr>
                <w:sz w:val="28"/>
                <w:szCs w:val="28"/>
              </w:rPr>
              <w:t xml:space="preserve">        1. К 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 незаконченное высшее профессиональное образование либо пройти в установленном порядке профессиональную подготовку.</w:t>
            </w:r>
          </w:p>
        </w:tc>
        <w:tc>
          <w:tcPr>
            <w:tcW w:w="4785" w:type="dxa"/>
            <w:tcBorders>
              <w:top w:val="single" w:sz="4" w:space="0" w:color="000000"/>
              <w:left w:val="single" w:sz="4" w:space="0" w:color="000000"/>
              <w:bottom w:val="single" w:sz="4" w:space="0" w:color="000000"/>
              <w:right w:val="single" w:sz="4" w:space="0" w:color="000000"/>
            </w:tcBorders>
          </w:tcPr>
          <w:p w:rsidR="00A36C00" w:rsidRPr="00A36C00" w:rsidRDefault="00A36C00" w:rsidP="00A36C00">
            <w:pPr>
              <w:jc w:val="both"/>
              <w:rPr>
                <w:rFonts w:eastAsia="Calibri"/>
                <w:sz w:val="28"/>
                <w:szCs w:val="28"/>
              </w:rPr>
            </w:pPr>
            <w:r w:rsidRPr="00A36C00">
              <w:rPr>
                <w:rFonts w:eastAsia="Calibri"/>
                <w:sz w:val="28"/>
                <w:szCs w:val="28"/>
              </w:rPr>
              <w:t xml:space="preserve">        Пункт 1 статьи 312: </w:t>
            </w:r>
          </w:p>
          <w:p w:rsidR="00A36C00" w:rsidRPr="00A36C00" w:rsidRDefault="00A36C00" w:rsidP="00A36C00">
            <w:pPr>
              <w:jc w:val="both"/>
              <w:rPr>
                <w:rFonts w:eastAsia="Calibri"/>
                <w:sz w:val="28"/>
                <w:szCs w:val="28"/>
              </w:rPr>
            </w:pPr>
          </w:p>
          <w:p w:rsidR="00A36C00" w:rsidRPr="00A36C00" w:rsidRDefault="00A36C00" w:rsidP="00A36C00">
            <w:pPr>
              <w:jc w:val="both"/>
              <w:rPr>
                <w:rFonts w:eastAsia="Calibri"/>
                <w:b/>
                <w:sz w:val="28"/>
                <w:szCs w:val="28"/>
              </w:rPr>
            </w:pPr>
            <w:r w:rsidRPr="00A36C00">
              <w:rPr>
                <w:rFonts w:eastAsia="Calibri"/>
                <w:sz w:val="28"/>
                <w:szCs w:val="28"/>
              </w:rPr>
              <w:t xml:space="preserve">        </w:t>
            </w:r>
            <w:r w:rsidRPr="00A36C00">
              <w:rPr>
                <w:rFonts w:eastAsia="Calibri"/>
                <w:b/>
                <w:sz w:val="28"/>
                <w:szCs w:val="28"/>
              </w:rPr>
              <w:t>1. К педагогической деятельности допускаются лица, имеющие образовательный ценз, который определяется в порядке, установленном законодательными актами Приднестровской Молдавской Республики об образовании.</w:t>
            </w:r>
          </w:p>
        </w:tc>
      </w:tr>
      <w:tr w:rsidR="00A36C00" w:rsidRPr="00A36C00" w:rsidTr="00A36C00">
        <w:trPr>
          <w:trHeight w:val="507"/>
        </w:trPr>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b/>
                <w:sz w:val="28"/>
                <w:szCs w:val="28"/>
              </w:rPr>
            </w:pPr>
            <w:r w:rsidRPr="00A36C00">
              <w:rPr>
                <w:rFonts w:eastAsia="Calibri"/>
                <w:b/>
                <w:sz w:val="28"/>
                <w:szCs w:val="28"/>
              </w:rPr>
              <w:t xml:space="preserve">Закон Приднестровской Молдавской Республики «Об образовании» </w:t>
            </w:r>
          </w:p>
        </w:tc>
      </w:tr>
      <w:tr w:rsidR="00A36C00" w:rsidRPr="00A36C00" w:rsidTr="00A36C00">
        <w:tc>
          <w:tcPr>
            <w:tcW w:w="4786" w:type="dxa"/>
            <w:tcBorders>
              <w:top w:val="single" w:sz="4" w:space="0" w:color="000000"/>
              <w:left w:val="single" w:sz="4" w:space="0" w:color="000000"/>
              <w:bottom w:val="single" w:sz="4" w:space="0" w:color="000000"/>
              <w:right w:val="single" w:sz="4" w:space="0" w:color="000000"/>
            </w:tcBorders>
            <w:vAlign w:val="center"/>
          </w:tcPr>
          <w:p w:rsidR="00A36C00" w:rsidRPr="00A36C00" w:rsidRDefault="00A36C00" w:rsidP="00A36C00">
            <w:pPr>
              <w:jc w:val="both"/>
              <w:rPr>
                <w:rFonts w:eastAsia="Calibri"/>
              </w:rPr>
            </w:pPr>
            <w:r w:rsidRPr="00A36C00">
              <w:rPr>
                <w:rFonts w:eastAsia="Calibri"/>
                <w:sz w:val="28"/>
                <w:szCs w:val="28"/>
              </w:rPr>
              <w:t xml:space="preserve">        Пункт 1 статьи 52:</w:t>
            </w:r>
          </w:p>
          <w:p w:rsidR="00A36C00" w:rsidRPr="00A36C00" w:rsidRDefault="00A36C00" w:rsidP="00A36C00">
            <w:pPr>
              <w:jc w:val="both"/>
              <w:rPr>
                <w:rFonts w:eastAsia="Calibri"/>
                <w:sz w:val="28"/>
                <w:szCs w:val="28"/>
              </w:rPr>
            </w:pPr>
          </w:p>
          <w:p w:rsidR="00A36C00" w:rsidRPr="00A36C00" w:rsidRDefault="00A36C00" w:rsidP="00A36C00">
            <w:pPr>
              <w:jc w:val="both"/>
              <w:rPr>
                <w:rFonts w:eastAsia="Calibri"/>
                <w:sz w:val="28"/>
                <w:szCs w:val="28"/>
              </w:rPr>
            </w:pPr>
            <w:r w:rsidRPr="00A36C00">
              <w:rPr>
                <w:rFonts w:eastAsia="Calibri"/>
                <w:sz w:val="28"/>
                <w:szCs w:val="28"/>
              </w:rPr>
              <w:t xml:space="preserve">        1. К педагогической деятельности допускаются лица, имеющие высшее или среднее профессиональное образование либо имеющие незаконченное высшее профессиональное образование, либо прошедшие профессиональную подготовку; отвечающие квалификационным требованиям в системе образования,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w:t>
            </w:r>
            <w:r w:rsidRPr="00A36C00">
              <w:rPr>
                <w:rFonts w:eastAsia="Calibri"/>
                <w:sz w:val="28"/>
                <w:szCs w:val="28"/>
              </w:rPr>
              <w:lastRenderedPageBreak/>
              <w:t>политики и нормативному правовому регулированию в сфере труда.</w:t>
            </w:r>
          </w:p>
          <w:p w:rsidR="00A36C00" w:rsidRPr="00A36C00" w:rsidRDefault="00A36C00" w:rsidP="00A36C00">
            <w:pPr>
              <w:jc w:val="both"/>
              <w:rPr>
                <w:rFonts w:eastAsia="Calibri"/>
              </w:rPr>
            </w:pPr>
            <w:r w:rsidRPr="00A36C00">
              <w:rPr>
                <w:rFonts w:eastAsia="Calibri"/>
                <w:sz w:val="28"/>
                <w:szCs w:val="28"/>
              </w:rPr>
              <w:t xml:space="preserve">        Номенклатура должностей руководителей, педагогических работников организаций образования утверждается нормативным правовым актом Правительства Приднестровской Молдавской Республики.</w:t>
            </w:r>
          </w:p>
        </w:tc>
        <w:tc>
          <w:tcPr>
            <w:tcW w:w="4785" w:type="dxa"/>
            <w:tcBorders>
              <w:top w:val="single" w:sz="4" w:space="0" w:color="000000"/>
              <w:left w:val="single" w:sz="4" w:space="0" w:color="000000"/>
              <w:bottom w:val="single" w:sz="4" w:space="0" w:color="000000"/>
              <w:right w:val="single" w:sz="4" w:space="0" w:color="000000"/>
            </w:tcBorders>
          </w:tcPr>
          <w:p w:rsidR="00A36C00" w:rsidRPr="00A36C00" w:rsidRDefault="00A36C00" w:rsidP="00A36C00">
            <w:pPr>
              <w:jc w:val="both"/>
              <w:rPr>
                <w:rFonts w:eastAsia="Calibri"/>
                <w:sz w:val="28"/>
                <w:szCs w:val="28"/>
              </w:rPr>
            </w:pPr>
            <w:r w:rsidRPr="00A36C00">
              <w:rPr>
                <w:rFonts w:eastAsia="Calibri"/>
                <w:sz w:val="28"/>
                <w:szCs w:val="28"/>
              </w:rPr>
              <w:lastRenderedPageBreak/>
              <w:t xml:space="preserve">        Пункт 1 статьи 52:</w:t>
            </w:r>
          </w:p>
          <w:p w:rsidR="00A36C00" w:rsidRPr="00A36C00" w:rsidRDefault="00A36C00" w:rsidP="00A36C00">
            <w:pPr>
              <w:jc w:val="both"/>
              <w:rPr>
                <w:rFonts w:eastAsia="Calibri"/>
                <w:sz w:val="28"/>
                <w:szCs w:val="28"/>
              </w:rPr>
            </w:pPr>
          </w:p>
          <w:p w:rsidR="00A36C00" w:rsidRPr="00A36C00" w:rsidRDefault="00A36C00" w:rsidP="00A36C00">
            <w:pPr>
              <w:jc w:val="both"/>
              <w:rPr>
                <w:rFonts w:eastAsia="Calibri"/>
                <w:b/>
                <w:shd w:val="clear" w:color="auto" w:fill="FFFFFF"/>
              </w:rPr>
            </w:pPr>
            <w:r w:rsidRPr="00A36C00">
              <w:rPr>
                <w:rFonts w:eastAsia="Calibri"/>
                <w:sz w:val="28"/>
                <w:szCs w:val="28"/>
                <w:shd w:val="clear" w:color="auto" w:fill="FFFFFF"/>
              </w:rPr>
              <w:t xml:space="preserve">        </w:t>
            </w:r>
            <w:r w:rsidRPr="00A36C00">
              <w:rPr>
                <w:rFonts w:eastAsia="Calibri"/>
                <w:b/>
                <w:sz w:val="28"/>
                <w:szCs w:val="28"/>
                <w:shd w:val="clear" w:color="auto" w:fill="FFFFFF"/>
              </w:rPr>
              <w:t xml:space="preserve">1.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 если иное не установлено </w:t>
            </w:r>
            <w:r w:rsidRPr="00A36C00">
              <w:rPr>
                <w:rFonts w:eastAsia="Calibri"/>
                <w:b/>
                <w:sz w:val="28"/>
                <w:szCs w:val="28"/>
                <w:shd w:val="clear" w:color="auto" w:fill="FFFFFF"/>
              </w:rPr>
              <w:lastRenderedPageBreak/>
              <w:t>настоящим Законом.</w:t>
            </w:r>
          </w:p>
          <w:p w:rsidR="00A36C00" w:rsidRPr="00A36C00" w:rsidRDefault="00A36C00" w:rsidP="00A36C00">
            <w:pPr>
              <w:jc w:val="both"/>
              <w:rPr>
                <w:rFonts w:eastAsia="Calibri"/>
              </w:rPr>
            </w:pPr>
            <w:r w:rsidRPr="00A36C00">
              <w:rPr>
                <w:rFonts w:eastAsia="Calibri"/>
                <w:sz w:val="28"/>
                <w:szCs w:val="28"/>
                <w:shd w:val="clear" w:color="auto" w:fill="FFFFFF"/>
              </w:rPr>
              <w:t xml:space="preserve">        Номенклатура должностей руководителей, педагогических работников организаций образования утверждается нормативным правовым актом Правительства Приднестровской Молдавской Республики</w:t>
            </w:r>
          </w:p>
        </w:tc>
      </w:tr>
      <w:tr w:rsidR="00A36C00" w:rsidRPr="00A36C00" w:rsidTr="00A36C00">
        <w:tc>
          <w:tcPr>
            <w:tcW w:w="4786" w:type="dxa"/>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sz w:val="28"/>
                <w:szCs w:val="28"/>
              </w:rPr>
            </w:pPr>
            <w:r w:rsidRPr="00A36C00">
              <w:rPr>
                <w:rFonts w:eastAsia="Calibri"/>
                <w:sz w:val="28"/>
                <w:szCs w:val="28"/>
              </w:rPr>
              <w:lastRenderedPageBreak/>
              <w:t>Отсутствует</w:t>
            </w:r>
          </w:p>
        </w:tc>
        <w:tc>
          <w:tcPr>
            <w:tcW w:w="4785" w:type="dxa"/>
            <w:tcBorders>
              <w:top w:val="single" w:sz="4" w:space="0" w:color="000000"/>
              <w:left w:val="single" w:sz="4" w:space="0" w:color="000000"/>
              <w:bottom w:val="single" w:sz="4" w:space="0" w:color="000000"/>
              <w:right w:val="single" w:sz="4" w:space="0" w:color="000000"/>
            </w:tcBorders>
            <w:vAlign w:val="center"/>
          </w:tcPr>
          <w:p w:rsidR="00A36C00" w:rsidRPr="00A36C00" w:rsidRDefault="00A36C00" w:rsidP="00A36C00">
            <w:pPr>
              <w:jc w:val="both"/>
              <w:rPr>
                <w:rFonts w:eastAsia="Calibri"/>
                <w:sz w:val="28"/>
                <w:szCs w:val="28"/>
              </w:rPr>
            </w:pPr>
            <w:r w:rsidRPr="00A36C00">
              <w:rPr>
                <w:rFonts w:eastAsia="Calibri"/>
                <w:sz w:val="28"/>
                <w:szCs w:val="28"/>
              </w:rPr>
              <w:t xml:space="preserve">        Пункт 1-1 статьи 52:</w:t>
            </w:r>
          </w:p>
          <w:p w:rsidR="00A36C00" w:rsidRPr="00A36C00" w:rsidRDefault="00A36C00" w:rsidP="00A36C00">
            <w:pPr>
              <w:jc w:val="both"/>
              <w:rPr>
                <w:rFonts w:eastAsia="Calibri"/>
                <w:sz w:val="28"/>
                <w:szCs w:val="28"/>
              </w:rPr>
            </w:pPr>
          </w:p>
          <w:p w:rsidR="00A36C00" w:rsidRPr="00A36C00" w:rsidRDefault="00A36C00" w:rsidP="00A36C00">
            <w:pPr>
              <w:jc w:val="both"/>
              <w:rPr>
                <w:rFonts w:eastAsia="Calibri"/>
                <w:b/>
                <w:sz w:val="28"/>
                <w:szCs w:val="28"/>
              </w:rPr>
            </w:pPr>
            <w:r w:rsidRPr="00A36C00">
              <w:rPr>
                <w:rFonts w:eastAsia="Calibri"/>
                <w:b/>
                <w:sz w:val="28"/>
                <w:szCs w:val="28"/>
                <w:shd w:val="clear" w:color="auto" w:fill="FFFFFF"/>
              </w:rPr>
              <w:t xml:space="preserve">        1-1. 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tc>
      </w:tr>
      <w:tr w:rsidR="00A36C00" w:rsidRPr="00A36C00" w:rsidTr="00A36C00">
        <w:tc>
          <w:tcPr>
            <w:tcW w:w="4786" w:type="dxa"/>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sz w:val="28"/>
                <w:szCs w:val="28"/>
              </w:rPr>
            </w:pPr>
            <w:r w:rsidRPr="00A36C00">
              <w:rPr>
                <w:rFonts w:eastAsia="Calibri"/>
                <w:sz w:val="28"/>
                <w:szCs w:val="28"/>
              </w:rPr>
              <w:t>Отсутствует</w:t>
            </w:r>
          </w:p>
        </w:tc>
        <w:tc>
          <w:tcPr>
            <w:tcW w:w="4785" w:type="dxa"/>
            <w:tcBorders>
              <w:top w:val="single" w:sz="4" w:space="0" w:color="000000"/>
              <w:left w:val="single" w:sz="4" w:space="0" w:color="000000"/>
              <w:bottom w:val="single" w:sz="4" w:space="0" w:color="000000"/>
              <w:right w:val="single" w:sz="4" w:space="0" w:color="000000"/>
            </w:tcBorders>
            <w:vAlign w:val="center"/>
          </w:tcPr>
          <w:p w:rsidR="00A36C00" w:rsidRPr="00A36C00" w:rsidRDefault="00A36C00" w:rsidP="00A36C00">
            <w:pPr>
              <w:jc w:val="both"/>
              <w:rPr>
                <w:rFonts w:eastAsia="Calibri"/>
                <w:sz w:val="28"/>
                <w:szCs w:val="28"/>
              </w:rPr>
            </w:pPr>
            <w:r w:rsidRPr="00A36C00">
              <w:rPr>
                <w:rFonts w:eastAsia="Calibri"/>
                <w:b/>
                <w:sz w:val="28"/>
                <w:szCs w:val="28"/>
              </w:rPr>
              <w:t xml:space="preserve">        </w:t>
            </w:r>
            <w:r w:rsidRPr="00A36C00">
              <w:rPr>
                <w:rFonts w:eastAsia="Calibri"/>
                <w:sz w:val="28"/>
                <w:szCs w:val="28"/>
              </w:rPr>
              <w:t>Пункт 1-2 статьи 52:</w:t>
            </w:r>
          </w:p>
          <w:p w:rsidR="00A36C00" w:rsidRPr="00A36C00" w:rsidRDefault="00A36C00" w:rsidP="00A36C00">
            <w:pPr>
              <w:jc w:val="both"/>
              <w:rPr>
                <w:rFonts w:eastAsia="Calibri"/>
                <w:b/>
                <w:sz w:val="28"/>
                <w:szCs w:val="28"/>
              </w:rPr>
            </w:pPr>
          </w:p>
          <w:p w:rsidR="00A36C00" w:rsidRPr="00A36C00" w:rsidRDefault="00A36C00" w:rsidP="00A36C00">
            <w:pPr>
              <w:jc w:val="both"/>
              <w:rPr>
                <w:rFonts w:eastAsia="Calibri"/>
                <w:sz w:val="28"/>
                <w:szCs w:val="28"/>
              </w:rPr>
            </w:pPr>
            <w:r w:rsidRPr="00A36C00">
              <w:rPr>
                <w:rFonts w:eastAsia="Calibri"/>
                <w:b/>
                <w:sz w:val="28"/>
                <w:szCs w:val="28"/>
                <w:shd w:val="clear" w:color="auto" w:fill="FFFFFF"/>
              </w:rPr>
              <w:t xml:space="preserve">        1-2.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профессионального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специальностей и направлений подготовки </w:t>
            </w:r>
            <w:r w:rsidRPr="00A36C00">
              <w:rPr>
                <w:rFonts w:eastAsia="Calibri"/>
                <w:b/>
                <w:sz w:val="28"/>
                <w:szCs w:val="28"/>
                <w:shd w:val="clear" w:color="auto" w:fill="FFFFFF"/>
              </w:rPr>
              <w:lastRenderedPageBreak/>
              <w:t>образовательной программы высшего профессионального образования, по которым обучается лицо, направленности дополнительной общеобразовательной программы определяется работодателем.</w:t>
            </w:r>
          </w:p>
        </w:tc>
      </w:tr>
      <w:tr w:rsidR="00A36C00" w:rsidRPr="00A36C00" w:rsidTr="00A36C00">
        <w:tc>
          <w:tcPr>
            <w:tcW w:w="4786" w:type="dxa"/>
            <w:tcBorders>
              <w:top w:val="single" w:sz="4" w:space="0" w:color="000000"/>
              <w:left w:val="single" w:sz="4" w:space="0" w:color="000000"/>
              <w:bottom w:val="single" w:sz="4" w:space="0" w:color="000000"/>
              <w:right w:val="single" w:sz="4" w:space="0" w:color="000000"/>
            </w:tcBorders>
            <w:vAlign w:val="center"/>
            <w:hideMark/>
          </w:tcPr>
          <w:p w:rsidR="00A36C00" w:rsidRPr="00A36C00" w:rsidRDefault="00A36C00" w:rsidP="00A36C00">
            <w:pPr>
              <w:jc w:val="center"/>
              <w:rPr>
                <w:rFonts w:eastAsia="Calibri"/>
                <w:sz w:val="28"/>
                <w:szCs w:val="28"/>
              </w:rPr>
            </w:pPr>
            <w:r w:rsidRPr="00A36C00">
              <w:rPr>
                <w:rFonts w:eastAsia="Calibri"/>
                <w:sz w:val="28"/>
                <w:szCs w:val="28"/>
              </w:rPr>
              <w:lastRenderedPageBreak/>
              <w:t>Отсутствует</w:t>
            </w:r>
          </w:p>
        </w:tc>
        <w:tc>
          <w:tcPr>
            <w:tcW w:w="4785" w:type="dxa"/>
            <w:tcBorders>
              <w:top w:val="single" w:sz="4" w:space="0" w:color="000000"/>
              <w:left w:val="single" w:sz="4" w:space="0" w:color="000000"/>
              <w:bottom w:val="single" w:sz="4" w:space="0" w:color="000000"/>
              <w:right w:val="single" w:sz="4" w:space="0" w:color="000000"/>
            </w:tcBorders>
            <w:vAlign w:val="center"/>
          </w:tcPr>
          <w:p w:rsidR="00A36C00" w:rsidRPr="00A36C00" w:rsidRDefault="00A36C00" w:rsidP="00A36C00">
            <w:pPr>
              <w:jc w:val="both"/>
              <w:rPr>
                <w:rFonts w:eastAsia="Calibri"/>
                <w:sz w:val="28"/>
                <w:szCs w:val="28"/>
              </w:rPr>
            </w:pPr>
            <w:r w:rsidRPr="00A36C00">
              <w:rPr>
                <w:rFonts w:eastAsia="Calibri"/>
                <w:sz w:val="28"/>
                <w:szCs w:val="28"/>
              </w:rPr>
              <w:t xml:space="preserve">        Пункт 1-3 статьи 52:</w:t>
            </w:r>
          </w:p>
          <w:p w:rsidR="00A36C00" w:rsidRPr="00A36C00" w:rsidRDefault="00A36C00" w:rsidP="00A36C00">
            <w:pPr>
              <w:jc w:val="both"/>
              <w:rPr>
                <w:rFonts w:eastAsia="Calibri"/>
                <w:sz w:val="28"/>
                <w:szCs w:val="28"/>
              </w:rPr>
            </w:pPr>
          </w:p>
          <w:p w:rsidR="00A36C00" w:rsidRPr="00A36C00" w:rsidRDefault="00A36C00" w:rsidP="00A36C00">
            <w:pPr>
              <w:jc w:val="both"/>
              <w:rPr>
                <w:rFonts w:eastAsia="Calibri"/>
                <w:b/>
                <w:sz w:val="28"/>
                <w:szCs w:val="28"/>
              </w:rPr>
            </w:pPr>
            <w:r w:rsidRPr="00A36C00">
              <w:rPr>
                <w:rFonts w:eastAsia="Calibri"/>
                <w:b/>
                <w:sz w:val="28"/>
                <w:szCs w:val="28"/>
                <w:shd w:val="clear" w:color="auto" w:fill="FFFFFF"/>
              </w:rPr>
              <w:t xml:space="preserve">        1-3. Порядок допуска лиц, указанных в пунктах 1-1 и 1-2 настоящей статьи, к занятию педагогической деятельностью устанавливается уполномоченным Правительством Приднестровской Молдавской Республики исполнительным органом государственной власти, в ведение которого находятся вопросы образования, по согласованию с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tc>
      </w:tr>
    </w:tbl>
    <w:p w:rsidR="00A36C00" w:rsidRPr="00A36C00" w:rsidRDefault="00A36C00" w:rsidP="00A36C00">
      <w:pPr>
        <w:spacing w:after="0" w:line="240" w:lineRule="auto"/>
        <w:jc w:val="center"/>
        <w:rPr>
          <w:rFonts w:ascii="Times New Roman" w:eastAsia="Calibri" w:hAnsi="Times New Roman" w:cs="Times New Roman"/>
          <w:sz w:val="28"/>
          <w:szCs w:val="28"/>
          <w:lang w:eastAsia="en-US"/>
        </w:rPr>
      </w:pPr>
    </w:p>
    <w:p w:rsidR="00186EFF" w:rsidRPr="00A36C00" w:rsidRDefault="00186EFF" w:rsidP="00A36C00">
      <w:bookmarkStart w:id="0" w:name="_GoBack"/>
      <w:bookmarkEnd w:id="0"/>
    </w:p>
    <w:sectPr w:rsidR="00186EFF" w:rsidRPr="00A36C00" w:rsidSect="00EF2A5C">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74" w:rsidRDefault="00DA3974" w:rsidP="00812C8D">
      <w:pPr>
        <w:spacing w:after="0" w:line="240" w:lineRule="auto"/>
      </w:pPr>
      <w:r>
        <w:separator/>
      </w:r>
    </w:p>
  </w:endnote>
  <w:endnote w:type="continuationSeparator" w:id="0">
    <w:p w:rsidR="00DA3974" w:rsidRDefault="00DA3974"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74" w:rsidRDefault="00DA3974" w:rsidP="00812C8D">
      <w:pPr>
        <w:spacing w:after="0" w:line="240" w:lineRule="auto"/>
      </w:pPr>
      <w:r>
        <w:separator/>
      </w:r>
    </w:p>
  </w:footnote>
  <w:footnote w:type="continuationSeparator" w:id="0">
    <w:p w:rsidR="00DA3974" w:rsidRDefault="00DA3974"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A36C00">
      <w:rPr>
        <w:noProof/>
      </w:rPr>
      <w:t>- 2 -</w:t>
    </w:r>
    <w:r>
      <w:fldChar w:fldCharType="end"/>
    </w:r>
  </w:p>
  <w:p w:rsidR="008E5F6B" w:rsidRDefault="00DA39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1"/>
  </w:num>
  <w:num w:numId="3">
    <w:abstractNumId w:val="6"/>
  </w:num>
  <w:num w:numId="4">
    <w:abstractNumId w:val="9"/>
  </w:num>
  <w:num w:numId="5">
    <w:abstractNumId w:val="2"/>
  </w:num>
  <w:num w:numId="6">
    <w:abstractNumId w:val="3"/>
  </w:num>
  <w:num w:numId="7">
    <w:abstractNumId w:val="4"/>
  </w:num>
  <w:num w:numId="8">
    <w:abstractNumId w:val="12"/>
  </w:num>
  <w:num w:numId="9">
    <w:abstractNumId w:val="0"/>
  </w:num>
  <w:num w:numId="10">
    <w:abstractNumId w:val="13"/>
  </w:num>
  <w:num w:numId="11">
    <w:abstractNumId w:val="10"/>
  </w:num>
  <w:num w:numId="12">
    <w:abstractNumId w:val="5"/>
  </w:num>
  <w:num w:numId="13">
    <w:abstractNumId w:val="7"/>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D6DD2"/>
    <w:rsid w:val="001143FD"/>
    <w:rsid w:val="001147C7"/>
    <w:rsid w:val="00120603"/>
    <w:rsid w:val="00136C80"/>
    <w:rsid w:val="00141A44"/>
    <w:rsid w:val="0015299E"/>
    <w:rsid w:val="001677F2"/>
    <w:rsid w:val="00167807"/>
    <w:rsid w:val="00171A3D"/>
    <w:rsid w:val="00186EFF"/>
    <w:rsid w:val="00195CD9"/>
    <w:rsid w:val="001A450A"/>
    <w:rsid w:val="001A770F"/>
    <w:rsid w:val="001D4C01"/>
    <w:rsid w:val="001D73A4"/>
    <w:rsid w:val="002047C9"/>
    <w:rsid w:val="00205FC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C723D"/>
    <w:rsid w:val="004D3E18"/>
    <w:rsid w:val="004E022A"/>
    <w:rsid w:val="004E2CCD"/>
    <w:rsid w:val="004E4EAB"/>
    <w:rsid w:val="005215C7"/>
    <w:rsid w:val="005528A3"/>
    <w:rsid w:val="005A38DA"/>
    <w:rsid w:val="005C1EE2"/>
    <w:rsid w:val="005D544F"/>
    <w:rsid w:val="005F450D"/>
    <w:rsid w:val="006511AF"/>
    <w:rsid w:val="00653F34"/>
    <w:rsid w:val="00671936"/>
    <w:rsid w:val="00681C87"/>
    <w:rsid w:val="00683B86"/>
    <w:rsid w:val="006C009D"/>
    <w:rsid w:val="006C15EB"/>
    <w:rsid w:val="006F74B2"/>
    <w:rsid w:val="007018D0"/>
    <w:rsid w:val="00713045"/>
    <w:rsid w:val="00713585"/>
    <w:rsid w:val="0073617B"/>
    <w:rsid w:val="00770637"/>
    <w:rsid w:val="00792E16"/>
    <w:rsid w:val="007B5C75"/>
    <w:rsid w:val="007D338C"/>
    <w:rsid w:val="00812C8D"/>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14378"/>
    <w:rsid w:val="00925929"/>
    <w:rsid w:val="0092661B"/>
    <w:rsid w:val="0095204D"/>
    <w:rsid w:val="0095658C"/>
    <w:rsid w:val="00966CDA"/>
    <w:rsid w:val="0099668E"/>
    <w:rsid w:val="009B6096"/>
    <w:rsid w:val="009B7AFD"/>
    <w:rsid w:val="009C779A"/>
    <w:rsid w:val="009D0D15"/>
    <w:rsid w:val="009D3E59"/>
    <w:rsid w:val="009D455A"/>
    <w:rsid w:val="009D4CBF"/>
    <w:rsid w:val="00A02CED"/>
    <w:rsid w:val="00A06D84"/>
    <w:rsid w:val="00A15CEB"/>
    <w:rsid w:val="00A27939"/>
    <w:rsid w:val="00A36C00"/>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912E2"/>
    <w:rsid w:val="00BA0921"/>
    <w:rsid w:val="00BA09CF"/>
    <w:rsid w:val="00BB6CB4"/>
    <w:rsid w:val="00BC71F3"/>
    <w:rsid w:val="00BE081B"/>
    <w:rsid w:val="00BE794C"/>
    <w:rsid w:val="00BF07C8"/>
    <w:rsid w:val="00C37E79"/>
    <w:rsid w:val="00C44E66"/>
    <w:rsid w:val="00C541A8"/>
    <w:rsid w:val="00C576FF"/>
    <w:rsid w:val="00C66F6C"/>
    <w:rsid w:val="00C97FD0"/>
    <w:rsid w:val="00CB5048"/>
    <w:rsid w:val="00CD2759"/>
    <w:rsid w:val="00CD460E"/>
    <w:rsid w:val="00CF39DA"/>
    <w:rsid w:val="00D421E1"/>
    <w:rsid w:val="00D4237F"/>
    <w:rsid w:val="00D508A5"/>
    <w:rsid w:val="00D53804"/>
    <w:rsid w:val="00D71104"/>
    <w:rsid w:val="00D71F96"/>
    <w:rsid w:val="00D86768"/>
    <w:rsid w:val="00D90CA1"/>
    <w:rsid w:val="00DA3974"/>
    <w:rsid w:val="00DA4825"/>
    <w:rsid w:val="00DE041F"/>
    <w:rsid w:val="00DE50E8"/>
    <w:rsid w:val="00E06FDC"/>
    <w:rsid w:val="00E317BC"/>
    <w:rsid w:val="00E42465"/>
    <w:rsid w:val="00E56BCB"/>
    <w:rsid w:val="00E86EB0"/>
    <w:rsid w:val="00EB3351"/>
    <w:rsid w:val="00EC37FE"/>
    <w:rsid w:val="00EE533E"/>
    <w:rsid w:val="00EF2A5C"/>
    <w:rsid w:val="00F0185A"/>
    <w:rsid w:val="00F131DA"/>
    <w:rsid w:val="00F327F4"/>
    <w:rsid w:val="00F430C7"/>
    <w:rsid w:val="00F4450B"/>
    <w:rsid w:val="00F64505"/>
    <w:rsid w:val="00F947F4"/>
    <w:rsid w:val="00FA67A6"/>
    <w:rsid w:val="00FB146A"/>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 w:type="table" w:customStyle="1" w:styleId="7">
    <w:name w:val="Сетка таблицы7"/>
    <w:basedOn w:val="a1"/>
    <w:next w:val="a3"/>
    <w:uiPriority w:val="59"/>
    <w:rsid w:val="00A36C0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236978526">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4272D-7939-46B4-82FA-629DCB79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78</cp:revision>
  <cp:lastPrinted>2020-07-21T11:20:00Z</cp:lastPrinted>
  <dcterms:created xsi:type="dcterms:W3CDTF">2019-12-11T12:38:00Z</dcterms:created>
  <dcterms:modified xsi:type="dcterms:W3CDTF">2020-10-05T07:35:00Z</dcterms:modified>
</cp:coreProperties>
</file>