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12" w:rsidRPr="00DC3E12" w:rsidRDefault="00DC3E12" w:rsidP="00DC3E12">
      <w:pPr>
        <w:spacing w:after="200" w:line="276" w:lineRule="auto"/>
        <w:jc w:val="center"/>
        <w:rPr>
          <w:rFonts w:eastAsia="Calibri"/>
          <w:b/>
          <w:sz w:val="28"/>
          <w:szCs w:val="28"/>
          <w:lang w:eastAsia="en-US"/>
        </w:rPr>
      </w:pPr>
      <w:r w:rsidRPr="00DC3E12">
        <w:rPr>
          <w:rFonts w:eastAsia="Calibri"/>
          <w:sz w:val="28"/>
          <w:szCs w:val="28"/>
          <w:lang w:eastAsia="en-US"/>
        </w:rPr>
        <w:t>Сравнительная таблица</w:t>
      </w:r>
    </w:p>
    <w:p w:rsidR="00DC3E12" w:rsidRPr="00DC3E12" w:rsidRDefault="00DC3E12" w:rsidP="00DC3E12">
      <w:pPr>
        <w:ind w:left="220"/>
        <w:jc w:val="center"/>
        <w:rPr>
          <w:rFonts w:eastAsiaTheme="minorHAnsi" w:cstheme="minorBidi"/>
          <w:sz w:val="28"/>
          <w:szCs w:val="28"/>
          <w:lang w:eastAsia="en-US"/>
        </w:rPr>
      </w:pPr>
      <w:r w:rsidRPr="00DC3E12">
        <w:rPr>
          <w:rFonts w:eastAsiaTheme="minorHAnsi" w:cstheme="minorBidi"/>
          <w:sz w:val="28"/>
          <w:szCs w:val="28"/>
          <w:lang w:eastAsia="en-US"/>
        </w:rPr>
        <w:t>к проекту закона Приднестровской Молдавской Республики</w:t>
      </w:r>
    </w:p>
    <w:p w:rsidR="00DC3E12" w:rsidRPr="00DC3E12" w:rsidRDefault="00DC3E12" w:rsidP="00DC3E12">
      <w:pPr>
        <w:jc w:val="center"/>
        <w:rPr>
          <w:rFonts w:eastAsiaTheme="minorHAnsi" w:cstheme="minorBidi"/>
          <w:sz w:val="28"/>
          <w:szCs w:val="28"/>
          <w:lang w:eastAsia="en-US"/>
        </w:rPr>
      </w:pPr>
      <w:r w:rsidRPr="00DC3E12">
        <w:rPr>
          <w:rFonts w:eastAsiaTheme="minorHAnsi" w:cstheme="minorBidi"/>
          <w:sz w:val="28"/>
          <w:szCs w:val="28"/>
          <w:lang w:eastAsia="en-US"/>
        </w:rPr>
        <w:t>«О внесении дополнения в Закон Приднестровской Молдавской Республики</w:t>
      </w:r>
    </w:p>
    <w:p w:rsidR="00DC3E12" w:rsidRPr="00DC3E12" w:rsidRDefault="00DC3E12" w:rsidP="00DC3E12">
      <w:pPr>
        <w:jc w:val="center"/>
        <w:rPr>
          <w:rFonts w:eastAsiaTheme="minorHAnsi" w:cstheme="minorBidi"/>
          <w:sz w:val="28"/>
          <w:szCs w:val="28"/>
          <w:lang w:eastAsia="en-US"/>
        </w:rPr>
      </w:pPr>
      <w:r w:rsidRPr="00DC3E12">
        <w:rPr>
          <w:rFonts w:eastAsiaTheme="minorHAnsi" w:cstheme="minorBidi"/>
          <w:sz w:val="28"/>
          <w:szCs w:val="28"/>
          <w:lang w:eastAsia="en-US"/>
        </w:rPr>
        <w:t>«О дополнительных мерах, направленных на стабилизацию экономики Приднестровской Молдавской Республики»</w:t>
      </w:r>
    </w:p>
    <w:p w:rsidR="00DC3E12" w:rsidRPr="00DC3E12" w:rsidRDefault="00DC3E12" w:rsidP="00DC3E12">
      <w:pPr>
        <w:ind w:left="220"/>
        <w:jc w:val="center"/>
        <w:rPr>
          <w:rFonts w:eastAsiaTheme="minorHAnsi" w:cstheme="minorBidi"/>
          <w:b/>
          <w:sz w:val="28"/>
          <w:szCs w:val="28"/>
          <w:lang w:eastAsia="en-US"/>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5954"/>
      </w:tblGrid>
      <w:tr w:rsidR="00DC3E12" w:rsidRPr="00DC3E12" w:rsidTr="000D12F1">
        <w:tc>
          <w:tcPr>
            <w:tcW w:w="3582" w:type="dxa"/>
            <w:tcBorders>
              <w:top w:val="single" w:sz="4" w:space="0" w:color="auto"/>
              <w:left w:val="single" w:sz="4" w:space="0" w:color="auto"/>
              <w:bottom w:val="single" w:sz="4" w:space="0" w:color="auto"/>
              <w:right w:val="single" w:sz="4" w:space="0" w:color="auto"/>
            </w:tcBorders>
            <w:hideMark/>
          </w:tcPr>
          <w:p w:rsidR="00DC3E12" w:rsidRPr="00DC3E12" w:rsidRDefault="00DC3E12" w:rsidP="00DC3E12">
            <w:pPr>
              <w:jc w:val="center"/>
              <w:rPr>
                <w:rFonts w:eastAsia="Calibri"/>
                <w:sz w:val="28"/>
                <w:szCs w:val="28"/>
                <w:lang w:eastAsia="en-US"/>
              </w:rPr>
            </w:pPr>
            <w:r w:rsidRPr="00DC3E12">
              <w:rPr>
                <w:rFonts w:eastAsia="Calibri"/>
                <w:sz w:val="28"/>
                <w:szCs w:val="28"/>
                <w:lang w:eastAsia="en-US"/>
              </w:rPr>
              <w:t>Действующая редакция</w:t>
            </w:r>
          </w:p>
        </w:tc>
        <w:tc>
          <w:tcPr>
            <w:tcW w:w="5954" w:type="dxa"/>
            <w:tcBorders>
              <w:top w:val="single" w:sz="4" w:space="0" w:color="auto"/>
              <w:left w:val="single" w:sz="4" w:space="0" w:color="auto"/>
              <w:bottom w:val="single" w:sz="4" w:space="0" w:color="auto"/>
              <w:right w:val="single" w:sz="4" w:space="0" w:color="auto"/>
            </w:tcBorders>
            <w:hideMark/>
          </w:tcPr>
          <w:p w:rsidR="00DC3E12" w:rsidRPr="00DC3E12" w:rsidRDefault="00DC3E12" w:rsidP="00DC3E12">
            <w:pPr>
              <w:jc w:val="center"/>
              <w:rPr>
                <w:rFonts w:eastAsia="Calibri"/>
                <w:sz w:val="28"/>
                <w:szCs w:val="28"/>
                <w:lang w:eastAsia="en-US"/>
              </w:rPr>
            </w:pPr>
            <w:r w:rsidRPr="00DC3E12">
              <w:rPr>
                <w:rFonts w:eastAsia="Calibri"/>
                <w:sz w:val="28"/>
                <w:szCs w:val="28"/>
                <w:lang w:eastAsia="en-US"/>
              </w:rPr>
              <w:t>Предлагаемая редакция</w:t>
            </w:r>
          </w:p>
        </w:tc>
      </w:tr>
      <w:tr w:rsidR="00DC3E12" w:rsidRPr="00DC3E12" w:rsidTr="000D12F1">
        <w:tc>
          <w:tcPr>
            <w:tcW w:w="3582" w:type="dxa"/>
            <w:tcBorders>
              <w:top w:val="single" w:sz="4" w:space="0" w:color="auto"/>
              <w:left w:val="single" w:sz="4" w:space="0" w:color="auto"/>
              <w:bottom w:val="single" w:sz="4" w:space="0" w:color="auto"/>
              <w:right w:val="single" w:sz="4" w:space="0" w:color="auto"/>
            </w:tcBorders>
            <w:hideMark/>
          </w:tcPr>
          <w:p w:rsidR="00DC3E12" w:rsidRPr="00DC3E12" w:rsidRDefault="00DC3E12" w:rsidP="00DC3E12">
            <w:pPr>
              <w:ind w:firstLine="498"/>
              <w:jc w:val="both"/>
              <w:outlineLvl w:val="0"/>
              <w:rPr>
                <w:rFonts w:cs="Courier New"/>
                <w:sz w:val="28"/>
                <w:szCs w:val="28"/>
                <w:lang w:eastAsia="en-US"/>
              </w:rPr>
            </w:pPr>
            <w:r w:rsidRPr="00DC3E12">
              <w:rPr>
                <w:rFonts w:cs="Courier New"/>
                <w:sz w:val="28"/>
                <w:szCs w:val="28"/>
                <w:lang w:eastAsia="en-US"/>
              </w:rPr>
              <w:t>Статья 1.</w:t>
            </w:r>
          </w:p>
          <w:p w:rsidR="00DC3E12" w:rsidRPr="00DC3E12" w:rsidRDefault="00DC3E12" w:rsidP="00DC3E12">
            <w:pPr>
              <w:ind w:firstLine="498"/>
              <w:jc w:val="both"/>
              <w:outlineLvl w:val="0"/>
              <w:rPr>
                <w:rFonts w:cs="Courier New"/>
                <w:sz w:val="28"/>
                <w:szCs w:val="28"/>
                <w:lang w:eastAsia="en-US"/>
              </w:rPr>
            </w:pPr>
            <w:r w:rsidRPr="00DC3E12">
              <w:rPr>
                <w:rFonts w:cs="Courier New"/>
                <w:sz w:val="28"/>
                <w:szCs w:val="28"/>
                <w:lang w:eastAsia="en-US"/>
              </w:rPr>
              <w:t>27. Отсутствует</w:t>
            </w:r>
          </w:p>
        </w:tc>
        <w:tc>
          <w:tcPr>
            <w:tcW w:w="5954" w:type="dxa"/>
            <w:tcBorders>
              <w:top w:val="single" w:sz="4" w:space="0" w:color="auto"/>
              <w:left w:val="single" w:sz="4" w:space="0" w:color="auto"/>
              <w:bottom w:val="single" w:sz="4" w:space="0" w:color="auto"/>
              <w:right w:val="single" w:sz="4" w:space="0" w:color="auto"/>
            </w:tcBorders>
            <w:hideMark/>
          </w:tcPr>
          <w:p w:rsidR="00DC3E12" w:rsidRPr="00DC3E12" w:rsidRDefault="00DC3E12" w:rsidP="00DC3E12">
            <w:pPr>
              <w:ind w:firstLine="498"/>
              <w:jc w:val="both"/>
              <w:outlineLvl w:val="0"/>
              <w:rPr>
                <w:rFonts w:cs="Courier New"/>
                <w:sz w:val="28"/>
                <w:szCs w:val="28"/>
                <w:lang w:eastAsia="en-US"/>
              </w:rPr>
            </w:pPr>
            <w:r w:rsidRPr="00DC3E12">
              <w:rPr>
                <w:rFonts w:cs="Courier New"/>
                <w:sz w:val="28"/>
                <w:szCs w:val="28"/>
                <w:lang w:eastAsia="en-US"/>
              </w:rPr>
              <w:t>Статья 1.</w:t>
            </w:r>
          </w:p>
          <w:p w:rsidR="00DC3E12" w:rsidRPr="00DC3E12" w:rsidRDefault="00DC3E12" w:rsidP="00DC3E12">
            <w:pPr>
              <w:widowControl w:val="0"/>
              <w:ind w:firstLine="567"/>
              <w:jc w:val="both"/>
              <w:rPr>
                <w:rFonts w:eastAsia="Sylfaen" w:cs="Sylfaen"/>
                <w:b/>
                <w:sz w:val="28"/>
                <w:szCs w:val="28"/>
                <w:lang w:eastAsia="en-US"/>
              </w:rPr>
            </w:pPr>
            <w:r w:rsidRPr="00DC3E12">
              <w:rPr>
                <w:rFonts w:eastAsia="Sylfaen"/>
                <w:b/>
                <w:color w:val="000000"/>
                <w:spacing w:val="10"/>
                <w:sz w:val="28"/>
                <w:szCs w:val="28"/>
                <w:shd w:val="clear" w:color="auto" w:fill="FFFFFF"/>
                <w:lang w:eastAsia="en-US"/>
              </w:rPr>
              <w:t>27</w:t>
            </w:r>
            <w:r w:rsidRPr="00DC3E12">
              <w:rPr>
                <w:rFonts w:eastAsia="Sylfaen"/>
                <w:b/>
                <w:color w:val="000000"/>
                <w:sz w:val="28"/>
                <w:szCs w:val="28"/>
                <w:shd w:val="clear" w:color="auto" w:fill="FFFFFF"/>
                <w:lang w:eastAsia="en-US"/>
              </w:rPr>
              <w:t xml:space="preserve">. Статью </w:t>
            </w:r>
            <w:r w:rsidRPr="00DC3E12">
              <w:rPr>
                <w:rFonts w:eastAsia="Sylfaen"/>
                <w:b/>
                <w:color w:val="000000"/>
                <w:spacing w:val="10"/>
                <w:sz w:val="28"/>
                <w:szCs w:val="28"/>
                <w:shd w:val="clear" w:color="auto" w:fill="FFFFFF"/>
                <w:lang w:eastAsia="en-US"/>
              </w:rPr>
              <w:t>11</w:t>
            </w:r>
            <w:r w:rsidRPr="00DC3E12">
              <w:rPr>
                <w:rFonts w:eastAsia="Sylfaen"/>
                <w:b/>
                <w:color w:val="000000"/>
                <w:sz w:val="28"/>
                <w:szCs w:val="28"/>
                <w:shd w:val="clear" w:color="auto" w:fill="FFFFFF"/>
                <w:lang w:eastAsia="en-US"/>
              </w:rPr>
              <w:t xml:space="preserve"> дополнить частями тридцать восьмой – сорок второй следующего содержания:</w:t>
            </w:r>
          </w:p>
          <w:p w:rsidR="00DC3E12" w:rsidRPr="00DC3E12" w:rsidRDefault="00DC3E12" w:rsidP="00DC3E12">
            <w:pPr>
              <w:ind w:firstLine="567"/>
              <w:jc w:val="both"/>
              <w:rPr>
                <w:rFonts w:eastAsia="Calibri"/>
                <w:b/>
                <w:sz w:val="28"/>
                <w:szCs w:val="28"/>
                <w:lang w:eastAsia="en-US"/>
              </w:rPr>
            </w:pPr>
            <w:r w:rsidRPr="00DC3E12">
              <w:rPr>
                <w:rFonts w:eastAsia="Sylfaen" w:cs="Sylfaen"/>
                <w:b/>
                <w:color w:val="000000"/>
                <w:sz w:val="28"/>
                <w:szCs w:val="28"/>
                <w:shd w:val="clear" w:color="auto" w:fill="FFFFFF"/>
                <w:lang w:eastAsia="en-US"/>
              </w:rPr>
              <w:t>«</w:t>
            </w:r>
            <w:r w:rsidRPr="00DC3E12">
              <w:rPr>
                <w:rFonts w:eastAsia="Calibri"/>
                <w:b/>
                <w:sz w:val="28"/>
                <w:szCs w:val="28"/>
                <w:lang w:eastAsia="en-US"/>
              </w:rPr>
              <w:t>На период с 1 января 2021 года по 31 декабря 2021 года освободить государственные (муниципальные) унитарные предприятия, осуществляющие деятельность в сфере дорожного хозяйства, коммунального хозяйства,</w:t>
            </w:r>
            <w:r w:rsidRPr="00DC3E12">
              <w:rPr>
                <w:rFonts w:eastAsia="Calibri"/>
                <w:b/>
                <w:sz w:val="28"/>
                <w:shd w:val="clear" w:color="auto" w:fill="FEFEFE"/>
                <w:lang w:eastAsia="en-US"/>
              </w:rPr>
              <w:t xml:space="preserve"> </w:t>
            </w:r>
            <w:r w:rsidRPr="00DC3E12">
              <w:rPr>
                <w:rFonts w:eastAsia="Calibri"/>
                <w:b/>
                <w:sz w:val="28"/>
                <w:szCs w:val="28"/>
                <w:lang w:eastAsia="en-US"/>
              </w:rPr>
              <w:t>от уплаты суммы налога на доходы (без учета отчислений в Единый государственный фонд социального страхования Приднестровской Молдавской Республики на цели пенсионного страхования (обеспечения)), оставшейся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 исчисленной от получаемых доходов от продаж, по видам деятельности «дорожное хозяйство» и «строительство и эксплуатация дорог».</w:t>
            </w:r>
          </w:p>
          <w:p w:rsidR="00DC3E12" w:rsidRPr="00DC3E12" w:rsidRDefault="00DC3E12" w:rsidP="00DC3E12">
            <w:pPr>
              <w:ind w:firstLine="567"/>
              <w:jc w:val="both"/>
              <w:rPr>
                <w:rFonts w:eastAsia="Calibri"/>
                <w:b/>
                <w:sz w:val="28"/>
                <w:szCs w:val="28"/>
                <w:lang w:eastAsia="en-US"/>
              </w:rPr>
            </w:pPr>
            <w:r w:rsidRPr="00DC3E12">
              <w:rPr>
                <w:rFonts w:eastAsia="Calibri"/>
                <w:b/>
                <w:sz w:val="28"/>
                <w:szCs w:val="28"/>
                <w:lang w:eastAsia="en-US"/>
              </w:rPr>
              <w:t xml:space="preserve">Высвободившиеся в соответствии с частью тридцать восьмой настоящей статьи средства признаются государственными субсидиями и в течение льготного периода направляются на </w:t>
            </w:r>
            <w:r w:rsidRPr="00DC3E12">
              <w:rPr>
                <w:rFonts w:eastAsia="Calibri"/>
                <w:b/>
                <w:sz w:val="28"/>
                <w:szCs w:val="22"/>
                <w:lang w:eastAsia="en-US"/>
              </w:rPr>
              <w:t>капитальные вложения в новое технологическое оборудование, капитальный ремонт, реконструкцию и модернизацию существующего технологического оборудования</w:t>
            </w:r>
            <w:r w:rsidRPr="00DC3E12">
              <w:rPr>
                <w:rFonts w:eastAsia="Calibri"/>
                <w:b/>
                <w:sz w:val="28"/>
                <w:szCs w:val="28"/>
                <w:lang w:eastAsia="en-US"/>
              </w:rPr>
              <w:t xml:space="preserve">. Государственные субсидии подлежат отражению в бухгалтерском учете в соответствии с требованиями </w:t>
            </w:r>
            <w:r w:rsidRPr="00DC3E12">
              <w:rPr>
                <w:rFonts w:eastAsia="Calibri"/>
                <w:b/>
                <w:sz w:val="28"/>
                <w:szCs w:val="28"/>
                <w:lang w:eastAsia="en-US"/>
              </w:rPr>
              <w:lastRenderedPageBreak/>
              <w:t xml:space="preserve">законодательства Приднестровской Молдавской Республики. </w:t>
            </w:r>
          </w:p>
          <w:p w:rsidR="00DC3E12" w:rsidRPr="00DC3E12" w:rsidRDefault="00DC3E12" w:rsidP="00DC3E12">
            <w:pPr>
              <w:ind w:firstLine="567"/>
              <w:jc w:val="both"/>
              <w:rPr>
                <w:rFonts w:eastAsia="Calibri"/>
                <w:b/>
                <w:sz w:val="28"/>
                <w:szCs w:val="28"/>
                <w:lang w:eastAsia="en-US"/>
              </w:rPr>
            </w:pPr>
            <w:r w:rsidRPr="00DC3E12">
              <w:rPr>
                <w:rFonts w:eastAsia="Calibri"/>
                <w:b/>
                <w:sz w:val="28"/>
                <w:szCs w:val="28"/>
                <w:lang w:eastAsia="en-US"/>
              </w:rPr>
              <w:t xml:space="preserve">Контроль за целевым использованием высвободившихся в соответствии с частью тридцать восьмой настоящей статьи средств, направляемых на реализацию целей, указанных частью тридцать девятой настоящей статьи, осуществляется 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в сфере экономической политики. </w:t>
            </w:r>
          </w:p>
          <w:p w:rsidR="00DC3E12" w:rsidRPr="00DC3E12" w:rsidRDefault="00DC3E12" w:rsidP="00DC3E12">
            <w:pPr>
              <w:ind w:firstLine="567"/>
              <w:jc w:val="both"/>
              <w:rPr>
                <w:rFonts w:eastAsia="Calibri"/>
                <w:b/>
                <w:sz w:val="28"/>
                <w:lang w:eastAsia="en-US"/>
              </w:rPr>
            </w:pPr>
            <w:r w:rsidRPr="00DC3E12">
              <w:rPr>
                <w:rFonts w:eastAsia="Calibri"/>
                <w:b/>
                <w:sz w:val="28"/>
                <w:lang w:eastAsia="en-US"/>
              </w:rPr>
              <w:t xml:space="preserve">В случае неиспользования или нецелевого использования средств от предоставления льготы, указанной в части тридцать восьмой настоящей статьи, суммы накопленных государственных субсидий в части их неиспользования или нецелевого использования признаются обязательствами по уплате налога на доходы организаций и подлежат обособленному отражению в расчетах налога на доходы организаций за январь–декабрь отчетного года и уплате в пятидневный срок со дня предоставления расчета. При этом санкции за несвоевременную уплату соответствующих платежей в части неиспользования или нецелевого использования государственных субсидий по самостоятельно </w:t>
            </w:r>
            <w:proofErr w:type="spellStart"/>
            <w:r w:rsidRPr="00DC3E12">
              <w:rPr>
                <w:rFonts w:eastAsia="Calibri"/>
                <w:b/>
                <w:sz w:val="28"/>
                <w:lang w:eastAsia="en-US"/>
              </w:rPr>
              <w:t>доначисленным</w:t>
            </w:r>
            <w:proofErr w:type="spellEnd"/>
            <w:r w:rsidRPr="00DC3E12">
              <w:rPr>
                <w:rFonts w:eastAsia="Calibri"/>
                <w:b/>
                <w:sz w:val="28"/>
                <w:lang w:eastAsia="en-US"/>
              </w:rPr>
              <w:t xml:space="preserve"> суммам налога не применяются.</w:t>
            </w:r>
          </w:p>
          <w:p w:rsidR="00DC3E12" w:rsidRPr="00DC3E12" w:rsidRDefault="00DC3E12" w:rsidP="00DC3E12">
            <w:pPr>
              <w:widowControl w:val="0"/>
              <w:shd w:val="clear" w:color="auto" w:fill="FFFFFF"/>
              <w:ind w:firstLine="567"/>
              <w:jc w:val="both"/>
              <w:rPr>
                <w:rFonts w:ascii="Sylfaen" w:eastAsia="Sylfaen" w:hAnsi="Sylfaen" w:cs="Sylfaen"/>
                <w:sz w:val="28"/>
                <w:szCs w:val="28"/>
                <w:lang w:eastAsia="en-US"/>
              </w:rPr>
            </w:pPr>
            <w:r w:rsidRPr="00DC3E12">
              <w:rPr>
                <w:rFonts w:eastAsia="Sylfaen" w:cs="Sylfaen"/>
                <w:b/>
                <w:sz w:val="28"/>
                <w:lang w:eastAsia="en-US"/>
              </w:rPr>
              <w:t xml:space="preserve">В случае, если в течение 3 (трех) лет со времени получения данного вида льготы организации реализуют имущество, явившееся объектом капитальных вложений, капитального ремонта, реконструкции и модернизации, в связи с осуществлением которых была использована льгота в соответствии с частью тридцать восьмой настоящей статьи, данная сумма льготы, скорректированная на коэффициент инфляции, начиная с месяца, в котором организацией впервые была применена данная льгота, признается обязательствами по уплате налога на доходы </w:t>
            </w:r>
            <w:r w:rsidRPr="00DC3E12">
              <w:rPr>
                <w:rFonts w:eastAsia="Sylfaen" w:cs="Sylfaen"/>
                <w:b/>
                <w:sz w:val="28"/>
                <w:lang w:eastAsia="en-US"/>
              </w:rPr>
              <w:lastRenderedPageBreak/>
              <w:t>организаций и подлежит обособленному отражению в расчетах налога на доходы организаций за месяц, в котором произошла реализация вышеуказанного имущества, и уплате в пятидневный срок со дня предоставления расчета</w:t>
            </w:r>
            <w:r w:rsidRPr="00DC3E12">
              <w:rPr>
                <w:rFonts w:eastAsia="Sylfaen"/>
                <w:b/>
                <w:color w:val="000000"/>
                <w:sz w:val="28"/>
                <w:szCs w:val="28"/>
                <w:shd w:val="clear" w:color="auto" w:fill="FFFFFF"/>
                <w:lang w:eastAsia="en-US"/>
              </w:rPr>
              <w:t>».</w:t>
            </w:r>
          </w:p>
        </w:tc>
      </w:tr>
    </w:tbl>
    <w:p w:rsidR="00DC3E12" w:rsidRPr="00DC3E12" w:rsidRDefault="00DC3E12" w:rsidP="00DC3E12">
      <w:pPr>
        <w:spacing w:after="200" w:line="276" w:lineRule="auto"/>
        <w:rPr>
          <w:rFonts w:ascii="Calibri" w:eastAsia="Calibri" w:hAnsi="Calibri"/>
          <w:sz w:val="22"/>
          <w:szCs w:val="22"/>
          <w:lang w:eastAsia="en-US"/>
        </w:rPr>
      </w:pPr>
      <w:r w:rsidRPr="00DC3E12">
        <w:rPr>
          <w:bCs/>
          <w:sz w:val="28"/>
          <w:szCs w:val="28"/>
        </w:rPr>
        <w:lastRenderedPageBreak/>
        <w:br w:type="page"/>
      </w:r>
    </w:p>
    <w:p w:rsidR="00AB22EA" w:rsidRPr="00DC3E12" w:rsidRDefault="00AB22EA" w:rsidP="00DC3E12">
      <w:bookmarkStart w:id="0" w:name="_GoBack"/>
      <w:bookmarkEnd w:id="0"/>
    </w:p>
    <w:sectPr w:rsidR="00AB22EA" w:rsidRPr="00DC3E12" w:rsidSect="00DC3E12">
      <w:headerReference w:type="even" r:id="rId6"/>
      <w:headerReference w:type="default" r:id="rId7"/>
      <w:pgSz w:w="11906" w:h="16838"/>
      <w:pgMar w:top="567" w:right="284" w:bottom="567" w:left="851" w:header="709" w:footer="709" w:gutter="0"/>
      <w:pgNumType w:fmt="numberInDash"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CA6" w:rsidRDefault="00371CA6" w:rsidP="00DC3E12">
      <w:r>
        <w:separator/>
      </w:r>
    </w:p>
  </w:endnote>
  <w:endnote w:type="continuationSeparator" w:id="0">
    <w:p w:rsidR="00371CA6" w:rsidRDefault="00371CA6" w:rsidP="00D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CA6" w:rsidRDefault="00371CA6" w:rsidP="00DC3E12">
      <w:r>
        <w:separator/>
      </w:r>
    </w:p>
  </w:footnote>
  <w:footnote w:type="continuationSeparator" w:id="0">
    <w:p w:rsidR="00371CA6" w:rsidRDefault="00371CA6" w:rsidP="00DC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21F" w:rsidRDefault="00371CA6" w:rsidP="005C0C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121F" w:rsidRDefault="00371C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815853"/>
      <w:docPartObj>
        <w:docPartGallery w:val="Page Numbers (Top of Page)"/>
        <w:docPartUnique/>
      </w:docPartObj>
    </w:sdtPr>
    <w:sdtEndPr/>
    <w:sdtContent>
      <w:p w:rsidR="00CF121F" w:rsidRDefault="00371CA6">
        <w:pPr>
          <w:pStyle w:val="a3"/>
          <w:jc w:val="center"/>
        </w:pPr>
        <w:r>
          <w:fldChar w:fldCharType="begin"/>
        </w:r>
        <w:r>
          <w:instrText>PAGE   \* MERGEFORMAT</w:instrText>
        </w:r>
        <w:r>
          <w:fldChar w:fldCharType="separate"/>
        </w:r>
        <w:r w:rsidR="00DC3E12">
          <w:rPr>
            <w:noProof/>
          </w:rPr>
          <w:t>- 42 -</w:t>
        </w:r>
        <w:r>
          <w:fldChar w:fldCharType="end"/>
        </w:r>
      </w:p>
    </w:sdtContent>
  </w:sdt>
  <w:p w:rsidR="00CF121F" w:rsidRDefault="00371C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FD"/>
    <w:rsid w:val="00371CA6"/>
    <w:rsid w:val="00AB22EA"/>
    <w:rsid w:val="00C112FD"/>
    <w:rsid w:val="00DC3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6A270-F4B3-4C9B-9BA7-EBD14A61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39"/>
    <w:rsid w:val="00C1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uiPriority w:val="99"/>
    <w:semiHidden/>
    <w:unhideWhenUsed/>
    <w:rsid w:val="00C112FD"/>
    <w:rPr>
      <w:rFonts w:ascii="Segoe UI" w:hAnsi="Segoe UI" w:cs="Segoe UI"/>
      <w:sz w:val="18"/>
      <w:szCs w:val="18"/>
    </w:rPr>
  </w:style>
  <w:style w:type="character" w:customStyle="1" w:styleId="a8">
    <w:name w:val="Текст выноски Знак"/>
    <w:basedOn w:val="a0"/>
    <w:link w:val="a7"/>
    <w:uiPriority w:val="99"/>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2</cp:revision>
  <dcterms:created xsi:type="dcterms:W3CDTF">2021-01-14T14:34:00Z</dcterms:created>
  <dcterms:modified xsi:type="dcterms:W3CDTF">2021-01-14T14:46:00Z</dcterms:modified>
</cp:coreProperties>
</file>