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09" w:rsidRPr="000F32CC" w:rsidRDefault="009943EF" w:rsidP="003E1E09">
      <w:pPr>
        <w:shd w:val="clear" w:color="auto" w:fill="FFFFFF"/>
        <w:jc w:val="center"/>
        <w:rPr>
          <w:b/>
        </w:rPr>
      </w:pPr>
      <w:r w:rsidRPr="000F32CC">
        <w:rPr>
          <w:b/>
        </w:rPr>
        <w:t xml:space="preserve">СРАВНИТЕЛЬНАЯ   ТАБЛИЦА </w:t>
      </w:r>
    </w:p>
    <w:p w:rsidR="003E1E09" w:rsidRPr="000F32CC" w:rsidRDefault="003E1E09" w:rsidP="003E1E09">
      <w:pPr>
        <w:autoSpaceDE w:val="0"/>
        <w:autoSpaceDN w:val="0"/>
        <w:adjustRightInd w:val="0"/>
        <w:ind w:firstLine="709"/>
        <w:jc w:val="center"/>
        <w:rPr>
          <w:b/>
        </w:rPr>
      </w:pPr>
      <w:r w:rsidRPr="000F32CC">
        <w:rPr>
          <w:b/>
        </w:rPr>
        <w:t xml:space="preserve">к проекту закона Приднестровской Молдавской Республики </w:t>
      </w:r>
    </w:p>
    <w:p w:rsidR="000F32CC" w:rsidRPr="000F32CC" w:rsidRDefault="000F32CC" w:rsidP="000F32CC">
      <w:pPr>
        <w:tabs>
          <w:tab w:val="left" w:pos="9720"/>
          <w:tab w:val="left" w:pos="10080"/>
        </w:tabs>
        <w:jc w:val="center"/>
        <w:rPr>
          <w:b/>
        </w:rPr>
      </w:pPr>
      <w:r w:rsidRPr="000F32CC">
        <w:rPr>
          <w:b/>
        </w:rPr>
        <w:t xml:space="preserve">«О внесении изменения в Закон Приднестровской Молдавской Республики </w:t>
      </w:r>
    </w:p>
    <w:p w:rsidR="000F32CC" w:rsidRPr="000F32CC" w:rsidRDefault="000F32CC" w:rsidP="000F32CC">
      <w:pPr>
        <w:tabs>
          <w:tab w:val="left" w:pos="9720"/>
          <w:tab w:val="left" w:pos="10080"/>
        </w:tabs>
        <w:jc w:val="center"/>
        <w:rPr>
          <w:b/>
        </w:rPr>
      </w:pPr>
      <w:r w:rsidRPr="000F32CC">
        <w:rPr>
          <w:b/>
        </w:rPr>
        <w:t xml:space="preserve">«О бюджете Единого государственного фонда социального страхования </w:t>
      </w:r>
    </w:p>
    <w:p w:rsidR="000F32CC" w:rsidRPr="000F32CC" w:rsidRDefault="000F32CC" w:rsidP="000F32CC">
      <w:pPr>
        <w:tabs>
          <w:tab w:val="left" w:pos="9720"/>
          <w:tab w:val="left" w:pos="10080"/>
        </w:tabs>
        <w:jc w:val="center"/>
        <w:rPr>
          <w:b/>
        </w:rPr>
      </w:pPr>
      <w:r w:rsidRPr="000F32CC">
        <w:rPr>
          <w:b/>
        </w:rPr>
        <w:t>Приднестровской Молдавской Р</w:t>
      </w:r>
      <w:bookmarkStart w:id="0" w:name="_GoBack"/>
      <w:bookmarkEnd w:id="0"/>
      <w:r w:rsidRPr="000F32CC">
        <w:rPr>
          <w:b/>
        </w:rPr>
        <w:t>еспублики на 2021 год»</w:t>
      </w:r>
    </w:p>
    <w:p w:rsidR="000F32CC" w:rsidRDefault="000F32CC" w:rsidP="000F32CC">
      <w:pPr>
        <w:tabs>
          <w:tab w:val="left" w:pos="9720"/>
          <w:tab w:val="left" w:pos="10080"/>
        </w:tabs>
        <w:jc w:val="center"/>
        <w:rPr>
          <w:sz w:val="22"/>
          <w:szCs w:val="22"/>
        </w:rPr>
      </w:pPr>
    </w:p>
    <w:tbl>
      <w:tblPr>
        <w:tblStyle w:val="a6"/>
        <w:tblW w:w="0" w:type="auto"/>
        <w:tblLook w:val="04A0" w:firstRow="1" w:lastRow="0" w:firstColumn="1" w:lastColumn="0" w:noHBand="0" w:noVBand="1"/>
      </w:tblPr>
      <w:tblGrid>
        <w:gridCol w:w="4510"/>
        <w:gridCol w:w="4784"/>
      </w:tblGrid>
      <w:tr w:rsidR="000F32CC" w:rsidTr="000F32CC">
        <w:tc>
          <w:tcPr>
            <w:tcW w:w="4510" w:type="dxa"/>
            <w:tcBorders>
              <w:top w:val="single" w:sz="4" w:space="0" w:color="auto"/>
              <w:left w:val="single" w:sz="4" w:space="0" w:color="auto"/>
              <w:bottom w:val="single" w:sz="4" w:space="0" w:color="auto"/>
              <w:right w:val="single" w:sz="4" w:space="0" w:color="auto"/>
            </w:tcBorders>
            <w:vAlign w:val="center"/>
            <w:hideMark/>
          </w:tcPr>
          <w:p w:rsidR="000F32CC" w:rsidRDefault="000F32CC">
            <w:pPr>
              <w:ind w:firstLine="291"/>
              <w:jc w:val="center"/>
              <w:rPr>
                <w:b/>
              </w:rPr>
            </w:pPr>
            <w:r>
              <w:rPr>
                <w:b/>
              </w:rPr>
              <w:t>Действующая редакция</w:t>
            </w:r>
          </w:p>
        </w:tc>
        <w:tc>
          <w:tcPr>
            <w:tcW w:w="4784" w:type="dxa"/>
            <w:tcBorders>
              <w:top w:val="single" w:sz="4" w:space="0" w:color="auto"/>
              <w:left w:val="single" w:sz="4" w:space="0" w:color="auto"/>
              <w:bottom w:val="single" w:sz="4" w:space="0" w:color="auto"/>
              <w:right w:val="single" w:sz="4" w:space="0" w:color="auto"/>
            </w:tcBorders>
            <w:vAlign w:val="center"/>
            <w:hideMark/>
          </w:tcPr>
          <w:p w:rsidR="000F32CC" w:rsidRDefault="000F32CC">
            <w:pPr>
              <w:ind w:firstLine="302"/>
              <w:jc w:val="center"/>
              <w:rPr>
                <w:b/>
              </w:rPr>
            </w:pPr>
            <w:r>
              <w:rPr>
                <w:b/>
              </w:rPr>
              <w:t>Предлагаемая редакция</w:t>
            </w:r>
          </w:p>
        </w:tc>
      </w:tr>
      <w:tr w:rsidR="000F32CC" w:rsidTr="000F32CC">
        <w:tc>
          <w:tcPr>
            <w:tcW w:w="4510" w:type="dxa"/>
            <w:tcBorders>
              <w:top w:val="single" w:sz="4" w:space="0" w:color="auto"/>
              <w:left w:val="single" w:sz="4" w:space="0" w:color="auto"/>
              <w:bottom w:val="single" w:sz="4" w:space="0" w:color="auto"/>
              <w:right w:val="single" w:sz="4" w:space="0" w:color="auto"/>
            </w:tcBorders>
          </w:tcPr>
          <w:p w:rsidR="000F32CC" w:rsidRDefault="000F32CC">
            <w:pPr>
              <w:jc w:val="center"/>
              <w:rPr>
                <w:rFonts w:eastAsia="Calibri"/>
                <w:b/>
              </w:rPr>
            </w:pPr>
            <w:r>
              <w:rPr>
                <w:rFonts w:eastAsia="Calibri"/>
                <w:b/>
              </w:rPr>
              <w:t>Статья 18.</w:t>
            </w:r>
          </w:p>
          <w:p w:rsidR="000F32CC" w:rsidRDefault="000F32CC">
            <w:pPr>
              <w:ind w:firstLine="291"/>
              <w:jc w:val="both"/>
            </w:pPr>
            <w:r>
              <w:t xml:space="preserve">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2021 году составляет </w:t>
            </w:r>
            <w:r>
              <w:rPr>
                <w:b/>
              </w:rPr>
              <w:t>660 рублей.</w:t>
            </w:r>
          </w:p>
          <w:p w:rsidR="000F32CC" w:rsidRDefault="000F32CC">
            <w:pPr>
              <w:ind w:firstLine="291"/>
              <w:jc w:val="both"/>
            </w:pPr>
          </w:p>
          <w:p w:rsidR="000F32CC" w:rsidRDefault="000F32CC">
            <w:pPr>
              <w:ind w:firstLine="291"/>
              <w:jc w:val="both"/>
            </w:pPr>
            <w:r>
              <w:t>2. Для исчисления надбавок и повышений пенсий всем категориям пенсионеров в 2021 году принимается минимальный размер пенсии в размере 402 рубля.</w:t>
            </w:r>
          </w:p>
          <w:p w:rsidR="000F32CC" w:rsidRDefault="000F32CC">
            <w:pPr>
              <w:ind w:firstLine="291"/>
              <w:jc w:val="both"/>
            </w:pPr>
            <w:r>
              <w:t>3. При назначении пенсий или их перерасчете в 2021 году применяется индивидуальный коэффициент (</w:t>
            </w:r>
            <w:proofErr w:type="spellStart"/>
            <w:proofErr w:type="gramStart"/>
            <w:r>
              <w:t>I</w:t>
            </w:r>
            <w:proofErr w:type="gramEnd"/>
            <w:r>
              <w:t>к</w:t>
            </w:r>
            <w:proofErr w:type="spellEnd"/>
            <w:r>
              <w:t>) в размере не свыше 0,8.</w:t>
            </w:r>
          </w:p>
          <w:p w:rsidR="000F32CC" w:rsidRDefault="000F32CC">
            <w:pPr>
              <w:ind w:firstLine="291"/>
              <w:jc w:val="both"/>
            </w:pPr>
            <w:r>
              <w:t xml:space="preserve">4. Для пенсионеров, у которых </w:t>
            </w:r>
            <w:proofErr w:type="spellStart"/>
            <w:proofErr w:type="gramStart"/>
            <w:r>
              <w:t>I</w:t>
            </w:r>
            <w:proofErr w:type="gramEnd"/>
            <w:r>
              <w:t>к</w:t>
            </w:r>
            <w:proofErr w:type="spellEnd"/>
            <w:r>
              <w:t xml:space="preserve"> превышает 0,8, за каждую десятую долю </w:t>
            </w:r>
            <w:proofErr w:type="spellStart"/>
            <w:r>
              <w:t>Iк</w:t>
            </w:r>
            <w:proofErr w:type="spellEnd"/>
            <w:r>
              <w:t>, превышающую 0,8, устанавливается дополнительная сумма (</w:t>
            </w:r>
            <w:proofErr w:type="spellStart"/>
            <w:r>
              <w:t>Iksum</w:t>
            </w:r>
            <w:proofErr w:type="spellEnd"/>
            <w:r>
              <w:t xml:space="preserve">), которая увеличивается на процент роста минимального размера пенсии </w:t>
            </w:r>
            <w:r>
              <w:br/>
              <w:t>по возрасту по соотношению с предыдущим периодом.</w:t>
            </w:r>
          </w:p>
          <w:p w:rsidR="000F32CC" w:rsidRDefault="000F32CC">
            <w:pPr>
              <w:ind w:firstLine="291"/>
              <w:jc w:val="both"/>
            </w:pPr>
            <w:r>
              <w:t xml:space="preserve">5. Во изменение норм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в 2021 году </w:t>
            </w:r>
            <w:proofErr w:type="spellStart"/>
            <w:r>
              <w:t>Sm</w:t>
            </w:r>
            <w:proofErr w:type="spellEnd"/>
            <w:r>
              <w:t xml:space="preserve"> – размер среднемесячной заработной платы в республике за первый месяц квартала, предшествующего кварталу, в котором производится перерасчет.</w:t>
            </w:r>
          </w:p>
          <w:p w:rsidR="000F32CC" w:rsidRDefault="000F32CC">
            <w:pPr>
              <w:tabs>
                <w:tab w:val="left" w:pos="9720"/>
                <w:tab w:val="left" w:pos="10080"/>
              </w:tabs>
              <w:ind w:firstLine="291"/>
              <w:jc w:val="both"/>
              <w:rPr>
                <w:b/>
                <w:sz w:val="22"/>
                <w:szCs w:val="22"/>
              </w:rPr>
            </w:pPr>
            <w:r>
              <w:rPr>
                <w:b/>
              </w:rPr>
              <w:t>6. Отсутствует</w:t>
            </w:r>
          </w:p>
        </w:tc>
        <w:tc>
          <w:tcPr>
            <w:tcW w:w="4784" w:type="dxa"/>
            <w:tcBorders>
              <w:top w:val="single" w:sz="4" w:space="0" w:color="auto"/>
              <w:left w:val="single" w:sz="4" w:space="0" w:color="auto"/>
              <w:bottom w:val="single" w:sz="4" w:space="0" w:color="auto"/>
              <w:right w:val="single" w:sz="4" w:space="0" w:color="auto"/>
            </w:tcBorders>
          </w:tcPr>
          <w:p w:rsidR="000F32CC" w:rsidRDefault="000F32CC">
            <w:pPr>
              <w:jc w:val="center"/>
              <w:rPr>
                <w:b/>
              </w:rPr>
            </w:pPr>
            <w:r>
              <w:rPr>
                <w:b/>
              </w:rPr>
              <w:t>Статья 18.</w:t>
            </w:r>
          </w:p>
          <w:p w:rsidR="000F32CC" w:rsidRDefault="000F32CC">
            <w:pPr>
              <w:ind w:firstLine="302"/>
              <w:jc w:val="both"/>
            </w:pPr>
            <w:r>
              <w:t>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2021 году составляет:</w:t>
            </w:r>
          </w:p>
          <w:p w:rsidR="000F32CC" w:rsidRDefault="000F32CC">
            <w:pPr>
              <w:ind w:firstLine="302"/>
              <w:jc w:val="both"/>
              <w:rPr>
                <w:b/>
              </w:rPr>
            </w:pPr>
            <w:r>
              <w:rPr>
                <w:b/>
              </w:rPr>
              <w:t>а) с 1 января по 31 марта 660 рублей;</w:t>
            </w:r>
          </w:p>
          <w:p w:rsidR="000F32CC" w:rsidRDefault="000F32CC">
            <w:pPr>
              <w:ind w:firstLine="302"/>
              <w:jc w:val="both"/>
              <w:rPr>
                <w:b/>
              </w:rPr>
            </w:pPr>
            <w:r>
              <w:rPr>
                <w:b/>
              </w:rPr>
              <w:t>б) с 1 апреля по 31 декабря 693 рубля.</w:t>
            </w:r>
          </w:p>
          <w:p w:rsidR="000F32CC" w:rsidRDefault="000F32CC">
            <w:pPr>
              <w:ind w:firstLine="302"/>
              <w:jc w:val="both"/>
            </w:pPr>
            <w:r>
              <w:t>2. Для исчисления надбавок и повышений пенсий всем категориям пенсионеров в 2021 году принимается минимальный размер пенсии в размере 402 рубля.</w:t>
            </w:r>
          </w:p>
          <w:p w:rsidR="000F32CC" w:rsidRDefault="000F32CC">
            <w:pPr>
              <w:ind w:firstLine="302"/>
              <w:jc w:val="both"/>
            </w:pPr>
            <w:r>
              <w:t>3. При назначении пенсий или их перерасчете в 2021 году применяется индивидуальный коэффициент (</w:t>
            </w:r>
            <w:proofErr w:type="spellStart"/>
            <w:proofErr w:type="gramStart"/>
            <w:r>
              <w:t>I</w:t>
            </w:r>
            <w:proofErr w:type="gramEnd"/>
            <w:r>
              <w:t>к</w:t>
            </w:r>
            <w:proofErr w:type="spellEnd"/>
            <w:r>
              <w:t>) в размере не свыше 0,8.</w:t>
            </w:r>
          </w:p>
          <w:p w:rsidR="000F32CC" w:rsidRDefault="000F32CC">
            <w:pPr>
              <w:ind w:firstLine="302"/>
              <w:jc w:val="both"/>
            </w:pPr>
            <w:r>
              <w:t xml:space="preserve">4. Для пенсионеров, у которых </w:t>
            </w:r>
            <w:proofErr w:type="spellStart"/>
            <w:proofErr w:type="gramStart"/>
            <w:r>
              <w:t>I</w:t>
            </w:r>
            <w:proofErr w:type="gramEnd"/>
            <w:r>
              <w:t>к</w:t>
            </w:r>
            <w:proofErr w:type="spellEnd"/>
            <w:r>
              <w:t xml:space="preserve"> превышает 0,8, за каждую десятую долю </w:t>
            </w:r>
            <w:proofErr w:type="spellStart"/>
            <w:r>
              <w:t>Iк</w:t>
            </w:r>
            <w:proofErr w:type="spellEnd"/>
            <w:r>
              <w:t>, превышающую 0,8, устанавливается дополнительная сумма (</w:t>
            </w:r>
            <w:proofErr w:type="spellStart"/>
            <w:r>
              <w:t>Iksum</w:t>
            </w:r>
            <w:proofErr w:type="spellEnd"/>
            <w:r>
              <w:t>), которая увеличивается на процент роста минимального размера пенсии по возрасту по соотношению с предыдущим периодом.</w:t>
            </w:r>
          </w:p>
          <w:p w:rsidR="000F32CC" w:rsidRDefault="000F32CC">
            <w:pPr>
              <w:ind w:firstLine="302"/>
              <w:jc w:val="both"/>
            </w:pPr>
          </w:p>
          <w:p w:rsidR="000F32CC" w:rsidRDefault="000F32CC">
            <w:pPr>
              <w:ind w:firstLine="302"/>
              <w:jc w:val="both"/>
            </w:pPr>
            <w:r>
              <w:t xml:space="preserve">5. Во изменение норм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в 2021 году </w:t>
            </w:r>
            <w:proofErr w:type="spellStart"/>
            <w:r>
              <w:t>Sm</w:t>
            </w:r>
            <w:proofErr w:type="spellEnd"/>
            <w:r>
              <w:t xml:space="preserve"> – размер среднемесячной заработной платы в республике за первый месяц квартала, предшествующего кварталу, в котором производится перерасчет.</w:t>
            </w:r>
          </w:p>
          <w:p w:rsidR="000F32CC" w:rsidRDefault="000F32CC">
            <w:pPr>
              <w:ind w:firstLine="302"/>
              <w:jc w:val="both"/>
              <w:rPr>
                <w:b/>
              </w:rPr>
            </w:pPr>
            <w:r>
              <w:rPr>
                <w:b/>
              </w:rPr>
              <w:t xml:space="preserve">6. </w:t>
            </w:r>
            <w:proofErr w:type="gramStart"/>
            <w:r>
              <w:rPr>
                <w:b/>
              </w:rPr>
              <w:t xml:space="preserve">Во изменение 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с 1 апреля 2021 года дополнительную сумму к пенсии за каждый год общего трудового стажа, превышающего требуемый для назначения пенсии (женщинам 20 (двадцать) лет, мужчинам 25 (двадцать пять) лет), в размере 3,46 </w:t>
            </w:r>
            <w:r>
              <w:rPr>
                <w:b/>
              </w:rPr>
              <w:lastRenderedPageBreak/>
              <w:t>рубля.</w:t>
            </w:r>
            <w:proofErr w:type="gramEnd"/>
            <w:r>
              <w:rPr>
                <w:b/>
              </w:rPr>
              <w:t xml:space="preserve">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лет.</w:t>
            </w:r>
          </w:p>
          <w:p w:rsidR="000F32CC" w:rsidRDefault="000F32CC">
            <w:pPr>
              <w:tabs>
                <w:tab w:val="left" w:pos="9720"/>
                <w:tab w:val="left" w:pos="10080"/>
              </w:tabs>
              <w:ind w:firstLine="302"/>
              <w:jc w:val="both"/>
              <w:rPr>
                <w:sz w:val="22"/>
                <w:szCs w:val="22"/>
              </w:rPr>
            </w:pPr>
          </w:p>
        </w:tc>
      </w:tr>
    </w:tbl>
    <w:p w:rsidR="000F32CC" w:rsidRDefault="000F32CC" w:rsidP="000F32CC">
      <w:pPr>
        <w:tabs>
          <w:tab w:val="left" w:pos="9720"/>
          <w:tab w:val="left" w:pos="10080"/>
        </w:tabs>
        <w:jc w:val="center"/>
        <w:rPr>
          <w:sz w:val="22"/>
          <w:szCs w:val="22"/>
        </w:rPr>
      </w:pPr>
    </w:p>
    <w:p w:rsidR="000F32CC" w:rsidRDefault="000F32CC" w:rsidP="000F32CC">
      <w:pPr>
        <w:autoSpaceDE w:val="0"/>
        <w:autoSpaceDN w:val="0"/>
        <w:adjustRightInd w:val="0"/>
        <w:rPr>
          <w:b/>
        </w:rPr>
      </w:pPr>
    </w:p>
    <w:p w:rsidR="006C5537" w:rsidRPr="0006148B" w:rsidRDefault="006C5537" w:rsidP="003E1E09">
      <w:pPr>
        <w:autoSpaceDE w:val="0"/>
        <w:autoSpaceDN w:val="0"/>
        <w:adjustRightInd w:val="0"/>
        <w:ind w:firstLine="709"/>
        <w:jc w:val="center"/>
        <w:rPr>
          <w:b/>
        </w:rPr>
      </w:pPr>
    </w:p>
    <w:sectPr w:rsidR="006C5537" w:rsidRPr="0006148B" w:rsidSect="00A50C84">
      <w:headerReference w:type="even" r:id="rId8"/>
      <w:headerReference w:type="default" r:id="rId9"/>
      <w:pgSz w:w="11906" w:h="16838"/>
      <w:pgMar w:top="567" w:right="991"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68" w:rsidRDefault="003E4868" w:rsidP="00DC3E12">
      <w:r>
        <w:separator/>
      </w:r>
    </w:p>
  </w:endnote>
  <w:endnote w:type="continuationSeparator" w:id="0">
    <w:p w:rsidR="003E4868" w:rsidRDefault="003E4868"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68" w:rsidRDefault="003E4868" w:rsidP="00DC3E12">
      <w:r>
        <w:separator/>
      </w:r>
    </w:p>
  </w:footnote>
  <w:footnote w:type="continuationSeparator" w:id="0">
    <w:p w:rsidR="003E4868" w:rsidRDefault="003E4868"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3E48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0F32CC">
          <w:rPr>
            <w:noProof/>
          </w:rPr>
          <w:t>- 40 -</w:t>
        </w:r>
        <w:r>
          <w:fldChar w:fldCharType="end"/>
        </w:r>
      </w:p>
    </w:sdtContent>
  </w:sdt>
  <w:p w:rsidR="00CF121F" w:rsidRDefault="003E48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CB4AEC"/>
    <w:multiLevelType w:val="hybridMultilevel"/>
    <w:tmpl w:val="CAE8C572"/>
    <w:lvl w:ilvl="0" w:tplc="7A28B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6">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5">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5"/>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0"/>
  </w:num>
  <w:num w:numId="7">
    <w:abstractNumId w:val="13"/>
  </w:num>
  <w:num w:numId="8">
    <w:abstractNumId w:val="26"/>
  </w:num>
  <w:num w:numId="9">
    <w:abstractNumId w:val="7"/>
  </w:num>
  <w:num w:numId="10">
    <w:abstractNumId w:val="10"/>
  </w:num>
  <w:num w:numId="11">
    <w:abstractNumId w:val="14"/>
  </w:num>
  <w:num w:numId="12">
    <w:abstractNumId w:val="2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3"/>
  </w:num>
  <w:num w:numId="20">
    <w:abstractNumId w:val="17"/>
  </w:num>
  <w:num w:numId="21">
    <w:abstractNumId w:val="0"/>
  </w:num>
  <w:num w:numId="22">
    <w:abstractNumId w:val="22"/>
  </w:num>
  <w:num w:numId="23">
    <w:abstractNumId w:val="24"/>
  </w:num>
  <w:num w:numId="24">
    <w:abstractNumId w:val="8"/>
  </w:num>
  <w:num w:numId="25">
    <w:abstractNumId w:val="19"/>
  </w:num>
  <w:num w:numId="26">
    <w:abstractNumId w:val="16"/>
  </w:num>
  <w:num w:numId="27">
    <w:abstractNumId w:val="9"/>
  </w:num>
  <w:num w:numId="28">
    <w:abstractNumId w:val="11"/>
  </w:num>
  <w:num w:numId="29">
    <w:abstractNumId w:val="4"/>
  </w:num>
  <w:num w:numId="30">
    <w:abstractNumId w:val="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21ABA"/>
    <w:rsid w:val="00025CE6"/>
    <w:rsid w:val="00030426"/>
    <w:rsid w:val="000415EF"/>
    <w:rsid w:val="00054622"/>
    <w:rsid w:val="0006148B"/>
    <w:rsid w:val="000860FB"/>
    <w:rsid w:val="000A4A5F"/>
    <w:rsid w:val="000B169F"/>
    <w:rsid w:val="000D4C3E"/>
    <w:rsid w:val="000D7C2D"/>
    <w:rsid w:val="000E0AB4"/>
    <w:rsid w:val="000F022D"/>
    <w:rsid w:val="000F32CC"/>
    <w:rsid w:val="000F6E17"/>
    <w:rsid w:val="00107B61"/>
    <w:rsid w:val="00127831"/>
    <w:rsid w:val="00147F11"/>
    <w:rsid w:val="0016399C"/>
    <w:rsid w:val="001676F9"/>
    <w:rsid w:val="00182DDF"/>
    <w:rsid w:val="00184089"/>
    <w:rsid w:val="00194871"/>
    <w:rsid w:val="00195CD3"/>
    <w:rsid w:val="001B1A39"/>
    <w:rsid w:val="001B2FDD"/>
    <w:rsid w:val="00221393"/>
    <w:rsid w:val="002502D1"/>
    <w:rsid w:val="0025285C"/>
    <w:rsid w:val="00261404"/>
    <w:rsid w:val="00271900"/>
    <w:rsid w:val="002830A0"/>
    <w:rsid w:val="002B321A"/>
    <w:rsid w:val="002C3318"/>
    <w:rsid w:val="002C38BD"/>
    <w:rsid w:val="002F53F4"/>
    <w:rsid w:val="00310391"/>
    <w:rsid w:val="00310471"/>
    <w:rsid w:val="0031633A"/>
    <w:rsid w:val="003241A3"/>
    <w:rsid w:val="00332BDB"/>
    <w:rsid w:val="00352876"/>
    <w:rsid w:val="00363611"/>
    <w:rsid w:val="00364D93"/>
    <w:rsid w:val="00371CA6"/>
    <w:rsid w:val="003947F9"/>
    <w:rsid w:val="003A2C75"/>
    <w:rsid w:val="003A35CE"/>
    <w:rsid w:val="003A5619"/>
    <w:rsid w:val="003C12E1"/>
    <w:rsid w:val="003C25E2"/>
    <w:rsid w:val="003D2DA8"/>
    <w:rsid w:val="003E1E09"/>
    <w:rsid w:val="003E4868"/>
    <w:rsid w:val="003F6887"/>
    <w:rsid w:val="004046BE"/>
    <w:rsid w:val="00411C7D"/>
    <w:rsid w:val="0043514E"/>
    <w:rsid w:val="004535CA"/>
    <w:rsid w:val="004650E9"/>
    <w:rsid w:val="00473FB9"/>
    <w:rsid w:val="004805E9"/>
    <w:rsid w:val="004948B3"/>
    <w:rsid w:val="004A07B0"/>
    <w:rsid w:val="004C30BF"/>
    <w:rsid w:val="004E7E6B"/>
    <w:rsid w:val="004F250A"/>
    <w:rsid w:val="004F3ED2"/>
    <w:rsid w:val="00510CA9"/>
    <w:rsid w:val="00521804"/>
    <w:rsid w:val="0055783D"/>
    <w:rsid w:val="005644BC"/>
    <w:rsid w:val="00566138"/>
    <w:rsid w:val="0056627B"/>
    <w:rsid w:val="005741AA"/>
    <w:rsid w:val="005772D1"/>
    <w:rsid w:val="005A39EB"/>
    <w:rsid w:val="005B15D1"/>
    <w:rsid w:val="005D1F2C"/>
    <w:rsid w:val="005E4675"/>
    <w:rsid w:val="00607827"/>
    <w:rsid w:val="006161BA"/>
    <w:rsid w:val="006201C5"/>
    <w:rsid w:val="0062575C"/>
    <w:rsid w:val="00634E07"/>
    <w:rsid w:val="006447DF"/>
    <w:rsid w:val="006530D4"/>
    <w:rsid w:val="00670F36"/>
    <w:rsid w:val="0068063B"/>
    <w:rsid w:val="006861D4"/>
    <w:rsid w:val="00693694"/>
    <w:rsid w:val="006A224B"/>
    <w:rsid w:val="006B7074"/>
    <w:rsid w:val="006C5537"/>
    <w:rsid w:val="006C5E63"/>
    <w:rsid w:val="006C5FA6"/>
    <w:rsid w:val="006C77F9"/>
    <w:rsid w:val="006C7D8A"/>
    <w:rsid w:val="006D25DE"/>
    <w:rsid w:val="0072180B"/>
    <w:rsid w:val="007938E9"/>
    <w:rsid w:val="007F323D"/>
    <w:rsid w:val="008063F6"/>
    <w:rsid w:val="008221B5"/>
    <w:rsid w:val="00823281"/>
    <w:rsid w:val="00823941"/>
    <w:rsid w:val="00827CA0"/>
    <w:rsid w:val="0084346C"/>
    <w:rsid w:val="00846CF0"/>
    <w:rsid w:val="00847615"/>
    <w:rsid w:val="0085284C"/>
    <w:rsid w:val="008553A5"/>
    <w:rsid w:val="008578C2"/>
    <w:rsid w:val="008764E1"/>
    <w:rsid w:val="00881EC3"/>
    <w:rsid w:val="008869B9"/>
    <w:rsid w:val="00887E83"/>
    <w:rsid w:val="00896F05"/>
    <w:rsid w:val="008C41C5"/>
    <w:rsid w:val="008E060F"/>
    <w:rsid w:val="008F7DB8"/>
    <w:rsid w:val="009053C9"/>
    <w:rsid w:val="00926FF4"/>
    <w:rsid w:val="00941D9C"/>
    <w:rsid w:val="0094478A"/>
    <w:rsid w:val="00957A71"/>
    <w:rsid w:val="009943EF"/>
    <w:rsid w:val="00994946"/>
    <w:rsid w:val="009E7309"/>
    <w:rsid w:val="00A06788"/>
    <w:rsid w:val="00A2163B"/>
    <w:rsid w:val="00A25B28"/>
    <w:rsid w:val="00A50C84"/>
    <w:rsid w:val="00A522D1"/>
    <w:rsid w:val="00A8286C"/>
    <w:rsid w:val="00AB22EA"/>
    <w:rsid w:val="00AC7A6C"/>
    <w:rsid w:val="00AD0B08"/>
    <w:rsid w:val="00AD12A9"/>
    <w:rsid w:val="00AD3999"/>
    <w:rsid w:val="00AD5878"/>
    <w:rsid w:val="00AE1598"/>
    <w:rsid w:val="00AE30BA"/>
    <w:rsid w:val="00AF73A4"/>
    <w:rsid w:val="00B06B68"/>
    <w:rsid w:val="00B15440"/>
    <w:rsid w:val="00B2476B"/>
    <w:rsid w:val="00BA2C0C"/>
    <w:rsid w:val="00BD6069"/>
    <w:rsid w:val="00C00A53"/>
    <w:rsid w:val="00C00E33"/>
    <w:rsid w:val="00C112FD"/>
    <w:rsid w:val="00C12803"/>
    <w:rsid w:val="00C930AA"/>
    <w:rsid w:val="00C94B95"/>
    <w:rsid w:val="00CA67C8"/>
    <w:rsid w:val="00CC1FED"/>
    <w:rsid w:val="00CD5062"/>
    <w:rsid w:val="00CD70B0"/>
    <w:rsid w:val="00CF035F"/>
    <w:rsid w:val="00D02897"/>
    <w:rsid w:val="00D31DC7"/>
    <w:rsid w:val="00D44EE0"/>
    <w:rsid w:val="00D83D1B"/>
    <w:rsid w:val="00D97288"/>
    <w:rsid w:val="00DA67BD"/>
    <w:rsid w:val="00DB2BCC"/>
    <w:rsid w:val="00DC3E12"/>
    <w:rsid w:val="00DD0CA6"/>
    <w:rsid w:val="00DD2180"/>
    <w:rsid w:val="00E0054C"/>
    <w:rsid w:val="00E32E9F"/>
    <w:rsid w:val="00E36C4D"/>
    <w:rsid w:val="00E57F48"/>
    <w:rsid w:val="00E827EB"/>
    <w:rsid w:val="00E94C65"/>
    <w:rsid w:val="00E97036"/>
    <w:rsid w:val="00EB5D39"/>
    <w:rsid w:val="00EC1EFD"/>
    <w:rsid w:val="00EE43EB"/>
    <w:rsid w:val="00EE7CA6"/>
    <w:rsid w:val="00F0418B"/>
    <w:rsid w:val="00F30EE2"/>
    <w:rsid w:val="00F56B9D"/>
    <w:rsid w:val="00F61B32"/>
    <w:rsid w:val="00F674FF"/>
    <w:rsid w:val="00F80D10"/>
    <w:rsid w:val="00F96865"/>
    <w:rsid w:val="00FC6D6C"/>
    <w:rsid w:val="00FD356A"/>
    <w:rsid w:val="00FD60B6"/>
    <w:rsid w:val="00FE1321"/>
    <w:rsid w:val="00FE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 w:type="character" w:styleId="af7">
    <w:name w:val="Subtle Emphasis"/>
    <w:basedOn w:val="a0"/>
    <w:uiPriority w:val="19"/>
    <w:qFormat/>
    <w:rsid w:val="006530D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 w:type="character" w:styleId="af7">
    <w:name w:val="Subtle Emphasis"/>
    <w:basedOn w:val="a0"/>
    <w:uiPriority w:val="19"/>
    <w:qFormat/>
    <w:rsid w:val="006530D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560558221">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1702432322">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112</cp:revision>
  <dcterms:created xsi:type="dcterms:W3CDTF">2021-01-14T14:34:00Z</dcterms:created>
  <dcterms:modified xsi:type="dcterms:W3CDTF">2021-04-30T07:06:00Z</dcterms:modified>
</cp:coreProperties>
</file>